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rg-legislative-intelligence-report"/>
    <w:p>
      <w:pPr>
        <w:pStyle w:val="Heading1"/>
      </w:pPr>
      <w:r>
        <w:t xml:space="preserve">NRG Legislative Intelligence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2026-01-25 15:48:14</w:t>
      </w:r>
      <w:r>
        <w:t xml:space="preserve"> </w:t>
      </w:r>
      <w:r>
        <w:rPr>
          <w:b/>
          <w:bCs/>
        </w:rPr>
        <w:t xml:space="preserve">Pipeline:</w:t>
      </w:r>
      <w:r>
        <w:t xml:space="preserve"> </w:t>
      </w:r>
      <w:r>
        <w:t xml:space="preserve">V2 (Sequential Evolution + Two-Tier Validation)</w:t>
      </w:r>
      <w:r>
        <w:t xml:space="preserve"> </w:t>
      </w:r>
      <w:r>
        <w:rPr>
          <w:b/>
          <w:bCs/>
        </w:rPr>
        <w:t xml:space="preserve">Provider:</w:t>
      </w:r>
      <w:r>
        <w:t xml:space="preserve"> </w:t>
      </w:r>
      <w:r>
        <w:t xml:space="preserve">gemini</w:t>
      </w:r>
      <w:r>
        <w:t xml:space="preserve"> </w:t>
      </w:r>
      <w:r>
        <w:rPr>
          <w:b/>
          <w:bCs/>
        </w:rPr>
        <w:t xml:space="preserve">Bills Analyzed: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Total Time:</w:t>
      </w:r>
      <w:r>
        <w:t xml:space="preserve"> </w:t>
      </w:r>
      <w:r>
        <w:t xml:space="preserve">277.8s</w:t>
      </w:r>
    </w:p>
    <w:p>
      <w:r>
        <w:pict>
          <v:rect style="width:0;height:1.5pt" o:hralign="center" o:hrstd="t" o:hr="t"/>
        </w:pict>
      </w:r>
    </w:p>
    <w:bookmarkStart w:id="10" w:name="hr3960-no-title"/>
    <w:p>
      <w:pPr>
        <w:pStyle w:val="Heading2"/>
      </w:pPr>
      <w:r>
        <w:t xml:space="preserve">HR3960: No title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 Processed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9" w:name="findings"/>
    <w:p>
      <w:pPr>
        <w:pStyle w:val="Heading3"/>
      </w:pPr>
      <w:r>
        <w:t xml:space="preserve">Findings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hr1014-no-title"/>
    <w:p>
      <w:pPr>
        <w:pStyle w:val="Heading2"/>
      </w:pPr>
      <w:r>
        <w:t xml:space="preserve">HR1014: No title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 Processed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11" w:name="findings-1"/>
    <w:p>
      <w:pPr>
        <w:pStyle w:val="Heading3"/>
      </w:pPr>
      <w:r>
        <w:t xml:space="preserve">Findings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X77aa75285fb970f2c289d6d27de1d43e802955c"/>
    <w:p>
      <w:pPr>
        <w:pStyle w:val="Heading2"/>
      </w:pPr>
      <w:r>
        <w:t xml:space="preserve">HB4238: Relating to the collection of consumer debt incurred by certain individuals as a result of identity theft.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Open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 Processed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Findings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21" w:name="findings-2"/>
    <w:p>
      <w:pPr>
        <w:pStyle w:val="Heading3"/>
      </w:pPr>
      <w:r>
        <w:t xml:space="preserve">Findings</w:t>
      </w:r>
    </w:p>
    <w:bookmarkStart w:id="13" w:name="finding-1"/>
    <w:p>
      <w:pPr>
        <w:pStyle w:val="Heading4"/>
      </w:pPr>
      <w:r>
        <w:t xml:space="preserve">Finding 1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prohibits creditors, debt collectors, or third-party debt collectors from attempting to collect a consumer debt from a victim of identity theft if certain documentation is provided.</w:t>
      </w:r>
    </w:p>
    <w:p>
      <w:pPr>
        <w:pStyle w:val="Compact"/>
        <w:numPr>
          <w:ilvl w:val="0"/>
          <w:numId w:val="1001"/>
        </w:numPr>
      </w:pPr>
      <w:r>
        <w:t xml:space="preserve">Confidence: 0.95</w:t>
      </w:r>
    </w:p>
    <w:p>
      <w:pPr>
        <w:pStyle w:val="Compact"/>
        <w:numPr>
          <w:ilvl w:val="0"/>
          <w:numId w:val="1001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“A creditor, debt collector, or third-party debt collector may not attempt to collect a consumer debt or a portion of a consumer debt from a consumer if the consumer provides…a criminal complaint alleging the commission of an offense under Section 32.51, Penal Code…”</w:t>
      </w:r>
      <w:r>
        <w:t xml:space="preserve"> </w:t>
      </w:r>
      <w:r>
        <w:t xml:space="preserve">— §392.308(c)</w:t>
      </w:r>
    </w:p>
    <w:bookmarkEnd w:id="13"/>
    <w:bookmarkStart w:id="14" w:name="finding-2"/>
    <w:p>
      <w:pPr>
        <w:pStyle w:val="Heading4"/>
      </w:pPr>
      <w:r>
        <w:t xml:space="preserve">Finding 2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requires debt collectors to cease collection efforts and notify others if they receive notice that a debt is a result of identity theft.</w:t>
      </w:r>
    </w:p>
    <w:p>
      <w:pPr>
        <w:pStyle w:val="Compact"/>
        <w:numPr>
          <w:ilvl w:val="0"/>
          <w:numId w:val="1002"/>
        </w:numPr>
      </w:pPr>
      <w:r>
        <w:t xml:space="preserve">Confidence: 0.95</w:t>
      </w:r>
    </w:p>
    <w:p>
      <w:pPr>
        <w:pStyle w:val="Compact"/>
        <w:numPr>
          <w:ilvl w:val="0"/>
          <w:numId w:val="1002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“shall immediately cease efforts to collect the disputed debt or disputed portion of the debt from the victim of identity theft”</w:t>
      </w:r>
      <w:r>
        <w:t xml:space="preserve"> </w:t>
      </w:r>
      <w:r>
        <w:t xml:space="preserve">— §392.308(d)(1)</w:t>
      </w:r>
      <w:r>
        <w:t xml:space="preserve"> </w:t>
      </w:r>
      <w:r>
        <w:t xml:space="preserve">&gt;</w:t>
      </w:r>
      <w:r>
        <w:t xml:space="preserve"> </w:t>
      </w:r>
      <w:r>
        <w:t xml:space="preserve">“shall send to each person who has previously received a report relating to that debt from the creditor, debt collector, or third-party debt collector notice that the debt is disputed under this section and not collectible from the victim of identity theft”</w:t>
      </w:r>
      <w:r>
        <w:t xml:space="preserve"> </w:t>
      </w:r>
      <w:r>
        <w:t xml:space="preserve">— §392.308(d)(2)</w:t>
      </w:r>
    </w:p>
    <w:bookmarkEnd w:id="14"/>
    <w:bookmarkStart w:id="15" w:name="finding-3"/>
    <w:p>
      <w:pPr>
        <w:pStyle w:val="Heading4"/>
      </w:pPr>
      <w:r>
        <w:t xml:space="preserve">Finding 3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allows creditors to enforce security interests but prohibits collection of deficiencies from identity theft victims.</w:t>
      </w:r>
    </w:p>
    <w:p>
      <w:pPr>
        <w:pStyle w:val="Compact"/>
        <w:numPr>
          <w:ilvl w:val="0"/>
          <w:numId w:val="1003"/>
        </w:numPr>
      </w:pPr>
      <w:r>
        <w:t xml:space="preserve">Confidence: 0.90</w:t>
      </w:r>
    </w:p>
    <w:p>
      <w:pPr>
        <w:pStyle w:val="Compact"/>
        <w:numPr>
          <w:ilvl w:val="0"/>
          <w:numId w:val="1003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“may, if the disputed debt or disputed portion of the debt is secured by tangible personal property, enforce the security interest under Chapter 9, Business &amp; Commerce Code, but may not collect or seek to collect any deficiency from the victim of identity theft”</w:t>
      </w:r>
      <w:r>
        <w:t xml:space="preserve"> </w:t>
      </w:r>
      <w:r>
        <w:t xml:space="preserve">— §392.308(d)(4)</w:t>
      </w:r>
    </w:p>
    <w:bookmarkEnd w:id="15"/>
    <w:bookmarkStart w:id="16" w:name="finding-4"/>
    <w:p>
      <w:pPr>
        <w:pStyle w:val="Heading4"/>
      </w:pPr>
      <w:r>
        <w:t xml:space="preserve">Finding 4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Creditors can file suit if they believe a consumer falsely claims identity theft.</w:t>
      </w:r>
    </w:p>
    <w:p>
      <w:pPr>
        <w:pStyle w:val="Compact"/>
        <w:numPr>
          <w:ilvl w:val="0"/>
          <w:numId w:val="1004"/>
        </w:numPr>
      </w:pPr>
      <w:r>
        <w:t xml:space="preserve">Confidence: 0.90</w:t>
      </w:r>
    </w:p>
    <w:p>
      <w:pPr>
        <w:pStyle w:val="Compact"/>
        <w:numPr>
          <w:ilvl w:val="0"/>
          <w:numId w:val="1004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“If a creditor, debt collector, or third-party debt collector has a good faith reason to believe that a consumer has disputed a consumer debt or portion of a consumer debt under this section based on a material misrepresentation that the consumer is a victim of identity theft, the creditor, debt collector, or third-party debt collector may file suit in a court of competent jurisdiction to collect the debt from the consumer.”</w:t>
      </w:r>
      <w:r>
        <w:t xml:space="preserve"> </w:t>
      </w:r>
      <w:r>
        <w:t xml:space="preserve">— §392.308(e)</w:t>
      </w:r>
    </w:p>
    <w:bookmarkEnd w:id="16"/>
    <w:bookmarkStart w:id="17" w:name="finding-5"/>
    <w:p>
      <w:pPr>
        <w:pStyle w:val="Heading4"/>
      </w:pPr>
      <w:r>
        <w:t xml:space="preserve">Finding 5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provides that a creditor, debt collector, or third-party debt collector may not attempt to collect a consumer debt from a consumer if the consumer provides evidence of being a victim of identity theft.</w:t>
      </w:r>
    </w:p>
    <w:p>
      <w:pPr>
        <w:pStyle w:val="Compact"/>
        <w:numPr>
          <w:ilvl w:val="0"/>
          <w:numId w:val="1005"/>
        </w:numPr>
      </w:pPr>
      <w:r>
        <w:t xml:space="preserve">Confidence: 0.95</w:t>
      </w:r>
    </w:p>
    <w:p>
      <w:pPr>
        <w:pStyle w:val="Compact"/>
        <w:numPr>
          <w:ilvl w:val="0"/>
          <w:numId w:val="1005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“A creditor, debt collector, or third-party debt collector may not attempt to collect a consumer debt or a portion of a consumer debt from a consumer if the consumer provides: (1) a criminal complaint alleging the commission of an offense under Section 32.51, Penal Code, or a substantially similar federal law or law in another state, for which the consumer was a victim, accompanied by a statement identifying the consumer debt or the portion of consumer debt that resulted from the offense;”</w:t>
      </w:r>
      <w:r>
        <w:t xml:space="preserve"> </w:t>
      </w:r>
      <w:r>
        <w:t xml:space="preserve">— §392.308(c)</w:t>
      </w:r>
    </w:p>
    <w:bookmarkEnd w:id="17"/>
    <w:bookmarkStart w:id="18" w:name="finding-6"/>
    <w:p>
      <w:pPr>
        <w:pStyle w:val="Heading4"/>
      </w:pPr>
      <w:r>
        <w:t xml:space="preserve">Finding 6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requires creditors to cease collection efforts immediately upon receiving notice that a debt is disputed due to identity theft.</w:t>
      </w:r>
    </w:p>
    <w:p>
      <w:pPr>
        <w:pStyle w:val="Compact"/>
        <w:numPr>
          <w:ilvl w:val="0"/>
          <w:numId w:val="1006"/>
        </w:numPr>
      </w:pPr>
      <w:r>
        <w:t xml:space="preserve">Confidence: 0.95</w:t>
      </w:r>
    </w:p>
    <w:p>
      <w:pPr>
        <w:pStyle w:val="Compact"/>
        <w:numPr>
          <w:ilvl w:val="0"/>
          <w:numId w:val="1006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“shall immediately cease efforts to collect the disputed debt or disputed portion of the debt from the victim of identity theft;”</w:t>
      </w:r>
      <w:r>
        <w:t xml:space="preserve"> </w:t>
      </w:r>
      <w:r>
        <w:t xml:space="preserve">— §392.308(d)(1)</w:t>
      </w:r>
    </w:p>
    <w:bookmarkEnd w:id="18"/>
    <w:bookmarkStart w:id="19" w:name="finding-7"/>
    <w:p>
      <w:pPr>
        <w:pStyle w:val="Heading4"/>
      </w:pPr>
      <w:r>
        <w:t xml:space="preserve">Finding 7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allows creditors to enforce security interests on tangible personal property but prohibits collecting deficiencies from victims of identity theft.</w:t>
      </w:r>
    </w:p>
    <w:p>
      <w:pPr>
        <w:pStyle w:val="Compact"/>
        <w:numPr>
          <w:ilvl w:val="0"/>
          <w:numId w:val="1007"/>
        </w:numPr>
      </w:pPr>
      <w:r>
        <w:t xml:space="preserve">Confidence: 0.90</w:t>
      </w:r>
    </w:p>
    <w:p>
      <w:pPr>
        <w:pStyle w:val="Compact"/>
        <w:numPr>
          <w:ilvl w:val="0"/>
          <w:numId w:val="1007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“may, if the disputed debt or disputed portion of the debt is secured by tangible personal property, enforce the security interest under Chapter 9, Business &amp; Commerce Code, but may not collect or seek to collect any deficiency from the victim of identity theft.”</w:t>
      </w:r>
      <w:r>
        <w:t xml:space="preserve"> </w:t>
      </w:r>
      <w:r>
        <w:t xml:space="preserve">— §392.308(d)(4)</w:t>
      </w:r>
    </w:p>
    <w:bookmarkEnd w:id="19"/>
    <w:bookmarkStart w:id="20" w:name="finding-8"/>
    <w:p>
      <w:pPr>
        <w:pStyle w:val="Heading4"/>
      </w:pPr>
      <w:r>
        <w:t xml:space="preserve">Finding 8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provides a legal recourse for creditors if they believe the identity theft claim is based on a material misrepresentation.</w:t>
      </w:r>
    </w:p>
    <w:p>
      <w:pPr>
        <w:pStyle w:val="Compact"/>
        <w:numPr>
          <w:ilvl w:val="0"/>
          <w:numId w:val="1008"/>
        </w:numPr>
      </w:pPr>
      <w:r>
        <w:t xml:space="preserve">Confidence: 0.90</w:t>
      </w:r>
    </w:p>
    <w:p>
      <w:pPr>
        <w:pStyle w:val="Compact"/>
        <w:numPr>
          <w:ilvl w:val="0"/>
          <w:numId w:val="1008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“If a creditor, debt collector, or third-party debt collector has a good faith reason to believe that a consumer has disputed a consumer debt or portion of a consumer debt under this section based on a material misrepresentation that the consumer is a victim of identity theft, the creditor, debt collector, or third-party debt collector may file suit in a court of competent jurisdiction to collect the debt from the consumer.”</w:t>
      </w:r>
      <w:r>
        <w:t xml:space="preserve"> </w:t>
      </w:r>
      <w:r>
        <w:t xml:space="preserve">— §392.308(e)</w:t>
      </w:r>
    </w:p>
    <w:bookmarkEnd w:id="20"/>
    <w:bookmarkEnd w:id="21"/>
    <w:bookmarkStart w:id="22" w:name="rubric-scores"/>
    <w:p>
      <w:pPr>
        <w:pStyle w:val="Heading3"/>
      </w:pPr>
      <w:r>
        <w:t xml:space="preserve">Rubric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legal_risk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No new obligations - cosmetic language changes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financial_impact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&lt;$100K annual - negligible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operational_disruption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No operational changes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ambiguity_risk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  <w:tc>
          <w:tcPr/>
          <w:p>
            <w:pPr>
              <w:pStyle w:val="Compact"/>
            </w:pPr>
            <w:r>
              <w:t xml:space="preserve">0-2: Clear, explicit language - no interpretation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X237c58188bfd8f905d8aa9f621accc283eef688"/>
    <w:p>
      <w:pPr>
        <w:pStyle w:val="Heading2"/>
      </w:pPr>
      <w:r>
        <w:t xml:space="preserve">HB391: Relating to board of directors meeting locations of certain special districts.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Open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 Processed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Findings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28" w:name="findings-3"/>
    <w:p>
      <w:pPr>
        <w:pStyle w:val="Heading3"/>
      </w:pPr>
      <w:r>
        <w:t xml:space="preserve">Findings</w:t>
      </w:r>
    </w:p>
    <w:bookmarkStart w:id="24" w:name="finding-1-1"/>
    <w:p>
      <w:pPr>
        <w:pStyle w:val="Heading4"/>
      </w:pPr>
      <w:r>
        <w:t xml:space="preserve">Finding 1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amends the Water Code to allow rural area water districts to conduct board meetings outside the district, provided they give notice and justification.</w:t>
      </w:r>
    </w:p>
    <w:p>
      <w:pPr>
        <w:pStyle w:val="Compact"/>
        <w:numPr>
          <w:ilvl w:val="0"/>
          <w:numId w:val="1009"/>
        </w:numPr>
      </w:pPr>
      <w:r>
        <w:t xml:space="preserve">Confidence: 0.95</w:t>
      </w:r>
    </w:p>
    <w:p>
      <w:pPr>
        <w:pStyle w:val="Compact"/>
        <w:numPr>
          <w:ilvl w:val="0"/>
          <w:numId w:val="1009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“the board shall designate one or more places inside or outside the district for conducting the meetings of the board.”</w:t>
      </w:r>
      <w:r>
        <w:t xml:space="preserve"> </w:t>
      </w:r>
      <w:r>
        <w:t xml:space="preserve">— §49.062(b)</w:t>
      </w:r>
      <w:r>
        <w:t xml:space="preserve"> </w:t>
      </w:r>
      <w:r>
        <w:t xml:space="preserve">&gt;</w:t>
      </w:r>
      <w:r>
        <w:t xml:space="preserve"> </w:t>
      </w:r>
      <w:r>
        <w:t xml:space="preserve">“If the board establishes a meeting place or places outside the district, it shall give notice of the location or locations by filing a true copy of the resolution establishing the location or locations of the meeting place or places and a justification of why the meeting will not be held in the district or within 10 miles of the boundary of the district, if applicable, with the commission”</w:t>
      </w:r>
      <w:r>
        <w:t xml:space="preserve"> </w:t>
      </w:r>
      <w:r>
        <w:t xml:space="preserve">— §49.062(b)</w:t>
      </w:r>
    </w:p>
    <w:bookmarkEnd w:id="24"/>
    <w:bookmarkStart w:id="25" w:name="finding-2-1"/>
    <w:p>
      <w:pPr>
        <w:pStyle w:val="Heading4"/>
      </w:pPr>
      <w:r>
        <w:t xml:space="preserve">Finding 2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bill defines</w:t>
      </w:r>
      <w:r>
        <w:t xml:space="preserve"> </w:t>
      </w:r>
      <w:r>
        <w:t xml:space="preserve">‘rural area district’</w:t>
      </w:r>
      <w:r>
        <w:t xml:space="preserve"> </w:t>
      </w:r>
      <w:r>
        <w:t xml:space="preserve">as a district with more than half of its projected retail water or sewer connections active and not located in a county with a population of 325,000 or more.</w:t>
      </w:r>
    </w:p>
    <w:p>
      <w:pPr>
        <w:pStyle w:val="Compact"/>
        <w:numPr>
          <w:ilvl w:val="0"/>
          <w:numId w:val="1010"/>
        </w:numPr>
      </w:pPr>
      <w:r>
        <w:t xml:space="preserve">Confidence: 0.90</w:t>
      </w:r>
    </w:p>
    <w:p>
      <w:pPr>
        <w:pStyle w:val="Compact"/>
        <w:numPr>
          <w:ilvl w:val="0"/>
          <w:numId w:val="1010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 “</w:t>
      </w:r>
      <w:r>
        <w:t xml:space="preserve">“rural area district”</w:t>
      </w:r>
      <w:r>
        <w:t xml:space="preserve"> </w:t>
      </w:r>
      <w:r>
        <w:t xml:space="preserve">means a district in which more than half of the district’s projected retail water or sewer connections are active and that is not wholly or partly located in a county that has a population of 325,000 or more.” — §49.062(b-1)</w:t>
      </w:r>
    </w:p>
    <w:bookmarkEnd w:id="25"/>
    <w:bookmarkStart w:id="26" w:name="finding-3-1"/>
    <w:p>
      <w:pPr>
        <w:pStyle w:val="Heading4"/>
      </w:pPr>
      <w:r>
        <w:t xml:space="preserve">Finding 3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Rural area districts must conduct at least one in-person meeting per quarter within the district or within 10 miles of its boundary, unless impractical.</w:t>
      </w:r>
    </w:p>
    <w:p>
      <w:pPr>
        <w:pStyle w:val="Compact"/>
        <w:numPr>
          <w:ilvl w:val="0"/>
          <w:numId w:val="1011"/>
        </w:numPr>
      </w:pPr>
      <w:r>
        <w:t xml:space="preserve">Confidence: 0.90</w:t>
      </w:r>
    </w:p>
    <w:p>
      <w:pPr>
        <w:pStyle w:val="Compact"/>
        <w:numPr>
          <w:ilvl w:val="0"/>
          <w:numId w:val="1011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“the board shall conduct a meeting at a designated meeting location inside the district or within 10 miles of the boundary of the district at least once per quarter.”</w:t>
      </w:r>
      <w:r>
        <w:t xml:space="preserve"> </w:t>
      </w:r>
      <w:r>
        <w:t xml:space="preserve">— §49.062(b-2)</w:t>
      </w:r>
    </w:p>
    <w:bookmarkEnd w:id="26"/>
    <w:bookmarkStart w:id="27" w:name="finding-4-1"/>
    <w:p>
      <w:pPr>
        <w:pStyle w:val="Heading4"/>
      </w:pPr>
      <w:r>
        <w:t xml:space="preserve">Finding 4 ✓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Rural area districts can conduct quarterly meetings via telephone or video conference, except for meetings discussing tax rates.</w:t>
      </w:r>
    </w:p>
    <w:p>
      <w:pPr>
        <w:pStyle w:val="Compact"/>
        <w:numPr>
          <w:ilvl w:val="0"/>
          <w:numId w:val="1012"/>
        </w:numPr>
      </w:pPr>
      <w:r>
        <w:t xml:space="preserve">Confidence: 0.90</w:t>
      </w:r>
    </w:p>
    <w:p>
      <w:pPr>
        <w:pStyle w:val="Compact"/>
        <w:numPr>
          <w:ilvl w:val="0"/>
          <w:numId w:val="1012"/>
        </w:numPr>
      </w:pPr>
      <w:r>
        <w:t xml:space="preserve">Impact Estimate: 0/10</w:t>
      </w:r>
    </w:p>
    <w:p>
      <w:pPr>
        <w:pStyle w:val="FirstParagraph"/>
      </w:pPr>
      <w:r>
        <w:rPr>
          <w:b/>
          <w:bCs/>
        </w:rPr>
        <w:t xml:space="preserve">Quotes:</w:t>
      </w:r>
      <w:r>
        <w:t xml:space="preserve"> </w:t>
      </w:r>
      <w:r>
        <w:t xml:space="preserve">&gt;</w:t>
      </w:r>
      <w:r>
        <w:t xml:space="preserve"> </w:t>
      </w:r>
      <w:r>
        <w:t xml:space="preserve">“a rural area district may satisfy the requirements of Subsection (b-2) by conducting quarterly meetings by telephone conference call or video conference call. A meeting to discuss the tax rate of the district must be conducted in person.”</w:t>
      </w:r>
      <w:r>
        <w:t xml:space="preserve"> </w:t>
      </w:r>
      <w:r>
        <w:t xml:space="preserve">— §49.062(b-3)</w:t>
      </w:r>
    </w:p>
    <w:bookmarkEnd w:id="27"/>
    <w:bookmarkEnd w:id="28"/>
    <w:bookmarkStart w:id="29" w:name="rubric-scores-1"/>
    <w:p>
      <w:pPr>
        <w:pStyle w:val="Heading3"/>
      </w:pPr>
      <w:r>
        <w:t xml:space="preserve">Rubric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legal_risk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No new obligations - cosmetic language changes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financial_impact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&lt;$100K annual - negligible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operational_disruption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0-2: No operational changes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ambiguity_risk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  <w:tc>
          <w:tcPr/>
          <w:p>
            <w:pPr>
              <w:pStyle w:val="Compact"/>
            </w:pPr>
            <w:r>
              <w:t xml:space="preserve">3-5: Some ambiguity - interpretations clear from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2026-01-25T20:48:14Z</dcterms:created>
  <dcterms:modified xsi:type="dcterms:W3CDTF">2026-01-25T20:48:14Z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