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nrg-legislative-intelligence-report"/>
    <w:p>
      <w:pPr>
        <w:pStyle w:val="Heading1"/>
      </w:pPr>
      <w:r>
        <w:t xml:space="preserve">NRG Legislative Intelligence Report</w:t>
      </w:r>
    </w:p>
    <w:p>
      <w:pPr>
        <w:pStyle w:val="FirstParagraph"/>
      </w:pPr>
      <w:r>
        <w:rPr>
          <w:b/>
          <w:bCs/>
        </w:rPr>
        <w:t xml:space="preserve">Generated:</w:t>
      </w:r>
      <w:r>
        <w:t xml:space="preserve"> </w:t>
      </w:r>
      <w:r>
        <w:t xml:space="preserve">2026-01-24 11:44:32</w:t>
      </w:r>
      <w:r>
        <w:t xml:space="preserve"> </w:t>
      </w:r>
      <w:r>
        <w:rPr>
          <w:b/>
          <w:bCs/>
        </w:rPr>
        <w:t xml:space="preserve">Pipeline:</w:t>
      </w:r>
      <w:r>
        <w:t xml:space="preserve"> </w:t>
      </w:r>
      <w:r>
        <w:t xml:space="preserve">V2 (Sequential Evolution + Two-Tier Validation)</w:t>
      </w:r>
      <w:r>
        <w:t xml:space="preserve"> </w:t>
      </w:r>
      <w:r>
        <w:rPr>
          <w:b/>
          <w:bCs/>
        </w:rPr>
        <w:t xml:space="preserve">Provider:</w:t>
      </w:r>
      <w:r>
        <w:t xml:space="preserve"> </w:t>
      </w:r>
      <w:r>
        <w:t xml:space="preserve">gemini</w:t>
      </w:r>
      <w:r>
        <w:t xml:space="preserve"> </w:t>
      </w:r>
      <w:r>
        <w:rPr>
          <w:b/>
          <w:bCs/>
        </w:rPr>
        <w:t xml:space="preserve">Bills Analyzed:</w:t>
      </w:r>
      <w:r>
        <w:t xml:space="preserve"> </w:t>
      </w:r>
      <w:r>
        <w:t xml:space="preserve">2</w:t>
      </w:r>
      <w:r>
        <w:t xml:space="preserve"> </w:t>
      </w:r>
      <w:r>
        <w:rPr>
          <w:b/>
          <w:bCs/>
        </w:rPr>
        <w:t xml:space="preserve">Total Time:</w:t>
      </w:r>
      <w:r>
        <w:t xml:space="preserve"> </w:t>
      </w:r>
      <w:r>
        <w:t xml:space="preserve">329.5s</w:t>
      </w:r>
    </w:p>
    <w:p>
      <w:r>
        <w:pict>
          <v:rect style="width:0;height:1.5pt" o:hralign="center" o:hrstd="t" o:hr="t"/>
        </w:pict>
      </w:r>
    </w:p>
    <w:bookmarkStart w:id="23" w:name="X77aa75285fb970f2c289d6d27de1d43e802955c"/>
    <w:p>
      <w:pPr>
        <w:pStyle w:val="Heading2"/>
      </w:pPr>
      <w:r>
        <w:t xml:space="preserve">HB4238: Relating to the collection of consumer debt incurred by certain individuals as a result of identity theft.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Source</w:t>
            </w:r>
          </w:p>
        </w:tc>
        <w:tc>
          <w:tcPr/>
          <w:p>
            <w:pPr>
              <w:pStyle w:val="Compact"/>
            </w:pPr>
            <w:r>
              <w:t xml:space="preserve">Open States</w:t>
            </w:r>
          </w:p>
        </w:tc>
      </w:tr>
      <w:tr>
        <w:tc>
          <w:tcPr/>
          <w:p>
            <w:pPr>
              <w:pStyle w:val="Compact"/>
            </w:pPr>
            <w:r>
              <w:t xml:space="preserve">Route</w:t>
            </w:r>
          </w:p>
        </w:tc>
        <w:tc>
          <w:tcPr/>
          <w:p>
            <w:pPr>
              <w:pStyle w:val="Compact"/>
            </w:pPr>
            <w:r>
              <w:t xml:space="preserve">STANDARD</w:t>
            </w:r>
          </w:p>
        </w:tc>
      </w:tr>
      <w:tr>
        <w:tc>
          <w:tcPr/>
          <w:p>
            <w:pPr>
              <w:pStyle w:val="Compact"/>
            </w:pPr>
            <w:r>
              <w:t xml:space="preserve">Versions Processed</w:t>
            </w:r>
          </w:p>
        </w:tc>
        <w:tc>
          <w:tcPr/>
          <w:p>
            <w:pPr>
              <w:pStyle w:val="Compact"/>
            </w:pPr>
            <w:r>
              <w:t xml:space="preserve">5</w:t>
            </w:r>
          </w:p>
        </w:tc>
      </w:tr>
      <w:tr>
        <w:tc>
          <w:tcPr/>
          <w:p>
            <w:pPr>
              <w:pStyle w:val="Compact"/>
            </w:pPr>
            <w:r>
              <w:t xml:space="preserve">Total Findings</w:t>
            </w:r>
          </w:p>
        </w:tc>
        <w:tc>
          <w:tcPr/>
          <w:p>
            <w:pPr>
              <w:pStyle w:val="Compact"/>
            </w:pPr>
            <w:r>
              <w:t xml:space="preserve">12</w:t>
            </w:r>
          </w:p>
        </w:tc>
      </w:tr>
      <w:tr>
        <w:tc>
          <w:tcPr/>
          <w:p>
            <w:pPr>
              <w:pStyle w:val="Compact"/>
            </w:pPr>
            <w:r>
              <w:t xml:space="preserve">Verified Findings</w:t>
            </w:r>
          </w:p>
        </w:tc>
        <w:tc>
          <w:tcPr/>
          <w:p>
            <w:pPr>
              <w:pStyle w:val="Compact"/>
            </w:pPr>
            <w:r>
              <w:t xml:space="preserve">12</w:t>
            </w:r>
          </w:p>
        </w:tc>
      </w:tr>
      <w:tr>
        <w:tc>
          <w:tcPr/>
          <w:p>
            <w:pPr>
              <w:pStyle w:val="Compact"/>
            </w:pPr>
            <w:r>
              <w:t xml:space="preserve">Hallucinations</w:t>
            </w:r>
          </w:p>
        </w:tc>
        <w:tc>
          <w:tcPr/>
          <w:p>
            <w:pPr>
              <w:pStyle w:val="Compact"/>
            </w:pPr>
            <w:r>
              <w:t xml:space="preserve">0</w:t>
            </w:r>
          </w:p>
        </w:tc>
      </w:tr>
    </w:tbl>
    <w:bookmarkStart w:id="21" w:name="findings"/>
    <w:p>
      <w:pPr>
        <w:pStyle w:val="Heading3"/>
      </w:pPr>
      <w:r>
        <w:t xml:space="preserve">Findings</w:t>
      </w:r>
    </w:p>
    <w:bookmarkStart w:id="9" w:name="finding-1"/>
    <w:p>
      <w:pPr>
        <w:pStyle w:val="Heading4"/>
      </w:pPr>
      <w:r>
        <w:t xml:space="preserve">Finding 1 ✓</w:t>
      </w:r>
    </w:p>
    <w:p>
      <w:pPr>
        <w:pStyle w:val="FirstParagraph"/>
      </w:pPr>
      <w:r>
        <w:rPr>
          <w:b/>
          <w:bCs/>
        </w:rPr>
        <w:t xml:space="preserve">Statement:</w:t>
      </w:r>
      <w:r>
        <w:t xml:space="preserve"> </w:t>
      </w:r>
      <w:r>
        <w:t xml:space="preserve">The bill restricts creditors, debt collectors, or third-party debt collectors from attempting to collect consumer debt from victims of identity theft if the consumer provides specific documentation.</w:t>
      </w:r>
    </w:p>
    <w:p>
      <w:pPr>
        <w:pStyle w:val="Compact"/>
        <w:numPr>
          <w:ilvl w:val="0"/>
          <w:numId w:val="1001"/>
        </w:numPr>
      </w:pPr>
      <w:r>
        <w:t xml:space="preserve">Confidence: 0.95</w:t>
      </w:r>
    </w:p>
    <w:p>
      <w:pPr>
        <w:pStyle w:val="Compact"/>
        <w:numPr>
          <w:ilvl w:val="0"/>
          <w:numId w:val="1001"/>
        </w:numPr>
      </w:pPr>
      <w:r>
        <w:t xml:space="preserve">Impact Estimate: 0/10</w:t>
      </w:r>
    </w:p>
    <w:p>
      <w:pPr>
        <w:pStyle w:val="FirstParagraph"/>
      </w:pPr>
      <w:r>
        <w:rPr>
          <w:b/>
          <w:bCs/>
        </w:rPr>
        <w:t xml:space="preserve">Quotes:</w:t>
      </w:r>
      <w:r>
        <w:t xml:space="preserve"> </w:t>
      </w:r>
      <w:r>
        <w:t xml:space="preserve">&gt;</w:t>
      </w:r>
      <w:r>
        <w:t xml:space="preserve"> </w:t>
      </w:r>
      <w:r>
        <w:t xml:space="preserve">“A creditor, debt collector, or third-party debt collector may not attempt to collect a consumer debt or a portion of a consumer debt from a consumer if the consumer provides…”</w:t>
      </w:r>
      <w:r>
        <w:t xml:space="preserve"> </w:t>
      </w:r>
      <w:r>
        <w:t xml:space="preserve">— §392.308(c)</w:t>
      </w:r>
    </w:p>
    <w:bookmarkEnd w:id="9"/>
    <w:bookmarkStart w:id="10" w:name="finding-2"/>
    <w:p>
      <w:pPr>
        <w:pStyle w:val="Heading4"/>
      </w:pPr>
      <w:r>
        <w:t xml:space="preserve">Finding 2 ✓</w:t>
      </w:r>
    </w:p>
    <w:p>
      <w:pPr>
        <w:pStyle w:val="FirstParagraph"/>
      </w:pPr>
      <w:r>
        <w:rPr>
          <w:b/>
          <w:bCs/>
        </w:rPr>
        <w:t xml:space="preserve">Statement:</w:t>
      </w:r>
      <w:r>
        <w:t xml:space="preserve"> </w:t>
      </w:r>
      <w:r>
        <w:t xml:space="preserve">The bill mandates that creditors must cease collection efforts upon receiving notice of identity theft.</w:t>
      </w:r>
    </w:p>
    <w:p>
      <w:pPr>
        <w:pStyle w:val="Compact"/>
        <w:numPr>
          <w:ilvl w:val="0"/>
          <w:numId w:val="1002"/>
        </w:numPr>
      </w:pPr>
      <w:r>
        <w:t xml:space="preserve">Confidence: 0.95</w:t>
      </w:r>
    </w:p>
    <w:p>
      <w:pPr>
        <w:pStyle w:val="Compact"/>
        <w:numPr>
          <w:ilvl w:val="0"/>
          <w:numId w:val="1002"/>
        </w:numPr>
      </w:pPr>
      <w:r>
        <w:t xml:space="preserve">Impact Estimate: 0/10</w:t>
      </w:r>
    </w:p>
    <w:p>
      <w:pPr>
        <w:pStyle w:val="FirstParagraph"/>
      </w:pPr>
      <w:r>
        <w:rPr>
          <w:b/>
          <w:bCs/>
        </w:rPr>
        <w:t xml:space="preserve">Quotes:</w:t>
      </w:r>
      <w:r>
        <w:t xml:space="preserve"> </w:t>
      </w:r>
      <w:r>
        <w:t xml:space="preserve">&gt;</w:t>
      </w:r>
      <w:r>
        <w:t xml:space="preserve"> </w:t>
      </w:r>
      <w:r>
        <w:t xml:space="preserve">“shall immediately cease efforts to collect the disputed debt or disputed portion of the debt from the victim of identity theft;”</w:t>
      </w:r>
      <w:r>
        <w:t xml:space="preserve"> </w:t>
      </w:r>
      <w:r>
        <w:t xml:space="preserve">— §392.308(d)(1)</w:t>
      </w:r>
    </w:p>
    <w:bookmarkEnd w:id="10"/>
    <w:bookmarkStart w:id="11" w:name="finding-3"/>
    <w:p>
      <w:pPr>
        <w:pStyle w:val="Heading4"/>
      </w:pPr>
      <w:r>
        <w:t xml:space="preserve">Finding 3 ✓</w:t>
      </w:r>
    </w:p>
    <w:p>
      <w:pPr>
        <w:pStyle w:val="FirstParagraph"/>
      </w:pPr>
      <w:r>
        <w:rPr>
          <w:b/>
          <w:bCs/>
        </w:rPr>
        <w:t xml:space="preserve">Statement:</w:t>
      </w:r>
      <w:r>
        <w:t xml:space="preserve"> </w:t>
      </w:r>
      <w:r>
        <w:t xml:space="preserve">The bill allows creditors to enforce security interests in tangible personal property but prohibits collecting deficiencies from identity theft victims.</w:t>
      </w:r>
    </w:p>
    <w:p>
      <w:pPr>
        <w:pStyle w:val="Compact"/>
        <w:numPr>
          <w:ilvl w:val="0"/>
          <w:numId w:val="1003"/>
        </w:numPr>
      </w:pPr>
      <w:r>
        <w:t xml:space="preserve">Confidence: 0.90</w:t>
      </w:r>
    </w:p>
    <w:p>
      <w:pPr>
        <w:pStyle w:val="Compact"/>
        <w:numPr>
          <w:ilvl w:val="0"/>
          <w:numId w:val="1003"/>
        </w:numPr>
      </w:pPr>
      <w:r>
        <w:t xml:space="preserve">Impact Estimate: 0/10</w:t>
      </w:r>
    </w:p>
    <w:p>
      <w:pPr>
        <w:pStyle w:val="FirstParagraph"/>
      </w:pPr>
      <w:r>
        <w:rPr>
          <w:b/>
          <w:bCs/>
        </w:rPr>
        <w:t xml:space="preserve">Quotes:</w:t>
      </w:r>
      <w:r>
        <w:t xml:space="preserve"> </w:t>
      </w:r>
      <w:r>
        <w:t xml:space="preserve">&gt;</w:t>
      </w:r>
      <w:r>
        <w:t xml:space="preserve"> </w:t>
      </w:r>
      <w:r>
        <w:t xml:space="preserve">“may, if the disputed debt or disputed portion of the debt is secured by tangible personal property, enforce the security interest under Chapter 9, Business &amp; Commerce Code, but may not collect or seek to collect any deficiency from the victim of identity theft.”</w:t>
      </w:r>
      <w:r>
        <w:t xml:space="preserve"> </w:t>
      </w:r>
      <w:r>
        <w:t xml:space="preserve">— §392.308(d)(4)</w:t>
      </w:r>
    </w:p>
    <w:bookmarkEnd w:id="11"/>
    <w:bookmarkStart w:id="12" w:name="finding-4"/>
    <w:p>
      <w:pPr>
        <w:pStyle w:val="Heading4"/>
      </w:pPr>
      <w:r>
        <w:t xml:space="preserve">Finding 4 ✓</w:t>
      </w:r>
    </w:p>
    <w:p>
      <w:pPr>
        <w:pStyle w:val="FirstParagraph"/>
      </w:pPr>
      <w:r>
        <w:rPr>
          <w:b/>
          <w:bCs/>
        </w:rPr>
        <w:t xml:space="preserve">Statement:</w:t>
      </w:r>
      <w:r>
        <w:t xml:space="preserve"> </w:t>
      </w:r>
      <w:r>
        <w:t xml:space="preserve">The bill provides creditors the right to sue if they believe a consumer has falsely claimed identity theft.</w:t>
      </w:r>
    </w:p>
    <w:p>
      <w:pPr>
        <w:pStyle w:val="Compact"/>
        <w:numPr>
          <w:ilvl w:val="0"/>
          <w:numId w:val="1004"/>
        </w:numPr>
      </w:pPr>
      <w:r>
        <w:t xml:space="preserve">Confidence: 0.90</w:t>
      </w:r>
    </w:p>
    <w:p>
      <w:pPr>
        <w:pStyle w:val="Compact"/>
        <w:numPr>
          <w:ilvl w:val="0"/>
          <w:numId w:val="1004"/>
        </w:numPr>
      </w:pPr>
      <w:r>
        <w:t xml:space="preserve">Impact Estimate: 0/10</w:t>
      </w:r>
    </w:p>
    <w:p>
      <w:pPr>
        <w:pStyle w:val="FirstParagraph"/>
      </w:pPr>
      <w:r>
        <w:rPr>
          <w:b/>
          <w:bCs/>
        </w:rPr>
        <w:t xml:space="preserve">Quotes:</w:t>
      </w:r>
      <w:r>
        <w:t xml:space="preserve"> </w:t>
      </w:r>
      <w:r>
        <w:t xml:space="preserve">&gt;</w:t>
      </w:r>
      <w:r>
        <w:t xml:space="preserve"> </w:t>
      </w:r>
      <w:r>
        <w:t xml:space="preserve">“the creditor, debt collector, or third-party debt collector may file suit in a court of competent jurisdiction to collect the debt from the consumer.”</w:t>
      </w:r>
      <w:r>
        <w:t xml:space="preserve"> </w:t>
      </w:r>
      <w:r>
        <w:t xml:space="preserve">— §392.308(e)</w:t>
      </w:r>
    </w:p>
    <w:bookmarkEnd w:id="12"/>
    <w:bookmarkStart w:id="13" w:name="finding-5"/>
    <w:p>
      <w:pPr>
        <w:pStyle w:val="Heading4"/>
      </w:pPr>
      <w:r>
        <w:t xml:space="preserve">Finding 5 ✓</w:t>
      </w:r>
    </w:p>
    <w:p>
      <w:pPr>
        <w:pStyle w:val="FirstParagraph"/>
      </w:pPr>
      <w:r>
        <w:rPr>
          <w:b/>
          <w:bCs/>
        </w:rPr>
        <w:t xml:space="preserve">Statement:</w:t>
      </w:r>
      <w:r>
        <w:t xml:space="preserve"> </w:t>
      </w:r>
      <w:r>
        <w:t xml:space="preserve">The bill requires creditors to cease collection efforts on debts identified as resulting from identity theft.</w:t>
      </w:r>
    </w:p>
    <w:p>
      <w:pPr>
        <w:pStyle w:val="Compact"/>
        <w:numPr>
          <w:ilvl w:val="0"/>
          <w:numId w:val="1005"/>
        </w:numPr>
      </w:pPr>
      <w:r>
        <w:t xml:space="preserve">Confidence: 0.90</w:t>
      </w:r>
    </w:p>
    <w:p>
      <w:pPr>
        <w:pStyle w:val="Compact"/>
        <w:numPr>
          <w:ilvl w:val="0"/>
          <w:numId w:val="1005"/>
        </w:numPr>
      </w:pPr>
      <w:r>
        <w:t xml:space="preserve">Impact Estimate: 0/10</w:t>
      </w:r>
    </w:p>
    <w:p>
      <w:pPr>
        <w:pStyle w:val="FirstParagraph"/>
      </w:pPr>
      <w:r>
        <w:rPr>
          <w:b/>
          <w:bCs/>
        </w:rPr>
        <w:t xml:space="preserve">Quotes:</w:t>
      </w:r>
      <w:r>
        <w:t xml:space="preserve"> </w:t>
      </w:r>
      <w:r>
        <w:t xml:space="preserve">&gt;</w:t>
      </w:r>
      <w:r>
        <w:t xml:space="preserve"> </w:t>
      </w:r>
      <w:r>
        <w:t xml:space="preserve">“A creditor, debt collector, or third-party debt collector may not attempt to collect a consumer debt or a portion of a consumer debt from a consumer if the consumer provides… a criminal complaint alleging the commission of an offense…”</w:t>
      </w:r>
      <w:r>
        <w:t xml:space="preserve"> </w:t>
      </w:r>
      <w:r>
        <w:t xml:space="preserve">— §392.308(c)</w:t>
      </w:r>
    </w:p>
    <w:bookmarkEnd w:id="13"/>
    <w:bookmarkStart w:id="14" w:name="finding-6"/>
    <w:p>
      <w:pPr>
        <w:pStyle w:val="Heading4"/>
      </w:pPr>
      <w:r>
        <w:t xml:space="preserve">Finding 6 ✓</w:t>
      </w:r>
    </w:p>
    <w:p>
      <w:pPr>
        <w:pStyle w:val="FirstParagraph"/>
      </w:pPr>
      <w:r>
        <w:rPr>
          <w:b/>
          <w:bCs/>
        </w:rPr>
        <w:t xml:space="preserve">Statement:</w:t>
      </w:r>
      <w:r>
        <w:t xml:space="preserve"> </w:t>
      </w:r>
      <w:r>
        <w:t xml:space="preserve">The bill prohibits the sale or transfer of disputed debts identified as resulting from identity theft, except under specific conditions.</w:t>
      </w:r>
    </w:p>
    <w:p>
      <w:pPr>
        <w:pStyle w:val="Compact"/>
        <w:numPr>
          <w:ilvl w:val="0"/>
          <w:numId w:val="1006"/>
        </w:numPr>
      </w:pPr>
      <w:r>
        <w:t xml:space="preserve">Confidence: 0.90</w:t>
      </w:r>
    </w:p>
    <w:p>
      <w:pPr>
        <w:pStyle w:val="Compact"/>
        <w:numPr>
          <w:ilvl w:val="0"/>
          <w:numId w:val="1006"/>
        </w:numPr>
      </w:pPr>
      <w:r>
        <w:t xml:space="preserve">Impact Estimate: 0/10</w:t>
      </w:r>
    </w:p>
    <w:p>
      <w:pPr>
        <w:pStyle w:val="FirstParagraph"/>
      </w:pPr>
      <w:r>
        <w:rPr>
          <w:b/>
          <w:bCs/>
        </w:rPr>
        <w:t xml:space="preserve">Quotes:</w:t>
      </w:r>
      <w:r>
        <w:t xml:space="preserve"> </w:t>
      </w:r>
      <w:r>
        <w:t xml:space="preserve">&gt;</w:t>
      </w:r>
      <w:r>
        <w:t xml:space="preserve"> </w:t>
      </w:r>
      <w:r>
        <w:t xml:space="preserve">“may not sell the debt or transfer it for consideration, except to collect the debt from the alleged perpetrator of identity theft or from a responsible person other than the victim of identity theft;”</w:t>
      </w:r>
      <w:r>
        <w:t xml:space="preserve"> </w:t>
      </w:r>
      <w:r>
        <w:t xml:space="preserve">— §392.308(d)(3)</w:t>
      </w:r>
    </w:p>
    <w:bookmarkEnd w:id="14"/>
    <w:bookmarkStart w:id="15" w:name="finding-7"/>
    <w:p>
      <w:pPr>
        <w:pStyle w:val="Heading4"/>
      </w:pPr>
      <w:r>
        <w:t xml:space="preserve">Finding 7 ✓</w:t>
      </w:r>
    </w:p>
    <w:p>
      <w:pPr>
        <w:pStyle w:val="FirstParagraph"/>
      </w:pPr>
      <w:r>
        <w:rPr>
          <w:b/>
          <w:bCs/>
        </w:rPr>
        <w:t xml:space="preserve">Statement:</w:t>
      </w:r>
      <w:r>
        <w:t xml:space="preserve"> </w:t>
      </w:r>
      <w:r>
        <w:t xml:space="preserve">Creditors can enforce security interests on disputed debts secured by tangible personal property, but cannot collect deficiencies from victims of identity theft.</w:t>
      </w:r>
    </w:p>
    <w:p>
      <w:pPr>
        <w:pStyle w:val="Compact"/>
        <w:numPr>
          <w:ilvl w:val="0"/>
          <w:numId w:val="1007"/>
        </w:numPr>
      </w:pPr>
      <w:r>
        <w:t xml:space="preserve">Confidence: 0.85</w:t>
      </w:r>
    </w:p>
    <w:p>
      <w:pPr>
        <w:pStyle w:val="Compact"/>
        <w:numPr>
          <w:ilvl w:val="0"/>
          <w:numId w:val="1007"/>
        </w:numPr>
      </w:pPr>
      <w:r>
        <w:t xml:space="preserve">Impact Estimate: 0/10</w:t>
      </w:r>
    </w:p>
    <w:p>
      <w:pPr>
        <w:pStyle w:val="FirstParagraph"/>
      </w:pPr>
      <w:r>
        <w:rPr>
          <w:b/>
          <w:bCs/>
        </w:rPr>
        <w:t xml:space="preserve">Quotes:</w:t>
      </w:r>
      <w:r>
        <w:t xml:space="preserve"> </w:t>
      </w:r>
      <w:r>
        <w:t xml:space="preserve">&gt;</w:t>
      </w:r>
      <w:r>
        <w:t xml:space="preserve"> </w:t>
      </w:r>
      <w:r>
        <w:t xml:space="preserve">“may, if the disputed debt or disputed portion of the debt is secured by tangible personal property, enforce the security interest under Chapter 9, Business &amp; Commerce Code, but may not collect or seek to collect any deficiency from the victim of identity theft.”</w:t>
      </w:r>
      <w:r>
        <w:t xml:space="preserve"> </w:t>
      </w:r>
      <w:r>
        <w:t xml:space="preserve">— §392.308(d)(4)</w:t>
      </w:r>
    </w:p>
    <w:bookmarkEnd w:id="15"/>
    <w:bookmarkStart w:id="16" w:name="finding-8"/>
    <w:p>
      <w:pPr>
        <w:pStyle w:val="Heading4"/>
      </w:pPr>
      <w:r>
        <w:t xml:space="preserve">Finding 8 ✓</w:t>
      </w:r>
    </w:p>
    <w:p>
      <w:pPr>
        <w:pStyle w:val="FirstParagraph"/>
      </w:pPr>
      <w:r>
        <w:rPr>
          <w:b/>
          <w:bCs/>
        </w:rPr>
        <w:t xml:space="preserve">Statement:</w:t>
      </w:r>
      <w:r>
        <w:t xml:space="preserve"> </w:t>
      </w:r>
      <w:r>
        <w:t xml:space="preserve">Creditors have the right to file suit if they believe a consumer falsely claims identity theft.</w:t>
      </w:r>
    </w:p>
    <w:p>
      <w:pPr>
        <w:pStyle w:val="Compact"/>
        <w:numPr>
          <w:ilvl w:val="0"/>
          <w:numId w:val="1008"/>
        </w:numPr>
      </w:pPr>
      <w:r>
        <w:t xml:space="preserve">Confidence: 0.85</w:t>
      </w:r>
    </w:p>
    <w:p>
      <w:pPr>
        <w:pStyle w:val="Compact"/>
        <w:numPr>
          <w:ilvl w:val="0"/>
          <w:numId w:val="1008"/>
        </w:numPr>
      </w:pPr>
      <w:r>
        <w:t xml:space="preserve">Impact Estimate: 0/10</w:t>
      </w:r>
    </w:p>
    <w:p>
      <w:pPr>
        <w:pStyle w:val="FirstParagraph"/>
      </w:pPr>
      <w:r>
        <w:rPr>
          <w:b/>
          <w:bCs/>
        </w:rPr>
        <w:t xml:space="preserve">Quotes:</w:t>
      </w:r>
      <w:r>
        <w:t xml:space="preserve"> </w:t>
      </w:r>
      <w:r>
        <w:t xml:space="preserve">&gt;</w:t>
      </w:r>
      <w:r>
        <w:t xml:space="preserve"> </w:t>
      </w:r>
      <w:r>
        <w:t xml:space="preserve">“If a creditor, debt collector, or third-party debt collector has a good faith reason to believe that a consumer has disputed a consumer debt or portion of a consumer debt under this section based on a material misrepresentation that the consumer is a victim of identity theft, the creditor, debt collector, or third-party debt collector may file suit in a court of competent jurisdiction to collect the debt from the consumer.”</w:t>
      </w:r>
      <w:r>
        <w:t xml:space="preserve"> </w:t>
      </w:r>
      <w:r>
        <w:t xml:space="preserve">— §392.308(e)</w:t>
      </w:r>
    </w:p>
    <w:bookmarkEnd w:id="16"/>
    <w:bookmarkStart w:id="17" w:name="finding-9"/>
    <w:p>
      <w:pPr>
        <w:pStyle w:val="Heading4"/>
      </w:pPr>
      <w:r>
        <w:t xml:space="preserve">Finding 9 ✓</w:t>
      </w:r>
    </w:p>
    <w:p>
      <w:pPr>
        <w:pStyle w:val="FirstParagraph"/>
      </w:pPr>
      <w:r>
        <w:rPr>
          <w:b/>
          <w:bCs/>
        </w:rPr>
        <w:t xml:space="preserve">Statement:</w:t>
      </w:r>
      <w:r>
        <w:t xml:space="preserve"> </w:t>
      </w:r>
      <w:r>
        <w:t xml:space="preserve">The bill provides that a creditor, debt collector, or third-party debt collector may not attempt to collect a consumer debt from a consumer if the consumer provides evidence of being a victim of identity theft.</w:t>
      </w:r>
    </w:p>
    <w:p>
      <w:pPr>
        <w:pStyle w:val="Compact"/>
        <w:numPr>
          <w:ilvl w:val="0"/>
          <w:numId w:val="1009"/>
        </w:numPr>
      </w:pPr>
      <w:r>
        <w:t xml:space="preserve">Confidence: 0.95</w:t>
      </w:r>
    </w:p>
    <w:p>
      <w:pPr>
        <w:pStyle w:val="Compact"/>
        <w:numPr>
          <w:ilvl w:val="0"/>
          <w:numId w:val="1009"/>
        </w:numPr>
      </w:pPr>
      <w:r>
        <w:t xml:space="preserve">Impact Estimate: 0/10</w:t>
      </w:r>
    </w:p>
    <w:p>
      <w:pPr>
        <w:pStyle w:val="FirstParagraph"/>
      </w:pPr>
      <w:r>
        <w:rPr>
          <w:b/>
          <w:bCs/>
        </w:rPr>
        <w:t xml:space="preserve">Quotes:</w:t>
      </w:r>
      <w:r>
        <w:t xml:space="preserve"> </w:t>
      </w:r>
      <w:r>
        <w:t xml:space="preserve">&gt;</w:t>
      </w:r>
      <w:r>
        <w:t xml:space="preserve"> </w:t>
      </w:r>
      <w:r>
        <w:t xml:space="preserve">“A creditor, debt collector, or third-party debt collector may not attempt to collect a consumer debt or a portion of a consumer debt from a consumer if the consumer provides: (1) a criminal complaint alleging the commission of an offense under Section 32.51, Penal Code, or a substantially similar federal law or law in another state, for which the consumer was a victim, accompanied by a statement identifying the consumer debt or the portion of consumer debt that resulted from the offense;”</w:t>
      </w:r>
      <w:r>
        <w:t xml:space="preserve"> </w:t>
      </w:r>
      <w:r>
        <w:t xml:space="preserve">— §392.308(c)</w:t>
      </w:r>
    </w:p>
    <w:bookmarkEnd w:id="17"/>
    <w:bookmarkStart w:id="18" w:name="finding-10"/>
    <w:p>
      <w:pPr>
        <w:pStyle w:val="Heading4"/>
      </w:pPr>
      <w:r>
        <w:t xml:space="preserve">Finding 10 ✓</w:t>
      </w:r>
    </w:p>
    <w:p>
      <w:pPr>
        <w:pStyle w:val="FirstParagraph"/>
      </w:pPr>
      <w:r>
        <w:rPr>
          <w:b/>
          <w:bCs/>
        </w:rPr>
        <w:t xml:space="preserve">Statement:</w:t>
      </w:r>
      <w:r>
        <w:t xml:space="preserve"> </w:t>
      </w:r>
      <w:r>
        <w:t xml:space="preserve">The bill mandates that if a consumer debt is identified as a result of identity theft, the creditor must cease collection efforts and notify others who have received a report of the debt.</w:t>
      </w:r>
    </w:p>
    <w:p>
      <w:pPr>
        <w:pStyle w:val="Compact"/>
        <w:numPr>
          <w:ilvl w:val="0"/>
          <w:numId w:val="1010"/>
        </w:numPr>
      </w:pPr>
      <w:r>
        <w:t xml:space="preserve">Confidence: 0.95</w:t>
      </w:r>
    </w:p>
    <w:p>
      <w:pPr>
        <w:pStyle w:val="Compact"/>
        <w:numPr>
          <w:ilvl w:val="0"/>
          <w:numId w:val="1010"/>
        </w:numPr>
      </w:pPr>
      <w:r>
        <w:t xml:space="preserve">Impact Estimate: 0/10</w:t>
      </w:r>
    </w:p>
    <w:p>
      <w:pPr>
        <w:pStyle w:val="FirstParagraph"/>
      </w:pPr>
      <w:r>
        <w:rPr>
          <w:b/>
          <w:bCs/>
        </w:rPr>
        <w:t xml:space="preserve">Quotes:</w:t>
      </w:r>
      <w:r>
        <w:t xml:space="preserve"> </w:t>
      </w:r>
      <w:r>
        <w:t xml:space="preserve">&gt;</w:t>
      </w:r>
      <w:r>
        <w:t xml:space="preserve"> </w:t>
      </w:r>
      <w:r>
        <w:t xml:space="preserve">“(1) shall immediately cease efforts to collect the disputed debt or disputed portion of the debt from the victim of identity theft; (2) shall send to each person who has previously received a report relating to that debt from the creditor, debt collector, or third-party debt collector notice that the debt is disputed under this section and not collectible from the victim of identity theft;”</w:t>
      </w:r>
      <w:r>
        <w:t xml:space="preserve"> </w:t>
      </w:r>
      <w:r>
        <w:t xml:space="preserve">— §392.308(d)</w:t>
      </w:r>
    </w:p>
    <w:bookmarkEnd w:id="18"/>
    <w:bookmarkStart w:id="19" w:name="finding-11"/>
    <w:p>
      <w:pPr>
        <w:pStyle w:val="Heading4"/>
      </w:pPr>
      <w:r>
        <w:t xml:space="preserve">Finding 11 ✓</w:t>
      </w:r>
    </w:p>
    <w:p>
      <w:pPr>
        <w:pStyle w:val="FirstParagraph"/>
      </w:pPr>
      <w:r>
        <w:rPr>
          <w:b/>
          <w:bCs/>
        </w:rPr>
        <w:t xml:space="preserve">Statement:</w:t>
      </w:r>
      <w:r>
        <w:t xml:space="preserve"> </w:t>
      </w:r>
      <w:r>
        <w:t xml:space="preserve">The bill allows creditors to enforce security interests if the disputed debt is secured by tangible personal property, but prohibits collection of any deficiency from the victim of identity theft.</w:t>
      </w:r>
    </w:p>
    <w:p>
      <w:pPr>
        <w:pStyle w:val="Compact"/>
        <w:numPr>
          <w:ilvl w:val="0"/>
          <w:numId w:val="1011"/>
        </w:numPr>
      </w:pPr>
      <w:r>
        <w:t xml:space="preserve">Confidence: 0.90</w:t>
      </w:r>
    </w:p>
    <w:p>
      <w:pPr>
        <w:pStyle w:val="Compact"/>
        <w:numPr>
          <w:ilvl w:val="0"/>
          <w:numId w:val="1011"/>
        </w:numPr>
      </w:pPr>
      <w:r>
        <w:t xml:space="preserve">Impact Estimate: 0/10</w:t>
      </w:r>
    </w:p>
    <w:p>
      <w:pPr>
        <w:pStyle w:val="FirstParagraph"/>
      </w:pPr>
      <w:r>
        <w:rPr>
          <w:b/>
          <w:bCs/>
        </w:rPr>
        <w:t xml:space="preserve">Quotes:</w:t>
      </w:r>
      <w:r>
        <w:t xml:space="preserve"> </w:t>
      </w:r>
      <w:r>
        <w:t xml:space="preserve">&gt;</w:t>
      </w:r>
      <w:r>
        <w:t xml:space="preserve"> </w:t>
      </w:r>
      <w:r>
        <w:t xml:space="preserve">“may, if the disputed debt or disputed portion of the debt is secured by tangible personal property, enforce the security interest under Chapter 9, Business &amp; Commerce Code, but may not collect or seek to collect any deficiency from the victim of identity theft.”</w:t>
      </w:r>
      <w:r>
        <w:t xml:space="preserve"> </w:t>
      </w:r>
      <w:r>
        <w:t xml:space="preserve">— §392.308(d)(4)</w:t>
      </w:r>
    </w:p>
    <w:bookmarkEnd w:id="19"/>
    <w:bookmarkStart w:id="20" w:name="finding-12"/>
    <w:p>
      <w:pPr>
        <w:pStyle w:val="Heading4"/>
      </w:pPr>
      <w:r>
        <w:t xml:space="preserve">Finding 12 ✓</w:t>
      </w:r>
    </w:p>
    <w:p>
      <w:pPr>
        <w:pStyle w:val="FirstParagraph"/>
      </w:pPr>
      <w:r>
        <w:rPr>
          <w:b/>
          <w:bCs/>
        </w:rPr>
        <w:t xml:space="preserve">Statement:</w:t>
      </w:r>
      <w:r>
        <w:t xml:space="preserve"> </w:t>
      </w:r>
      <w:r>
        <w:t xml:space="preserve">The bill provides creditors the right to file suit if they believe a consumer has misrepresented identity theft.</w:t>
      </w:r>
    </w:p>
    <w:p>
      <w:pPr>
        <w:pStyle w:val="Compact"/>
        <w:numPr>
          <w:ilvl w:val="0"/>
          <w:numId w:val="1012"/>
        </w:numPr>
      </w:pPr>
      <w:r>
        <w:t xml:space="preserve">Confidence: 0.90</w:t>
      </w:r>
    </w:p>
    <w:p>
      <w:pPr>
        <w:pStyle w:val="Compact"/>
        <w:numPr>
          <w:ilvl w:val="0"/>
          <w:numId w:val="1012"/>
        </w:numPr>
      </w:pPr>
      <w:r>
        <w:t xml:space="preserve">Impact Estimate: 0/10</w:t>
      </w:r>
    </w:p>
    <w:p>
      <w:pPr>
        <w:pStyle w:val="FirstParagraph"/>
      </w:pPr>
      <w:r>
        <w:rPr>
          <w:b/>
          <w:bCs/>
        </w:rPr>
        <w:t xml:space="preserve">Quotes:</w:t>
      </w:r>
      <w:r>
        <w:t xml:space="preserve"> </w:t>
      </w:r>
      <w:r>
        <w:t xml:space="preserve">&gt;</w:t>
      </w:r>
      <w:r>
        <w:t xml:space="preserve"> </w:t>
      </w:r>
      <w:r>
        <w:t xml:space="preserve">“If a creditor, debt collector, or third-party debt collector has a good faith reason to believe that a consumer has disputed a consumer debt or portion of a consumer debt under this section based on a material misrepresentation that the consumer is a victim of identity theft, the creditor, debt collector, or third-party debt collector may file suit in a court of competent jurisdiction to collect the debt from the consumer.”</w:t>
      </w:r>
      <w:r>
        <w:t xml:space="preserve"> </w:t>
      </w:r>
      <w:r>
        <w:t xml:space="preserve">— §392.308(e)</w:t>
      </w:r>
    </w:p>
    <w:bookmarkEnd w:id="20"/>
    <w:bookmarkEnd w:id="21"/>
    <w:bookmarkStart w:id="22" w:name="rubric-scores"/>
    <w:p>
      <w:pPr>
        <w:pStyle w:val="Heading3"/>
      </w:pPr>
      <w:r>
        <w:t xml:space="preserve">Rubric Scores</w:t>
      </w:r>
    </w:p>
    <w:tbl>
      <w:tblPr>
        <w:tblStyle w:val="Table"/>
        <w:tblW w:type="pct" w:w="5000"/>
        <w:tblLayout w:type="fixed"/>
        <w:tblLook w:firstRow="1" w:lastRow="0" w:firstColumn="0" w:lastColumn="0" w:noHBand="0" w:noVBand="0" w:val="0020"/>
      </w:tblPr>
      <w:tblGrid>
        <w:gridCol w:w="3350"/>
        <w:gridCol w:w="2132"/>
        <w:gridCol w:w="2436"/>
      </w:tblGrid>
      <w:tr>
        <w:trPr>
          <w:tblHeader w:val="on"/>
        </w:trPr>
        <w:tc>
          <w:tcPr/>
          <w:p>
            <w:pPr>
              <w:pStyle w:val="Compact"/>
            </w:pPr>
            <w:r>
              <w:t xml:space="preserve">Dimension</w:t>
            </w:r>
          </w:p>
        </w:tc>
        <w:tc>
          <w:tcPr/>
          <w:p>
            <w:pPr>
              <w:pStyle w:val="Compact"/>
            </w:pPr>
            <w:r>
              <w:t xml:space="preserve">Score</w:t>
            </w:r>
          </w:p>
        </w:tc>
        <w:tc>
          <w:tcPr/>
          <w:p>
            <w:pPr>
              <w:pStyle w:val="Compact"/>
            </w:pPr>
            <w:r>
              <w:t xml:space="preserve">Anchor</w:t>
            </w:r>
          </w:p>
        </w:tc>
      </w:tr>
      <w:tr>
        <w:tc>
          <w:tcPr/>
          <w:p>
            <w:pPr>
              <w:pStyle w:val="Compact"/>
            </w:pPr>
            <w:r>
              <w:t xml:space="preserve">legal_risk</w:t>
            </w:r>
          </w:p>
        </w:tc>
        <w:tc>
          <w:tcPr/>
          <w:p>
            <w:pPr>
              <w:pStyle w:val="Compact"/>
            </w:pPr>
            <w:r>
              <w:t xml:space="preserve">3/10</w:t>
            </w:r>
          </w:p>
        </w:tc>
        <w:tc>
          <w:tcPr/>
          <w:p>
            <w:pPr>
              <w:pStyle w:val="Compact"/>
            </w:pPr>
            <w:r>
              <w:t xml:space="preserve">3-5: Minor compliance - reporting, training, disclosure requirements</w:t>
            </w:r>
          </w:p>
        </w:tc>
      </w:tr>
      <w:tr>
        <w:tc>
          <w:tcPr/>
          <w:p>
            <w:pPr>
              <w:pStyle w:val="Compact"/>
            </w:pPr>
            <w:r>
              <w:t xml:space="preserve">financial_impact</w:t>
            </w:r>
          </w:p>
        </w:tc>
        <w:tc>
          <w:tcPr/>
          <w:p>
            <w:pPr>
              <w:pStyle w:val="Compact"/>
            </w:pPr>
            <w:r>
              <w:t xml:space="preserve">0/10</w:t>
            </w:r>
          </w:p>
        </w:tc>
        <w:tc>
          <w:tcPr/>
          <w:p>
            <w:pPr>
              <w:pStyle w:val="Compact"/>
            </w:pPr>
            <w:r>
              <w:t xml:space="preserve">0-2: &lt;$100K annual - negligible impact</w:t>
            </w:r>
          </w:p>
        </w:tc>
      </w:tr>
      <w:tr>
        <w:tc>
          <w:tcPr/>
          <w:p>
            <w:pPr>
              <w:pStyle w:val="Compact"/>
            </w:pPr>
            <w:r>
              <w:t xml:space="preserve">operational_disruption</w:t>
            </w:r>
          </w:p>
        </w:tc>
        <w:tc>
          <w:tcPr/>
          <w:p>
            <w:pPr>
              <w:pStyle w:val="Compact"/>
            </w:pPr>
            <w:r>
              <w:t xml:space="preserve">1/10</w:t>
            </w:r>
          </w:p>
        </w:tc>
        <w:tc>
          <w:tcPr/>
          <w:p>
            <w:pPr>
              <w:pStyle w:val="Compact"/>
            </w:pPr>
            <w:r>
              <w:t xml:space="preserve">0-2: No operational changes required</w:t>
            </w:r>
          </w:p>
        </w:tc>
      </w:tr>
      <w:tr>
        <w:tc>
          <w:tcPr/>
          <w:p>
            <w:pPr>
              <w:pStyle w:val="Compact"/>
            </w:pPr>
            <w:r>
              <w:t xml:space="preserve">ambiguity_risk</w:t>
            </w:r>
          </w:p>
        </w:tc>
        <w:tc>
          <w:tcPr/>
          <w:p>
            <w:pPr>
              <w:pStyle w:val="Compact"/>
            </w:pPr>
            <w:r>
              <w:t xml:space="preserve">2/10</w:t>
            </w:r>
          </w:p>
        </w:tc>
        <w:tc>
          <w:tcPr/>
          <w:p>
            <w:pPr>
              <w:pStyle w:val="Compact"/>
            </w:pPr>
            <w:r>
              <w:t xml:space="preserve">0-2: Clear, explicit language - no interpretation needed</w:t>
            </w:r>
          </w:p>
        </w:tc>
      </w:tr>
    </w:tbl>
    <w:p>
      <w:r>
        <w:pict>
          <v:rect style="width:0;height:1.5pt" o:hralign="center" o:hrstd="t" o:hr="t"/>
        </w:pict>
      </w:r>
    </w:p>
    <w:bookmarkEnd w:id="22"/>
    <w:bookmarkEnd w:id="23"/>
    <w:bookmarkStart w:id="29" w:name="X237c58188bfd8f905d8aa9f621accc283eef688"/>
    <w:p>
      <w:pPr>
        <w:pStyle w:val="Heading2"/>
      </w:pPr>
      <w:r>
        <w:t xml:space="preserve">HB391: Relating to board of directors meeting locations of certain special districts.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Source</w:t>
            </w:r>
          </w:p>
        </w:tc>
        <w:tc>
          <w:tcPr/>
          <w:p>
            <w:pPr>
              <w:pStyle w:val="Compact"/>
            </w:pPr>
            <w:r>
              <w:t xml:space="preserve">Open States</w:t>
            </w:r>
          </w:p>
        </w:tc>
      </w:tr>
      <w:tr>
        <w:tc>
          <w:tcPr/>
          <w:p>
            <w:pPr>
              <w:pStyle w:val="Compact"/>
            </w:pPr>
            <w:r>
              <w:t xml:space="preserve">Route</w:t>
            </w:r>
          </w:p>
        </w:tc>
        <w:tc>
          <w:tcPr/>
          <w:p>
            <w:pPr>
              <w:pStyle w:val="Compact"/>
            </w:pPr>
            <w:r>
              <w:t xml:space="preserve">STANDARD</w:t>
            </w:r>
          </w:p>
        </w:tc>
      </w:tr>
      <w:tr>
        <w:tc>
          <w:tcPr/>
          <w:p>
            <w:pPr>
              <w:pStyle w:val="Compact"/>
            </w:pPr>
            <w:r>
              <w:t xml:space="preserve">Versions Processed</w:t>
            </w:r>
          </w:p>
        </w:tc>
        <w:tc>
          <w:tcPr/>
          <w:p>
            <w:pPr>
              <w:pStyle w:val="Compact"/>
            </w:pPr>
            <w:r>
              <w:t xml:space="preserve">3</w:t>
            </w:r>
          </w:p>
        </w:tc>
      </w:tr>
      <w:tr>
        <w:tc>
          <w:tcPr/>
          <w:p>
            <w:pPr>
              <w:pStyle w:val="Compact"/>
            </w:pPr>
            <w:r>
              <w:t xml:space="preserve">Total Findings</w:t>
            </w:r>
          </w:p>
        </w:tc>
        <w:tc>
          <w:tcPr/>
          <w:p>
            <w:pPr>
              <w:pStyle w:val="Compact"/>
            </w:pPr>
            <w:r>
              <w:t xml:space="preserve">3</w:t>
            </w:r>
          </w:p>
        </w:tc>
      </w:tr>
      <w:tr>
        <w:tc>
          <w:tcPr/>
          <w:p>
            <w:pPr>
              <w:pStyle w:val="Compact"/>
            </w:pPr>
            <w:r>
              <w:t xml:space="preserve">Verified Findings</w:t>
            </w:r>
          </w:p>
        </w:tc>
        <w:tc>
          <w:tcPr/>
          <w:p>
            <w:pPr>
              <w:pStyle w:val="Compact"/>
            </w:pPr>
            <w:r>
              <w:t xml:space="preserve">1</w:t>
            </w:r>
          </w:p>
        </w:tc>
      </w:tr>
      <w:tr>
        <w:tc>
          <w:tcPr/>
          <w:p>
            <w:pPr>
              <w:pStyle w:val="Compact"/>
            </w:pPr>
            <w:r>
              <w:t xml:space="preserve">Hallucinations</w:t>
            </w:r>
          </w:p>
        </w:tc>
        <w:tc>
          <w:tcPr/>
          <w:p>
            <w:pPr>
              <w:pStyle w:val="Compact"/>
            </w:pPr>
            <w:r>
              <w:t xml:space="preserve">2</w:t>
            </w:r>
          </w:p>
        </w:tc>
      </w:tr>
    </w:tbl>
    <w:bookmarkStart w:id="27" w:name="findings-1"/>
    <w:p>
      <w:pPr>
        <w:pStyle w:val="Heading3"/>
      </w:pPr>
      <w:r>
        <w:t xml:space="preserve">Findings</w:t>
      </w:r>
    </w:p>
    <w:bookmarkStart w:id="24" w:name="finding-1-1"/>
    <w:p>
      <w:pPr>
        <w:pStyle w:val="Heading4"/>
      </w:pPr>
      <w:r>
        <w:t xml:space="preserve">Finding 1 ✓</w:t>
      </w:r>
    </w:p>
    <w:p>
      <w:pPr>
        <w:pStyle w:val="FirstParagraph"/>
      </w:pPr>
      <w:r>
        <w:rPr>
          <w:b/>
          <w:bCs/>
        </w:rPr>
        <w:t xml:space="preserve">Statement:</w:t>
      </w:r>
      <w:r>
        <w:t xml:space="preserve"> </w:t>
      </w:r>
      <w:r>
        <w:t xml:space="preserve">The bill allows board meetings of certain rural area water districts to be conducted via telephone or video conference, with the exception of meetings to discuss the tax rate, which must be conducted in person.</w:t>
      </w:r>
    </w:p>
    <w:p>
      <w:pPr>
        <w:pStyle w:val="Compact"/>
        <w:numPr>
          <w:ilvl w:val="0"/>
          <w:numId w:val="1013"/>
        </w:numPr>
      </w:pPr>
      <w:r>
        <w:t xml:space="preserve">Confidence: 0.70</w:t>
      </w:r>
    </w:p>
    <w:p>
      <w:pPr>
        <w:pStyle w:val="Compact"/>
        <w:numPr>
          <w:ilvl w:val="0"/>
          <w:numId w:val="1013"/>
        </w:numPr>
      </w:pPr>
      <w:r>
        <w:t xml:space="preserve">Impact Estimate: 4/10</w:t>
      </w:r>
    </w:p>
    <w:p>
      <w:pPr>
        <w:pStyle w:val="FirstParagraph"/>
      </w:pPr>
      <w:r>
        <w:rPr>
          <w:b/>
          <w:bCs/>
        </w:rPr>
        <w:t xml:space="preserve">Quotes:</w:t>
      </w:r>
      <w:r>
        <w:t xml:space="preserve"> </w:t>
      </w:r>
      <w:r>
        <w:t xml:space="preserve">&gt;</w:t>
      </w:r>
      <w:r>
        <w:t xml:space="preserve"> </w:t>
      </w:r>
      <w:r>
        <w:t xml:space="preserve">“A rural area district may satisfy the requirements of Subsection (b-2) by conducting quarterly meetings by telephone conference call or video conference call. A meeting to discuss the tax rate of the district must be conducted in person.”</w:t>
      </w:r>
      <w:r>
        <w:t xml:space="preserve"> </w:t>
      </w:r>
      <w:r>
        <w:t xml:space="preserve">— §49.062(b-3)</w:t>
      </w:r>
    </w:p>
    <w:bookmarkEnd w:id="24"/>
    <w:bookmarkStart w:id="25" w:name="finding-2-hallucination"/>
    <w:p>
      <w:pPr>
        <w:pStyle w:val="Heading4"/>
      </w:pPr>
      <w:r>
        <w:t xml:space="preserve">Finding 2 ✗ [Hallucination]</w:t>
      </w:r>
    </w:p>
    <w:p>
      <w:pPr>
        <w:pStyle w:val="FirstParagraph"/>
      </w:pPr>
      <w:r>
        <w:rPr>
          <w:b/>
          <w:bCs/>
        </w:rPr>
        <w:t xml:space="preserve">Statement:</w:t>
      </w:r>
      <w:r>
        <w:t xml:space="preserve"> </w:t>
      </w:r>
      <w:r>
        <w:t xml:space="preserve">The bill mandates that board meetings for rural area water districts must be held within the district or nearby at least once per quarter, potentially affecting NRG Energy’s operations if they are involved in such districts.</w:t>
      </w:r>
    </w:p>
    <w:p>
      <w:pPr>
        <w:pStyle w:val="Compact"/>
        <w:numPr>
          <w:ilvl w:val="0"/>
          <w:numId w:val="1014"/>
        </w:numPr>
      </w:pPr>
      <w:r>
        <w:t xml:space="preserve">Confidence: 0.70</w:t>
      </w:r>
    </w:p>
    <w:p>
      <w:pPr>
        <w:pStyle w:val="Compact"/>
        <w:numPr>
          <w:ilvl w:val="0"/>
          <w:numId w:val="1014"/>
        </w:numPr>
      </w:pPr>
      <w:r>
        <w:t xml:space="preserve">Impact Estimate: 3/10</w:t>
      </w:r>
    </w:p>
    <w:p>
      <w:pPr>
        <w:pStyle w:val="FirstParagraph"/>
      </w:pPr>
      <w:r>
        <w:rPr>
          <w:b/>
          <w:bCs/>
        </w:rPr>
        <w:t xml:space="preserve">Quotes:</w:t>
      </w:r>
      <w:r>
        <w:t xml:space="preserve"> </w:t>
      </w:r>
      <w:r>
        <w:t xml:space="preserve">&gt;</w:t>
      </w:r>
      <w:r>
        <w:t xml:space="preserve"> </w:t>
      </w:r>
      <w:r>
        <w:t xml:space="preserve">“The board shall conduct a meeting at a designated meeting location inside the district or within 10 miles of the boundary of the district at least once per quarter.”</w:t>
      </w:r>
      <w:r>
        <w:t xml:space="preserve"> </w:t>
      </w:r>
      <w:r>
        <w:t xml:space="preserve">— §49.062(b-2)</w:t>
      </w:r>
    </w:p>
    <w:bookmarkEnd w:id="25"/>
    <w:bookmarkStart w:id="26" w:name="finding-3-hallucination"/>
    <w:p>
      <w:pPr>
        <w:pStyle w:val="Heading4"/>
      </w:pPr>
      <w:r>
        <w:t xml:space="preserve">Finding 3 ✗ [Hallucination]</w:t>
      </w:r>
    </w:p>
    <w:p>
      <w:pPr>
        <w:pStyle w:val="FirstParagraph"/>
      </w:pPr>
      <w:r>
        <w:rPr>
          <w:b/>
          <w:bCs/>
        </w:rPr>
        <w:t xml:space="preserve">Statement:</w:t>
      </w:r>
      <w:r>
        <w:t xml:space="preserve"> </w:t>
      </w:r>
      <w:r>
        <w:t xml:space="preserve">The bill specifies that meetings must be conducted in accordance with open meetings law, except for certain provisions allowing remote meetings for rural area districts, which could influence NRG Energy’s compliance requirements if they engage with these districts.</w:t>
      </w:r>
    </w:p>
    <w:p>
      <w:pPr>
        <w:pStyle w:val="Compact"/>
        <w:numPr>
          <w:ilvl w:val="0"/>
          <w:numId w:val="1015"/>
        </w:numPr>
      </w:pPr>
      <w:r>
        <w:t xml:space="preserve">Confidence: 0.70</w:t>
      </w:r>
    </w:p>
    <w:p>
      <w:pPr>
        <w:pStyle w:val="Compact"/>
        <w:numPr>
          <w:ilvl w:val="0"/>
          <w:numId w:val="1015"/>
        </w:numPr>
      </w:pPr>
      <w:r>
        <w:t xml:space="preserve">Impact Estimate: 2/10</w:t>
      </w:r>
    </w:p>
    <w:p>
      <w:pPr>
        <w:pStyle w:val="FirstParagraph"/>
      </w:pPr>
      <w:r>
        <w:rPr>
          <w:b/>
          <w:bCs/>
        </w:rPr>
        <w:t xml:space="preserve">Quotes:</w:t>
      </w:r>
      <w:r>
        <w:t xml:space="preserve"> </w:t>
      </w:r>
      <w:r>
        <w:t xml:space="preserve">&gt;</w:t>
      </w:r>
      <w:r>
        <w:t xml:space="preserve"> </w:t>
      </w:r>
      <w:r>
        <w:t xml:space="preserve">“Notwithstanding Chapter 551, Government Code, and except as provided by this subsection, a rural area district may satisfy the requirements of Subsection (b-2) by conducting quarterly meetings by telephone conference call or video conference call.”</w:t>
      </w:r>
      <w:r>
        <w:t xml:space="preserve"> </w:t>
      </w:r>
      <w:r>
        <w:t xml:space="preserve">— §49.062(b-3)</w:t>
      </w:r>
    </w:p>
    <w:bookmarkEnd w:id="26"/>
    <w:bookmarkEnd w:id="27"/>
    <w:bookmarkStart w:id="28" w:name="rubric-scores-1"/>
    <w:p>
      <w:pPr>
        <w:pStyle w:val="Heading3"/>
      </w:pPr>
      <w:r>
        <w:t xml:space="preserve">Rubric Scores</w:t>
      </w:r>
    </w:p>
    <w:tbl>
      <w:tblPr>
        <w:tblStyle w:val="Table"/>
        <w:tblW w:type="pct" w:w="5000"/>
        <w:tblLayout w:type="fixed"/>
        <w:tblLook w:firstRow="1" w:lastRow="0" w:firstColumn="0" w:lastColumn="0" w:noHBand="0" w:noVBand="0" w:val="0020"/>
      </w:tblPr>
      <w:tblGrid>
        <w:gridCol w:w="3350"/>
        <w:gridCol w:w="2132"/>
        <w:gridCol w:w="2436"/>
      </w:tblGrid>
      <w:tr>
        <w:trPr>
          <w:tblHeader w:val="on"/>
        </w:trPr>
        <w:tc>
          <w:tcPr/>
          <w:p>
            <w:pPr>
              <w:pStyle w:val="Compact"/>
            </w:pPr>
            <w:r>
              <w:t xml:space="preserve">Dimension</w:t>
            </w:r>
          </w:p>
        </w:tc>
        <w:tc>
          <w:tcPr/>
          <w:p>
            <w:pPr>
              <w:pStyle w:val="Compact"/>
            </w:pPr>
            <w:r>
              <w:t xml:space="preserve">Score</w:t>
            </w:r>
          </w:p>
        </w:tc>
        <w:tc>
          <w:tcPr/>
          <w:p>
            <w:pPr>
              <w:pStyle w:val="Compact"/>
            </w:pPr>
            <w:r>
              <w:t xml:space="preserve">Anchor</w:t>
            </w:r>
          </w:p>
        </w:tc>
      </w:tr>
      <w:tr>
        <w:tc>
          <w:tcPr/>
          <w:p>
            <w:pPr>
              <w:pStyle w:val="Compact"/>
            </w:pPr>
            <w:r>
              <w:t xml:space="preserve">legal_risk</w:t>
            </w:r>
          </w:p>
        </w:tc>
        <w:tc>
          <w:tcPr/>
          <w:p>
            <w:pPr>
              <w:pStyle w:val="Compact"/>
            </w:pPr>
            <w:r>
              <w:t xml:space="preserve">0/10</w:t>
            </w:r>
          </w:p>
        </w:tc>
        <w:tc>
          <w:tcPr/>
          <w:p>
            <w:pPr>
              <w:pStyle w:val="Compact"/>
            </w:pPr>
            <w:r>
              <w:t xml:space="preserve">0-2: No new obligations - cosmetic language changes only</w:t>
            </w:r>
          </w:p>
        </w:tc>
      </w:tr>
      <w:tr>
        <w:tc>
          <w:tcPr/>
          <w:p>
            <w:pPr>
              <w:pStyle w:val="Compact"/>
            </w:pPr>
            <w:r>
              <w:t xml:space="preserve">financial_impact</w:t>
            </w:r>
          </w:p>
        </w:tc>
        <w:tc>
          <w:tcPr/>
          <w:p>
            <w:pPr>
              <w:pStyle w:val="Compact"/>
            </w:pPr>
            <w:r>
              <w:t xml:space="preserve">0/10</w:t>
            </w:r>
          </w:p>
        </w:tc>
        <w:tc>
          <w:tcPr/>
          <w:p>
            <w:pPr>
              <w:pStyle w:val="Compact"/>
            </w:pPr>
            <w:r>
              <w:t xml:space="preserve">0-2: &lt;$100K annual - negligible impact</w:t>
            </w:r>
          </w:p>
        </w:tc>
      </w:tr>
      <w:tr>
        <w:tc>
          <w:tcPr/>
          <w:p>
            <w:pPr>
              <w:pStyle w:val="Compact"/>
            </w:pPr>
            <w:r>
              <w:t xml:space="preserve">operational_disruption</w:t>
            </w:r>
          </w:p>
        </w:tc>
        <w:tc>
          <w:tcPr/>
          <w:p>
            <w:pPr>
              <w:pStyle w:val="Compact"/>
            </w:pPr>
            <w:r>
              <w:t xml:space="preserve">0/10</w:t>
            </w:r>
          </w:p>
        </w:tc>
        <w:tc>
          <w:tcPr/>
          <w:p>
            <w:pPr>
              <w:pStyle w:val="Compact"/>
            </w:pPr>
            <w:r>
              <w:t xml:space="preserve">0-2: No operational changes required</w:t>
            </w:r>
          </w:p>
        </w:tc>
      </w:tr>
      <w:tr>
        <w:tc>
          <w:tcPr/>
          <w:p>
            <w:pPr>
              <w:pStyle w:val="Compact"/>
            </w:pPr>
            <w:r>
              <w:t xml:space="preserve">ambiguity_risk</w:t>
            </w:r>
          </w:p>
        </w:tc>
        <w:tc>
          <w:tcPr/>
          <w:p>
            <w:pPr>
              <w:pStyle w:val="Compact"/>
            </w:pPr>
            <w:r>
              <w:t xml:space="preserve">2/10</w:t>
            </w:r>
          </w:p>
        </w:tc>
        <w:tc>
          <w:tcPr/>
          <w:p>
            <w:pPr>
              <w:pStyle w:val="Compact"/>
            </w:pPr>
            <w:r>
              <w:t xml:space="preserve">0-2: Clear, explicit language - no interpretation needed</w:t>
            </w:r>
          </w:p>
        </w:tc>
      </w:tr>
    </w:tbl>
    <w:p>
      <w:r>
        <w:pict>
          <v:rect style="width:0;height:1.5pt" o:hralign="center" o:hrstd="t" o:hr="t"/>
        </w:pic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2026-01-24T16:44:32Z</dcterms:created>
  <dcterms:modified xsi:type="dcterms:W3CDTF">2026-01-24T16:44:32Z</dcterms:modified>
</cp:coreProperties>
</file>

<file path=docProps/custom.xml><?xml version="1.0" encoding="utf-8"?>
<Properties xmlns="http://schemas.openxmlformats.org/officeDocument/2006/custom-properties" xmlns:vt="http://schemas.openxmlformats.org/officeDocument/2006/docPropsVTypes"/>
</file>