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[Opening frame: Brand logo + tag: “AI-Powered Content Management for Global Growth”]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"In a world where content drives connection — scaling across borders, cultures, and compliance isn’t a nice-to-have. It’s a must."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[Visual: Map of regions lighting up with local languages + content variations]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"Our AI-powered content platform unlocks global growth by making content regional, relevant, and real-time. We don’t just translate — we tailor. For culture, for language, for compliance."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[Visual: Comparison of vendor-bound vs vendor-neutral systems. Arrows pointing to 'AWS / Azure / Custom stack.']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"And we’re vendor-neutral. Whether you use AWS, Azure, or something entirely custom — our system fits into your workflow. No lock-ins. Just scale."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[Visual: Graph showing cost savings: $11M → $285K]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"How efficient? One client slashed vendor costs from $11 million to $285K — while increasing global engagement by 25%."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[Visual: Dashboard showing AI/human feedback loop → performance improvements]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"We combine AI with human feedback — so the system learns and adapts. Search accuracy climbs to 99%. Translation quality goes up. Team headcount goes down."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[Visual: Silos (Marketing / Tech / Content) merging into one system view]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"Post-merger? SKU chaos? We handle it. Align structured and unstructured data. Create one source of truth — and scale content with confidence."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[Final screen: Logo, tagline, call-to-action: “Adaptive. Contextual. Borderless. Let’s build smarter content systems.”]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Voiceover:</w:t>
        <w:br w:type="textWrapping"/>
      </w:r>
      <w:r w:rsidDel="00000000" w:rsidR="00000000" w:rsidRPr="00000000">
        <w:rPr>
          <w:rtl w:val="0"/>
        </w:rPr>
        <w:t xml:space="preserve"> "Ready to scale across borders? Let’s build smarter content systems — together."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