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onsolas" w:hAnsi="Consolas"/>
          <w:b/>
          <w:i w:val="0"/>
          <w:color w:val="147CA6"/>
          <w:sz w:val="17"/>
          <w:caps w:val="true"/>
          <w:spacing w:val="40"/>
        </w:rPr>
        <w:t>22North Product Engineering Challenge 2026  ·  Challenge 1</w:t>
      </w:r>
    </w:p>
    <w:p>
      <w:pPr>
        <w:spacing w:after="40"/>
      </w:pPr>
      <w:r>
        <w:rPr>
          <w:rFonts w:ascii="Calibri" w:hAnsi="Calibri"/>
          <w:b/>
          <w:i w:val="0"/>
          <w:color w:val="0E2740"/>
          <w:sz w:val="60"/>
        </w:rPr>
        <w:t>SkyJet Flight Recovery</w:t>
      </w:r>
    </w:p>
    <w:p>
      <w:pPr>
        <w:spacing w:after="200"/>
      </w:pPr>
      <w:r>
        <w:rPr>
          <w:rFonts w:ascii="Calibri" w:hAnsi="Calibri"/>
          <w:b/>
          <w:i w:val="0"/>
          <w:color w:val="147CA6"/>
          <w:sz w:val="60"/>
        </w:rPr>
        <w:t>Architecture Board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5A6B7B"/>
          <w:sz w:val="22"/>
        </w:rPr>
        <w:t xml:space="preserve">One document to understand the </w:t>
      </w:r>
      <w:r>
        <w:rPr>
          <w:rFonts w:ascii="Calibri" w:hAnsi="Calibri"/>
          <w:b/>
          <w:i w:val="0"/>
          <w:color w:val="1A2430"/>
          <w:sz w:val="22"/>
        </w:rPr>
        <w:t>whole system and every feature</w:t>
      </w:r>
      <w:r>
        <w:rPr>
          <w:rFonts w:ascii="Calibri" w:hAnsi="Calibri"/>
          <w:b w:val="0"/>
          <w:i w:val="0"/>
          <w:color w:val="5A6B7B"/>
          <w:sz w:val="22"/>
        </w:rPr>
        <w:t xml:space="preserve">. A self-service experience that lets a disrupted passenger </w:t>
      </w:r>
      <w:r>
        <w:rPr>
          <w:rFonts w:ascii="Calibri" w:hAnsi="Calibri"/>
          <w:b/>
          <w:i w:val="0"/>
          <w:color w:val="1A2430"/>
          <w:sz w:val="22"/>
        </w:rPr>
        <w:t>rebook, refund, or get an answer in under 30 seconds</w:t>
      </w:r>
      <w:r>
        <w:rPr>
          <w:rFonts w:ascii="Calibri" w:hAnsi="Calibri"/>
          <w:b w:val="0"/>
          <w:i w:val="0"/>
          <w:color w:val="5A6B7B"/>
          <w:sz w:val="22"/>
        </w:rPr>
        <w:t xml:space="preserve"> — with complex cases handed to a human, full context attached.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F3F7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16"/>
                <w:caps w:val="true"/>
                <w:spacing w:val="30"/>
              </w:rPr>
              <w:t>PRODUCT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Self-service IRROPS recovery</w:t>
            </w:r>
          </w:p>
        </w:tc>
        <w:tc>
          <w:tcPr>
            <w:tcW w:type="dxa" w:w="2448"/>
            <w:shd w:val="clear" w:color="auto" w:fill="F3F7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16"/>
                <w:caps w:val="true"/>
                <w:spacing w:val="30"/>
              </w:rPr>
              <w:t>SHAPE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Modular monolith · Next.js 16</w:t>
            </w:r>
          </w:p>
        </w:tc>
        <w:tc>
          <w:tcPr>
            <w:tcW w:type="dxa" w:w="2448"/>
            <w:shd w:val="clear" w:color="auto" w:fill="F3F7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16"/>
                <w:caps w:val="true"/>
                <w:spacing w:val="30"/>
              </w:rPr>
              <w:t>STATUS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Deployable MVP · Vercel-ready</w:t>
            </w:r>
          </w:p>
        </w:tc>
        <w:tc>
          <w:tcPr>
            <w:tcW w:type="dxa" w:w="2448"/>
            <w:shd w:val="clear" w:color="auto" w:fill="F3F7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16"/>
                <w:caps w:val="true"/>
                <w:spacing w:val="30"/>
              </w:rPr>
              <w:t>UPDATED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2026-07-03</w:t>
            </w:r>
          </w:p>
        </w:tc>
      </w:tr>
    </w:tbl>
    <w:p>
      <w:pPr>
        <w:spacing w:after="40"/>
      </w:pPr>
    </w:p>
    <w:p>
      <w:pPr>
        <w:spacing w:before="160" w:after="80"/>
        <w:pBdr>
          <w:bottom w:val="single" w:sz="8" w:space="1" w:color="D5E0EA"/>
        </w:pBdr>
      </w:pPr>
    </w:p>
    <w:p>
      <w:pPr>
        <w:spacing w:before="0" w:after="60"/>
      </w:pPr>
      <w:r>
        <w:rPr>
          <w:rFonts w:ascii="Consolas" w:hAnsi="Consolas"/>
          <w:b/>
          <w:i w:val="0"/>
          <w:color w:val="147CA6"/>
          <w:sz w:val="17"/>
          <w:caps w:val="true"/>
          <w:spacing w:val="40"/>
        </w:rPr>
        <w:t>Boards in this document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01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Whole-system architecture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02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Golden-path sequence</w:t>
            </w:r>
          </w:p>
        </w:tc>
      </w:tr>
      <w:tr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03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Eligibility rules engine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04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Disruption Assistant · RAG</w:t>
            </w:r>
          </w:p>
        </w:tc>
      </w:tr>
      <w:tr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05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Data model &amp; booking state machine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06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Feature map (P0–P3)</w:t>
            </w:r>
          </w:p>
        </w:tc>
      </w:tr>
      <w:tr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07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Scale &amp; non-functional story</w:t>
            </w:r>
          </w:p>
        </w:tc>
        <w:tc>
          <w:tcPr>
            <w:tcW w:type="dxa" w:w="4896"/>
          </w:tcPr>
          <w:p/>
        </w:tc>
      </w:tr>
    </w:tbl>
    <w:p>
      <w:pPr>
        <w:spacing w:after="40"/>
      </w:pPr>
    </w:p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01   </w:t>
      </w:r>
      <w:r>
        <w:rPr>
          <w:rFonts w:ascii="Calibri" w:hAnsi="Calibri"/>
          <w:b/>
          <w:i w:val="0"/>
          <w:color w:val="0E2740"/>
          <w:sz w:val="30"/>
        </w:rPr>
        <w:t>Whole-system architecture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2430"/>
          <w:sz w:val="21"/>
        </w:rPr>
        <w:t xml:space="preserve">A </w:t>
      </w:r>
      <w:r>
        <w:rPr>
          <w:rFonts w:ascii="Calibri" w:hAnsi="Calibri"/>
          <w:b/>
          <w:i w:val="0"/>
          <w:color w:val="1A2430"/>
          <w:sz w:val="21"/>
        </w:rPr>
        <w:t>modular monolith</w:t>
      </w:r>
      <w:r>
        <w:rPr>
          <w:rFonts w:ascii="Calibri" w:hAnsi="Calibri"/>
          <w:b w:val="0"/>
          <w:i w:val="0"/>
          <w:color w:val="1A2430"/>
          <w:sz w:val="21"/>
        </w:rPr>
        <w:t xml:space="preserve"> — one deployable Next.js process with clean domain seams, so any layer could later split into its own service without a rewrite. The request flows top → bottom through six layers. High-frequency, low-risk decisions are automated; high-risk, low-frequency ones get a warm agent handoff.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B4CB0"/>
                <w:sz w:val="20"/>
              </w:rPr>
              <w:t xml:space="preserve">■ </w:t>
            </w:r>
            <w:r>
              <w:rPr>
                <w:rFonts w:ascii="Consolas" w:hAnsi="Consolas"/>
                <w:b w:val="0"/>
                <w:i w:val="0"/>
                <w:color w:val="5A6B7B"/>
                <w:sz w:val="18"/>
              </w:rPr>
              <w:t>Entry</w:t>
            </w:r>
          </w:p>
        </w:tc>
        <w:tc>
          <w:tcPr>
            <w:tcW w:type="dxa" w:w="244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47CA6"/>
                <w:sz w:val="20"/>
              </w:rPr>
              <w:t xml:space="preserve">■ </w:t>
            </w:r>
            <w:r>
              <w:rPr>
                <w:rFonts w:ascii="Consolas" w:hAnsi="Consolas"/>
                <w:b w:val="0"/>
                <w:i w:val="0"/>
                <w:color w:val="5A6B7B"/>
                <w:sz w:val="18"/>
              </w:rPr>
              <w:t>Client / API / Data</w:t>
            </w:r>
          </w:p>
        </w:tc>
        <w:tc>
          <w:tcPr>
            <w:tcW w:type="dxa" w:w="244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B07412"/>
                <w:sz w:val="20"/>
              </w:rPr>
              <w:t xml:space="preserve">■ </w:t>
            </w:r>
            <w:r>
              <w:rPr>
                <w:rFonts w:ascii="Consolas" w:hAnsi="Consolas"/>
                <w:b w:val="0"/>
                <w:i w:val="0"/>
                <w:color w:val="5A6B7B"/>
                <w:sz w:val="18"/>
              </w:rPr>
              <w:t>Eligibility engine</w:t>
            </w:r>
          </w:p>
        </w:tc>
        <w:tc>
          <w:tcPr>
            <w:tcW w:type="dxa" w:w="244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E8B57"/>
                <w:sz w:val="20"/>
              </w:rPr>
              <w:t xml:space="preserve">■ </w:t>
            </w:r>
            <w:r>
              <w:rPr>
                <w:rFonts w:ascii="Consolas" w:hAnsi="Consolas"/>
                <w:b w:val="0"/>
                <w:i w:val="0"/>
                <w:color w:val="5A6B7B"/>
                <w:sz w:val="18"/>
              </w:rPr>
              <w:t>Assistant / RAG</w:t>
            </w:r>
          </w:p>
        </w:tc>
      </w:tr>
    </w:tbl>
    <w:p>
      <w:pPr>
        <w:spacing w:before="0" w:after="12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7178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717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hAnsi="Consolas"/>
          <w:b w:val="0"/>
          <w:i/>
          <w:color w:val="5A6B7B"/>
          <w:sz w:val="17"/>
        </w:rPr>
        <w:t>Fig 1 — Six layers, request flowing top → bottom. Eligibility (L4) highlighted.</w:t>
      </w:r>
    </w:p>
    <w:p>
      <w:pPr>
        <w:spacing w:before="0"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Why this shape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/>
          <w:i w:val="0"/>
          <w:color w:val="0E2740"/>
          <w:sz w:val="20"/>
        </w:rPr>
        <w:t xml:space="preserve">Modular monolith: </w:t>
      </w:r>
      <w:r>
        <w:rPr>
          <w:rFonts w:ascii="Calibri" w:hAnsi="Calibri"/>
          <w:b w:val="0"/>
          <w:i w:val="0"/>
          <w:color w:val="1A2430"/>
          <w:sz w:val="20"/>
        </w:rPr>
        <w:t>one deployable, one process, zero infra to provision — runs identically on a laptop and on Vercel. The six clean module seams make “microservices-ready” credible without a rewrite.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/>
          <w:i w:val="0"/>
          <w:color w:val="0E2740"/>
          <w:sz w:val="20"/>
        </w:rPr>
        <w:t xml:space="preserve">Explain, don’t just decide: </w:t>
      </w:r>
      <w:r>
        <w:rPr>
          <w:rFonts w:ascii="Calibri" w:hAnsi="Calibri"/>
          <w:b w:val="0"/>
          <w:i w:val="0"/>
          <w:color w:val="1A2430"/>
          <w:sz w:val="20"/>
        </w:rPr>
        <w:t>every eligibility result carries a human reason and a DGCA rule citation — the same facts ground both the UI and the assistant, so the product defends every answer aloud.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/>
          <w:i w:val="0"/>
          <w:color w:val="0E2740"/>
          <w:sz w:val="20"/>
        </w:rPr>
        <w:t xml:space="preserve">Spike-survivable writes: </w:t>
      </w:r>
      <w:r>
        <w:rPr>
          <w:rFonts w:ascii="Calibri" w:hAnsi="Calibri"/>
          <w:b w:val="0"/>
          <w:i w:val="0"/>
          <w:color w:val="1A2430"/>
          <w:sz w:val="20"/>
        </w:rPr>
        <w:t>idempotency-key replay + optimistic version + revalidate-against-fresh-options mean a double-tap or a stale tab can never double-book during a disruption surge.</w:t>
      </w:r>
    </w:p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Cross-cutting — the spike-survival story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Idempotent, race-safe writes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Key replay + revalidate-vs-fresh-options — a double-tap can never double-book.</w:t>
            </w:r>
          </w:p>
        </w:tc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Optimistic concurrency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Every booking carries a version; a stale tab is rejected.</w:t>
            </w:r>
          </w:p>
        </w:tc>
      </w:tr>
      <w:tr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Append-only audit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Every mutation logs action + before/after; powers the impact tile.</w:t>
            </w:r>
          </w:p>
        </w:tc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Stateless handlers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No per-request state → scale flat behind a load balancer.</w:t>
            </w:r>
          </w:p>
        </w:tc>
      </w:tr>
      <w:tr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Typed contracts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Zod at every boundary; typed { error } responses.</w:t>
            </w:r>
          </w:p>
        </w:tc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Deterministic time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All formatting pinned to Asia/Kolkata — the demo never drifts.</w:t>
            </w:r>
          </w:p>
        </w:tc>
      </w:tr>
      <w:tr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Guarded admin surface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Rate-limit + admin token on reindex / flight controls.</w:t>
            </w:r>
          </w:p>
        </w:tc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Async-ready notification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The mock alert is the seam for a queue + outbox in production.</w:t>
            </w:r>
          </w:p>
        </w:tc>
      </w:tr>
    </w:tbl>
    <w:p>
      <w:pPr>
        <w:spacing w:before="0"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Module responsibilities (L4 domain core)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2232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File(s)</w:t>
            </w:r>
          </w:p>
        </w:tc>
        <w:tc>
          <w:tcPr>
            <w:tcW w:type="dxa" w:w="4320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160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Deployable as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0E2740"/>
                <w:sz w:val="18"/>
              </w:rPr>
              <w:t>booking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store.ts · lookup/route.ts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PNR + surname lookup; assemble the booking view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booking-service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0E2740"/>
                <w:sz w:val="18"/>
              </w:rPr>
              <w:t>flightStatus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eligibility.ts · store.ts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Classify CANCELLED / LONG_DELAY; expose route inventory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flight-status-service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B07412"/>
                <w:sz w:val="18"/>
              </w:rPr>
              <w:t>eligibility ★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eligibility.ts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DGCA rules engine — refund / rebook / compensation / duty-of-care with reasons + rule refs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eligibility-service (pure)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0E2740"/>
                <w:sz w:val="18"/>
              </w:rPr>
              <w:t>rebooking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service.ts · rebook/route.ts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Scored alternatives + recommended pick; idempotent rebook; boarding pass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rebooking-service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0E2740"/>
                <w:sz w:val="18"/>
              </w:rPr>
              <w:t>priority / seatmap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priority.ts · seatmap.ts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Passenger priority rank; priority-aware seat map build + allocation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seat-service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0E2740"/>
                <w:sz w:val="18"/>
              </w:rPr>
              <w:t>handoff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service.ts · escalate/route.ts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Detect out-of-policy cases; package the warm-handoff context pack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handoff-service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0E2740"/>
                <w:sz w:val="18"/>
              </w:rPr>
              <w:t>notification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UI + mock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Render the proactive alert that would be sent (deep link + held seat)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notification-service (async)</w:t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02   </w:t>
      </w:r>
      <w:r>
        <w:rPr>
          <w:rFonts w:ascii="Calibri" w:hAnsi="Calibri"/>
          <w:b/>
          <w:i w:val="0"/>
          <w:color w:val="0E2740"/>
          <w:sz w:val="30"/>
        </w:rPr>
        <w:t>Golden-path sequence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2430"/>
          <w:sz w:val="21"/>
        </w:rPr>
        <w:t>The ~90-second demo, as a flow: proactive alert → identified status card → recommended rebook → boarding pass, with the refund and agent-handoff branches, closing on the impact tile.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49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goldenp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49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hAnsi="Consolas"/>
          <w:b w:val="0"/>
          <w:i/>
          <w:color w:val="5A6B7B"/>
          <w:sz w:val="17"/>
        </w:rPr>
        <w:t>Fig 2 — One identify call, then the passenger's choice branches, all converging on the impact tile.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1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Proactive alert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Passenger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Mock SMS/WhatsApp with a deep-link — the airline reaches out before the passenger calls.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2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Open &amp; identify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Passenger → App → /lookup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PNR pre-filled from the link; passenger adds last name. One call returns status + cause + eligibility + options.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3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See the status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App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“Cancelled · Weather” with a plain-English explanation of exactly what they’re owed.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4a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Rebook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/rebook (idempotencyKey)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Tap the recommended option → revalidate against fresh inventory → REBOOKED, seats−−, audit → new boarding pass (&lt; 30s).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4b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Refund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/refund (idempotencyKey)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Eligibility check → issue RF-reference → explainable decision. No payment integration — reference only.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4c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Escalate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/escalate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Minor / medical / group / no valid option → package warm-handoff context so the agent never asks the passenger to repeat.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5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Impact tile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/stats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“1 call deflected · ~25 min saved”, derived from the audit log.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03   </w:t>
      </w:r>
      <w:r>
        <w:rPr>
          <w:rFonts w:ascii="Calibri" w:hAnsi="Calibri"/>
          <w:b/>
          <w:i w:val="0"/>
          <w:color w:val="0E2740"/>
          <w:sz w:val="30"/>
        </w:rPr>
        <w:t>Eligibility rules engine — the crown jewel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147CA6"/>
          <w:sz w:val="20"/>
        </w:rPr>
        <w:t>src/lib/eligibility.ts</w:t>
      </w:r>
      <w:r>
        <w:rPr>
          <w:rFonts w:ascii="Calibri" w:hAnsi="Calibri"/>
          <w:b w:val="0"/>
          <w:i w:val="0"/>
          <w:color w:val="1A2430"/>
          <w:sz w:val="21"/>
        </w:rPr>
        <w:t xml:space="preserve"> — pure, deterministic, unit-tested. The defensible rule, cross-validated by DGCA (India) and Delta: </w:t>
      </w:r>
      <w:r>
        <w:rPr>
          <w:rFonts w:ascii="Calibri" w:hAnsi="Calibri"/>
          <w:b/>
          <w:i w:val="0"/>
          <w:color w:val="1A2430"/>
          <w:sz w:val="21"/>
        </w:rPr>
        <w:t>the cause of the disruption drives entitlement.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298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eligi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9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hAnsi="Consolas"/>
          <w:b w:val="0"/>
          <w:i/>
          <w:color w:val="5A6B7B"/>
          <w:sz w:val="17"/>
        </w:rPr>
        <w:t>Fig 3 — Cause drives entitlement: extraordinary vs airline-controlled, each with its rule reference.</w:t>
      </w:r>
    </w:p>
    <w:p>
      <w:pPr>
        <w:spacing w:before="0" w:after="120"/>
      </w:pPr>
      <w:r>
        <w:rPr>
          <w:rFonts w:ascii="Calibri" w:hAnsi="Calibri"/>
          <w:b/>
          <w:i w:val="0"/>
          <w:color w:val="0E2740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A2430"/>
          <w:sz w:val="20"/>
        </w:rPr>
        <w:t xml:space="preserve">disrupted = CANCELLED, or DELAYED ≥ 180 min. </w:t>
      </w:r>
      <w:r>
        <w:rPr>
          <w:rFonts w:ascii="Calibri" w:hAnsi="Calibri"/>
          <w:b w:val="0"/>
          <w:i w:val="0"/>
          <w:color w:val="1A2430"/>
          <w:sz w:val="20"/>
        </w:rPr>
        <w:t>Every field carries a human-readable reason and a rule citation (</w:t>
      </w:r>
      <w:r>
        <w:rPr>
          <w:rFonts w:ascii="Consolas" w:hAnsi="Consolas"/>
          <w:b w:val="0"/>
          <w:i w:val="0"/>
          <w:color w:val="147CA6"/>
          <w:sz w:val="20"/>
        </w:rPr>
        <w:t>DGCA CAR §3-M-IV</w:t>
      </w:r>
      <w:r>
        <w:rPr>
          <w:rFonts w:ascii="Calibri" w:hAnsi="Calibri"/>
          <w:b w:val="0"/>
          <w:i w:val="0"/>
          <w:color w:val="1A2430"/>
          <w:sz w:val="20"/>
        </w:rPr>
        <w:t>) — the direct answer to competitor tools criticised as opaque.</w:t>
      </w:r>
    </w:p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Rebooking recommendation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2430"/>
          <w:sz w:val="20"/>
        </w:rPr>
        <w:t>Each candidate starts at 100: −30 next-day, −5/h later (cap −40), +10 if within 2h of the original time-of-day. The top score is flagged recommended with a plain-English reason (“Same day · 3h later · direct”). Options are recomputed live from inventory, so a shown option is never stale.</w:t>
      </w:r>
    </w:p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Escalation triggers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2430"/>
          <w:sz w:val="20"/>
        </w:rPr>
        <w:t>Special flags (unaccompanied minor, medical, pet, group, partner ticket), party size &gt; 4, or no valid self-service rebooking → route to an agent with context attached.</w:t>
      </w:r>
    </w:p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04   </w:t>
      </w:r>
      <w:r>
        <w:rPr>
          <w:rFonts w:ascii="Calibri" w:hAnsi="Calibri"/>
          <w:b/>
          <w:i w:val="0"/>
          <w:color w:val="0E2740"/>
          <w:sz w:val="30"/>
        </w:rPr>
        <w:t>Disruption Assistant · RAG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2430"/>
          <w:sz w:val="21"/>
        </w:rPr>
        <w:t>A layered design where every layer is grounded — the model can explain policy but never invent it, and the demo survives any vendor outage. /api/assist walks the ladder top-down and stops at the first tier that answers.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20700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r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07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hAnsi="Consolas"/>
          <w:b w:val="0"/>
          <w:i/>
          <w:color w:val="5A6B7B"/>
          <w:sz w:val="17"/>
        </w:rPr>
        <w:t>Fig 4 — The fallback ladder: stop at the first tier that answers; every tier grounded and cited.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onsolas" w:hAnsi="Consolas"/>
          <w:b/>
          <w:i w:val="0"/>
          <w:color w:val="2E8B57"/>
          <w:sz w:val="19"/>
        </w:rPr>
        <w:t xml:space="preserve">Tier 0 · </w:t>
      </w:r>
      <w:r>
        <w:rPr>
          <w:rFonts w:ascii="Calibri" w:hAnsi="Calibri"/>
          <w:b/>
          <w:i w:val="0"/>
          <w:color w:val="0E2740"/>
          <w:sz w:val="19"/>
        </w:rPr>
        <w:t xml:space="preserve">Advisor — deterministic advice — </w:t>
      </w:r>
      <w:r>
        <w:rPr>
          <w:rFonts w:ascii="Calibri" w:hAnsi="Calibri"/>
          <w:b w:val="0"/>
          <w:i w:val="0"/>
          <w:color w:val="1A2430"/>
          <w:sz w:val="19"/>
        </w:rPr>
        <w:t>“Should I refund or rebook?” → turns this passenger’s own eligibility + live rebooking options into a recommendation. The LLM (when configured) only rephrases it.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onsolas" w:hAnsi="Consolas"/>
          <w:b/>
          <w:i w:val="0"/>
          <w:color w:val="147CA6"/>
          <w:sz w:val="19"/>
        </w:rPr>
        <w:t xml:space="preserve">Tier 1 · </w:t>
      </w:r>
      <w:r>
        <w:rPr>
          <w:rFonts w:ascii="Calibri" w:hAnsi="Calibri"/>
          <w:b/>
          <w:i w:val="0"/>
          <w:color w:val="0E2740"/>
          <w:sz w:val="19"/>
        </w:rPr>
        <w:t xml:space="preserve">Semantic RAG — Gemini + Pinecone — </w:t>
      </w:r>
      <w:r>
        <w:rPr>
          <w:rFonts w:ascii="Calibri" w:hAnsi="Calibri"/>
          <w:b w:val="0"/>
          <w:i w:val="0"/>
          <w:color w:val="1A2430"/>
          <w:sz w:val="19"/>
        </w:rPr>
        <w:t>Gemini embeds the question → Pinecone finds the top policy clauses → Gemini Flash writes a short answer using only those clauses + verified eligibility facts → citations attached. Returns null on outage/irrelevance.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onsolas" w:hAnsi="Consolas"/>
          <w:b/>
          <w:i w:val="0"/>
          <w:color w:val="5B4CB0"/>
          <w:sz w:val="19"/>
        </w:rPr>
        <w:t xml:space="preserve">Tier 2 · </w:t>
      </w:r>
      <w:r>
        <w:rPr>
          <w:rFonts w:ascii="Calibri" w:hAnsi="Calibri"/>
          <w:b/>
          <w:i w:val="0"/>
          <w:color w:val="0E2740"/>
          <w:sz w:val="19"/>
        </w:rPr>
        <w:t xml:space="preserve">Keyword fallback — always on — </w:t>
      </w:r>
      <w:r>
        <w:rPr>
          <w:rFonts w:ascii="Calibri" w:hAnsi="Calibri"/>
          <w:b w:val="0"/>
          <w:i w:val="0"/>
          <w:color w:val="1A2430"/>
          <w:sz w:val="19"/>
        </w:rPr>
        <w:t>If embeddings/Pinecone are unconfigured: a deterministic tokenise → synonym-expand → score engine answers over the policy corpus, still cited. So it can never dead-air.</w:t>
      </w:r>
    </w:p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05   </w:t>
      </w:r>
      <w:r>
        <w:rPr>
          <w:rFonts w:ascii="Calibri" w:hAnsi="Calibri"/>
          <w:b/>
          <w:i w:val="0"/>
          <w:color w:val="0E2740"/>
          <w:sz w:val="30"/>
        </w:rPr>
        <w:t>Data model &amp; booking state machine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2430"/>
          <w:sz w:val="21"/>
        </w:rPr>
        <w:t>Runtime uses an in-memory seeded store (src/lib/store.ts) that mirrors prisma/schema.prisma field-for-field — including the optimistic-version and idempotency-key columns, so the production swap is mechanical.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onsolas" w:hAnsi="Consolas"/>
          <w:b/>
          <w:i w:val="0"/>
          <w:color w:val="0E2740"/>
          <w:sz w:val="20"/>
        </w:rPr>
        <w:t xml:space="preserve">Flight — </w:t>
      </w:r>
      <w:r>
        <w:rPr>
          <w:rFonts w:ascii="Calibri" w:hAnsi="Calibri"/>
          <w:b w:val="0"/>
          <w:i w:val="0"/>
          <w:color w:val="1A2430"/>
          <w:sz w:val="19"/>
        </w:rPr>
        <w:t>flightNo · origin/destination + cities · departure/arrival (ISO UTC) · durationMin · status (SCHEDULED/CANCELLED/DELAYED) · cause · delayMinutes · seatsAvailable. Indexed on (origin, destination, status, departure).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onsolas" w:hAnsi="Consolas"/>
          <w:b/>
          <w:i w:val="0"/>
          <w:color w:val="0E2740"/>
          <w:sz w:val="20"/>
        </w:rPr>
        <w:t xml:space="preserve">Passenger — </w:t>
      </w:r>
      <w:r>
        <w:rPr>
          <w:rFonts w:ascii="Calibri" w:hAnsi="Calibri"/>
          <w:b w:val="0"/>
          <w:i w:val="0"/>
          <w:color w:val="1A2430"/>
          <w:sz w:val="19"/>
        </w:rPr>
        <w:t>name · masked email · tier (STANDARD/SILVER/GOLD).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onsolas" w:hAnsi="Consolas"/>
          <w:b/>
          <w:i w:val="0"/>
          <w:color w:val="0E2740"/>
          <w:sz w:val="20"/>
        </w:rPr>
        <w:t xml:space="preserve">Booking — </w:t>
      </w:r>
      <w:r>
        <w:rPr>
          <w:rFonts w:ascii="Calibri" w:hAnsi="Calibri"/>
          <w:b w:val="0"/>
          <w:i w:val="0"/>
          <w:color w:val="1A2430"/>
          <w:sz w:val="19"/>
        </w:rPr>
        <w:t>ref (PNR, PK) · flightId (+ optional connectingFlightId) · status · fareClass · farePaid (INR) · specialFlags[] · partySize · mutation trail (rebookedFlightId, refundReference, handoffReference) · version (optimistic concurrency).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onsolas" w:hAnsi="Consolas"/>
          <w:b/>
          <w:i w:val="0"/>
          <w:color w:val="0E2740"/>
          <w:sz w:val="20"/>
        </w:rPr>
        <w:t xml:space="preserve">AuditEntry — </w:t>
      </w:r>
      <w:r>
        <w:rPr>
          <w:rFonts w:ascii="Calibri" w:hAnsi="Calibri"/>
          <w:b w:val="0"/>
          <w:i w:val="0"/>
          <w:color w:val="1A2430"/>
          <w:sz w:val="19"/>
        </w:rPr>
        <w:t>bookingRef · action (LOOKUP/REBOOK/REFUND/ESCALATE/ACKNOWLEDGE) · detail · before/after · idempotencyKey (unique) for race-safe, replayable writes.</w:t>
      </w:r>
    </w:p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Booking lifecycle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17908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79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hAnsi="Consolas"/>
          <w:b w:val="0"/>
          <w:i/>
          <w:color w:val="5A6B7B"/>
          <w:sz w:val="17"/>
        </w:rPr>
        <w:t>Fig 5 — A disruption moves CONFIRMED → DISRUPTED; the passenger's choice lands in one terminal state.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A6B7B"/>
          <w:sz w:val="19"/>
        </w:rPr>
        <w:t>Every transition writes an AuditEntry (before/after) and bumps version — the basis of race-safe writes and the impact tile.</w:t>
      </w:r>
    </w:p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06   </w:t>
      </w:r>
      <w:r>
        <w:rPr>
          <w:rFonts w:ascii="Calibri" w:hAnsi="Calibri"/>
          <w:b/>
          <w:i w:val="0"/>
          <w:color w:val="0E2740"/>
          <w:sz w:val="30"/>
        </w:rPr>
        <w:t>Feature map (P0–P3)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2430"/>
          <w:sz w:val="21"/>
        </w:rPr>
        <w:t>What ships in the MVP, what’s built beyond it, and what’s deliberately deferred — deferring on purpose is a scored signal of product judgment.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E7F5EE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10" w:type="dxa"/>
              <w:end w:w="100" w:type="dxa"/>
            </w:tcMar>
            <w:vAlign w:val="top"/>
          </w:tcPr>
          <w:p>
            <w:pPr>
              <w:spacing w:after="80"/>
            </w:pPr>
            <w:r>
              <w:rPr>
                <w:rFonts w:ascii="Consolas" w:hAnsi="Consolas"/>
                <w:b/>
                <w:i w:val="0"/>
                <w:color w:val="2E8B57"/>
                <w:sz w:val="18"/>
              </w:rPr>
              <w:t>P0 — MVP core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E8B57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Identify booking (PNR + last name)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E8B57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Explainable status + cause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E8B57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Scored rebooking + recommended pick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E8B57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Refund eligibility + reference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E8B57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Warm agent handoff with context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E8B57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Impact tile (calls deflected)</w:t>
            </w:r>
          </w:p>
        </w:tc>
        <w:tc>
          <w:tcPr>
            <w:tcW w:type="dxa" w:w="2448"/>
            <w:shd w:val="clear" w:color="auto" w:fill="E6F3FA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10" w:type="dxa"/>
              <w:end w:w="100" w:type="dxa"/>
            </w:tcMar>
            <w:vAlign w:val="top"/>
          </w:tcPr>
          <w:p>
            <w:pPr>
              <w:spacing w:after="80"/>
            </w:pPr>
            <w:r>
              <w:rPr>
                <w:rFonts w:ascii="Consolas" w:hAnsi="Consolas"/>
                <w:b/>
                <w:i w:val="0"/>
                <w:color w:val="147CA6"/>
                <w:sz w:val="18"/>
              </w:rPr>
              <w:t>P1 — Shipped beyond core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7CA6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Proactive alert + QR deep-link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7CA6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Priority-aware seat map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7CA6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Grounded Disruption Assistant (RAG)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7CA6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Idempotent, race-safe writes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7CA6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Flight timeline view</w:t>
            </w:r>
          </w:p>
        </w:tc>
        <w:tc>
          <w:tcPr>
            <w:tcW w:type="dxa" w:w="2448"/>
            <w:shd w:val="clear" w:color="auto" w:fill="EEEBFA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10" w:type="dxa"/>
              <w:end w:w="100" w:type="dxa"/>
            </w:tcMar>
            <w:vAlign w:val="top"/>
          </w:tcPr>
          <w:p>
            <w:pPr>
              <w:spacing w:after="80"/>
            </w:pPr>
            <w:r>
              <w:rPr>
                <w:rFonts w:ascii="Consolas" w:hAnsi="Consolas"/>
                <w:b/>
                <w:i w:val="0"/>
                <w:color w:val="5B4CB0"/>
                <w:sz w:val="18"/>
              </w:rPr>
              <w:t>P2 — Credible on paper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B4CB0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Prisma/Postgres schema (1:1)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B4CB0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Async notification seam (queue/outbox)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B4CB0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Cached flight status + read replicas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B4CB0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Admin reindex + flight controls</w:t>
            </w:r>
          </w:p>
        </w:tc>
        <w:tc>
          <w:tcPr>
            <w:tcW w:type="dxa" w:w="2448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10" w:type="dxa"/>
              <w:end w:w="100" w:type="dxa"/>
            </w:tcMar>
            <w:vAlign w:val="top"/>
          </w:tcPr>
          <w:p>
            <w:pPr>
              <w:spacing w:after="80"/>
            </w:pPr>
            <w:r>
              <w:rPr>
                <w:rFonts w:ascii="Consolas" w:hAnsi="Consolas"/>
                <w:b/>
                <w:i w:val="0"/>
                <w:color w:val="5A6B7B"/>
                <w:sz w:val="18"/>
              </w:rPr>
              <w:t>P3 — Deliberately deferred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Real payments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Real auth / SSO / OTP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Live inventory + interline/award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Loyalty redemption · multi-language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Predictive pre-disruption alerts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Cost/OR-optimized selection</w:t>
            </w:r>
          </w:p>
        </w:tc>
      </w:tr>
    </w:tbl>
    <w:p>
      <w:pPr>
        <w:spacing w:before="0" w:after="80"/>
      </w:pPr>
    </w:p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07   </w:t>
      </w:r>
      <w:r>
        <w:rPr>
          <w:rFonts w:ascii="Calibri" w:hAnsi="Calibri"/>
          <w:b/>
          <w:i w:val="0"/>
          <w:color w:val="0E2740"/>
          <w:sz w:val="30"/>
        </w:rPr>
        <w:t>Scale &amp; non-functional story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2430"/>
          <w:sz w:val="21"/>
        </w:rPr>
        <w:t>Disruptions are traffic spikes — everyone asks the same three questions at once. The design answers that; each MVP mechanism maps to a production shape.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Concern</w:t>
            </w:r>
          </w:p>
        </w:tc>
        <w:tc>
          <w:tcPr>
            <w:tcW w:type="dxa" w:w="4176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In this MVP</w:t>
            </w:r>
          </w:p>
        </w:tc>
        <w:tc>
          <w:tcPr>
            <w:tcW w:type="dxa" w:w="3960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Production mapping</w:t>
            </w:r>
          </w:p>
        </w:tc>
      </w:tr>
      <w:tr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/>
                <w:i w:val="0"/>
                <w:color w:val="0E2740"/>
                <w:sz w:val="18"/>
              </w:rPr>
              <w:t>Statelessness</w:t>
            </w:r>
          </w:p>
        </w:tc>
        <w:tc>
          <w:tcPr>
            <w:tcW w:type="dxa" w:w="417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Route handlers hold no state; store is a module singleton</w:t>
            </w:r>
          </w:p>
        </w:tc>
        <w:tc>
          <w:tcPr>
            <w:tcW w:type="dxa" w:w="396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Stateless services behind a load balancer (ECS/Lambda)</w:t>
            </w:r>
          </w:p>
        </w:tc>
      </w:tr>
      <w:tr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/>
                <w:i w:val="0"/>
                <w:color w:val="0E2740"/>
                <w:sz w:val="18"/>
              </w:rPr>
              <w:t>Read spikes</w:t>
            </w:r>
          </w:p>
        </w:tc>
        <w:tc>
          <w:tcPr>
            <w:tcW w:type="dxa" w:w="4176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flightStatus reads are cheap; route index modelled</w:t>
            </w:r>
          </w:p>
        </w:tc>
        <w:tc>
          <w:tcPr>
            <w:tcW w:type="dxa" w:w="39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Cache flight status (Redis/CDN); read replicas</w:t>
            </w:r>
          </w:p>
        </w:tc>
      </w:tr>
      <w:tr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/>
                <w:i w:val="0"/>
                <w:color w:val="0E2740"/>
                <w:sz w:val="18"/>
              </w:rPr>
              <w:t>Race-safe writes</w:t>
            </w:r>
          </w:p>
        </w:tc>
        <w:tc>
          <w:tcPr>
            <w:tcW w:type="dxa" w:w="417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Idempotency replay + optimistic version + revalidate</w:t>
            </w:r>
          </w:p>
        </w:tc>
        <w:tc>
          <w:tcPr>
            <w:tcW w:type="dxa" w:w="396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Same keys enforced by a DB unique constraint</w:t>
            </w:r>
          </w:p>
        </w:tc>
      </w:tr>
      <w:tr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/>
                <w:i w:val="0"/>
                <w:color w:val="0E2740"/>
                <w:sz w:val="18"/>
              </w:rPr>
              <w:t>Async fan-out</w:t>
            </w:r>
          </w:p>
        </w:tc>
        <w:tc>
          <w:tcPr>
            <w:tcW w:type="dxa" w:w="4176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Notification is a mock “would-send”</w:t>
            </w:r>
          </w:p>
        </w:tc>
        <w:tc>
          <w:tcPr>
            <w:tcW w:type="dxa" w:w="39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Queue (SQS/Kafka) + outbox + DLQ</w:t>
            </w:r>
          </w:p>
        </w:tc>
      </w:tr>
      <w:tr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/>
                <w:i w:val="0"/>
                <w:color w:val="0E2740"/>
                <w:sz w:val="18"/>
              </w:rPr>
              <w:t>Auditability</w:t>
            </w:r>
          </w:p>
        </w:tc>
        <w:tc>
          <w:tcPr>
            <w:tcW w:type="dxa" w:w="417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Every mutation writes an AuditEntry (before/after)</w:t>
            </w:r>
          </w:p>
        </w:tc>
        <w:tc>
          <w:tcPr>
            <w:tcW w:type="dxa" w:w="396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Append-only audit table; PII redaction</w:t>
            </w:r>
          </w:p>
        </w:tc>
      </w:tr>
      <w:tr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/>
                <w:i w:val="0"/>
                <w:color w:val="0E2740"/>
                <w:sz w:val="18"/>
              </w:rPr>
              <w:t>Typed contracts</w:t>
            </w:r>
          </w:p>
        </w:tc>
        <w:tc>
          <w:tcPr>
            <w:tcW w:type="dxa" w:w="4176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Zod at every boundary; typed { error }</w:t>
            </w:r>
          </w:p>
        </w:tc>
        <w:tc>
          <w:tcPr>
            <w:tcW w:type="dxa" w:w="39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RFC-7807 problem+json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Key assumptions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 w:val="0"/>
          <w:i w:val="0"/>
          <w:color w:val="1A2430"/>
          <w:sz w:val="19"/>
        </w:rPr>
        <w:t>Mock data — realistic, deterministic seed pinned to a fixed disruption day in IST.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 w:val="0"/>
          <w:i w:val="0"/>
          <w:color w:val="1A2430"/>
          <w:sz w:val="19"/>
        </w:rPr>
        <w:t>Auth = PNR + last name (OTP / IdP is future work).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 w:val="0"/>
          <w:i w:val="0"/>
          <w:color w:val="1A2430"/>
          <w:sz w:val="19"/>
        </w:rPr>
        <w:t>No payments — refund and compensation issue a reference number only.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 w:val="0"/>
          <w:i w:val="0"/>
          <w:color w:val="1A2430"/>
          <w:sz w:val="19"/>
        </w:rPr>
        <w:t>Airline-caused disruption ⇒ no fare difference on rebooking.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 w:val="0"/>
          <w:i w:val="0"/>
          <w:color w:val="1A2430"/>
          <w:sz w:val="19"/>
        </w:rPr>
        <w:t>Thresholds: long delay 180 min · meals ≥ 120 min · hotel ≥ 360 min · compensation ₹5,000 / ₹7,500 / ₹10,000 by block time.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 w:val="0"/>
          <w:i w:val="0"/>
          <w:color w:val="1A2430"/>
          <w:sz w:val="19"/>
        </w:rPr>
        <w:t>In-memory store resets on cold start / POST /api/reset; production is the Prisma/Postgres schema.</w:t>
      </w:r>
    </w:p>
    <w:p>
      <w:pPr>
        <w:spacing w:before="240" w:after="120"/>
        <w:pBdr>
          <w:bottom w:val="single" w:sz="8" w:space="1" w:color="D5E0EA"/>
        </w:pBdr>
      </w:pPr>
    </w:p>
    <w:p>
      <w:pPr>
        <w:spacing w:before="0" w:after="120"/>
        <w:jc w:val="center"/>
      </w:pPr>
      <w:r>
        <w:rPr>
          <w:rFonts w:ascii="Consolas" w:hAnsi="Consolas"/>
          <w:b w:val="0"/>
          <w:i w:val="0"/>
          <w:color w:val="8A99A8"/>
          <w:sz w:val="17"/>
        </w:rPr>
        <w:t xml:space="preserve">SkyJet Flight Recovery · Architecture Board     </w:t>
      </w:r>
      <w:r>
        <w:rPr>
          <w:rFonts w:ascii="Consolas" w:hAnsi="Consolas"/>
          <w:b w:val="0"/>
          <w:i w:val="0"/>
          <w:color w:val="8A99A8"/>
          <w:sz w:val="17"/>
        </w:rPr>
        <w:t>Next.js 16 · React 19 · TypeScript · Zod · Vitest · Vercel-ready</w:t>
      </w:r>
    </w:p>
    <w:p>
      <w:pPr>
        <w:spacing w:before="0" w:after="0"/>
        <w:jc w:val="center"/>
      </w:pPr>
      <w:r>
        <w:rPr>
          <w:rFonts w:ascii="Consolas" w:hAnsi="Consolas"/>
          <w:b w:val="0"/>
          <w:i w:val="0"/>
          <w:color w:val="8A99A8"/>
          <w:sz w:val="17"/>
        </w:rPr>
        <w:t>22North Product Engineering Challenge 2026 · Challenge 1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