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Machine Learning</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3</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Athlete Profiling for Division I Basketball Players</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02-03-24</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Aagam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Aanal Dobariya</w:t>
            </w:r>
          </w:p>
        </w:tc>
      </w:tr>
    </w:tbl>
    <w:p w:rsidR="00000000" w:rsidDel="00000000" w:rsidP="00000000" w:rsidRDefault="00000000" w:rsidRPr="00000000" w14:paraId="00000012">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ageBreakBefore w:val="0"/>
        <w:spacing w:after="16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rPr>
      </w:pPr>
      <w:bookmarkStart w:colFirst="0" w:colLast="0" w:name="_mgoex87bszlx"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for feature engineering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rPr>
          <w:rFonts w:ascii="Times New Roman" w:cs="Times New Roman" w:eastAsia="Times New Roman" w:hAnsi="Times New Roman"/>
        </w:rPr>
      </w:pPr>
      <w:bookmarkStart w:colFirst="0" w:colLast="0" w:name="_9dm536ugd6ih" w:id="1"/>
      <w:bookmarkEnd w:id="1"/>
      <w:r w:rsidDel="00000000" w:rsidR="00000000" w:rsidRPr="00000000">
        <w:rPr>
          <w:rFonts w:ascii="Times New Roman" w:cs="Times New Roman" w:eastAsia="Times New Roman" w:hAnsi="Times New Roman"/>
          <w:b w:val="1"/>
          <w:color w:val="000000"/>
          <w:sz w:val="32"/>
          <w:szCs w:val="32"/>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data imputation process, mean imputation, and multivariate imputation by chained equation (MICE) with random forest regressor as an estimator, we shifted our focus to data visualization and formulated our methodology. We found three primary modalities in the dataset by utilizing correlation heat maps and descriptive statistics, which gave us important information about feature interdependencies. Equipped with these visual aids, we formulated a customized strategy to reveal implicit trends and derive significant data.</w:t>
      </w:r>
    </w:p>
    <w:p w:rsidR="00000000" w:rsidDel="00000000" w:rsidP="00000000" w:rsidRDefault="00000000" w:rsidRPr="00000000" w14:paraId="0000001A">
      <w:pPr>
        <w:pStyle w:val="Heading3"/>
        <w:rPr>
          <w:rFonts w:ascii="Times New Roman" w:cs="Times New Roman" w:eastAsia="Times New Roman" w:hAnsi="Times New Roman"/>
          <w:b w:val="1"/>
          <w:color w:val="000000"/>
        </w:rPr>
      </w:pPr>
      <w:bookmarkStart w:colFirst="0" w:colLast="0" w:name="_j22rdk5tvd2l" w:id="2"/>
      <w:bookmarkEnd w:id="2"/>
      <w:r w:rsidDel="00000000" w:rsidR="00000000" w:rsidRPr="00000000">
        <w:rPr>
          <w:rFonts w:ascii="Times New Roman" w:cs="Times New Roman" w:eastAsia="Times New Roman" w:hAnsi="Times New Roman"/>
          <w:b w:val="1"/>
          <w:color w:val="000000"/>
          <w:rtl w:val="0"/>
        </w:rPr>
        <w:t xml:space="preserve">Work Completed:</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Heat Map</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heat map below, the three blue-shaded clusters have a higher correlation representing the three primary modalities, which are sleep and recovery patterns, training load statistics, and cognitive state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123" cy="57197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9123" cy="57197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Inferences from descriptive statistics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115 features given, we found a high correlation between the features in three modalities, as discussed before, and found features with high or low variance. So to provide these features with particular weightage, using these inferences, we have planned to do feature engineering like feature clustering or factor analysis.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b w:val="1"/>
          <w:color w:val="000000"/>
        </w:rPr>
      </w:pPr>
      <w:bookmarkStart w:colFirst="0" w:colLast="0" w:name="_k1zqkav9zx6x" w:id="3"/>
      <w:bookmarkEnd w:id="3"/>
      <w:r w:rsidDel="00000000" w:rsidR="00000000" w:rsidRPr="00000000">
        <w:rPr>
          <w:rFonts w:ascii="Times New Roman" w:cs="Times New Roman" w:eastAsia="Times New Roman" w:hAnsi="Times New Roman"/>
          <w:b w:val="1"/>
          <w:color w:val="000000"/>
          <w:rtl w:val="0"/>
        </w:rPr>
        <w:t xml:space="preserve">Next steps and goals: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formulation</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analysis and feature engineering (Feature clustering)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rPr>
          <w:rFonts w:ascii="Times New Roman" w:cs="Times New Roman" w:eastAsia="Times New Roman" w:hAnsi="Times New Roman"/>
        </w:rPr>
      </w:pPr>
      <w:bookmarkStart w:colFirst="0" w:colLast="0" w:name="_1twub9dfa42o" w:id="4"/>
      <w:bookmarkEnd w:id="4"/>
      <w:r w:rsidDel="00000000" w:rsidR="00000000" w:rsidRPr="00000000">
        <w:rPr>
          <w:rFonts w:ascii="Times New Roman" w:cs="Times New Roman" w:eastAsia="Times New Roman" w:hAnsi="Times New Roman"/>
          <w:b w:val="1"/>
          <w:color w:val="000000"/>
          <w:sz w:val="32"/>
          <w:szCs w:val="32"/>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and descriptive statistics gave deeper insights into the dataset distributions and interdependencies. According to these data visualization and descriptive statistics, we concluded that feature engineering should be done on the imputed data; further feature clustering may also be helpful. Furthermore, we decided to follow a particular approach/methodology for athlete profiling and clustering.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collab : </w:t>
      </w:r>
      <w:hyperlink r:id="rId8">
        <w:r w:rsidDel="00000000" w:rsidR="00000000" w:rsidRPr="00000000">
          <w:rPr>
            <w:rFonts w:ascii="Times New Roman" w:cs="Times New Roman" w:eastAsia="Times New Roman" w:hAnsi="Times New Roman"/>
            <w:color w:val="1155cc"/>
            <w:sz w:val="24"/>
            <w:szCs w:val="24"/>
            <w:u w:val="single"/>
            <w:rtl w:val="0"/>
          </w:rPr>
          <w:t xml:space="preserve">https://colab.research.google.com/drive/1WMOik8eT5PZ26DLBYIn0FNncvzSAK5GA?usp=sharing</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b w:val="1"/>
          <w:color w:val="000000"/>
          <w:sz w:val="32"/>
          <w:szCs w:val="32"/>
        </w:rPr>
      </w:pPr>
      <w:bookmarkStart w:colFirst="0" w:colLast="0" w:name="_sol7p3v8hciz" w:id="5"/>
      <w:bookmarkEnd w:id="5"/>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D">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Senbel, S., Sharma, S., Raval, M. S., Taber, C., Nolan, J., Artan, N. S., ... &amp; Kaya, T. (2022). Impact of sleep and training on game performance and injury in division-1 women’s Basketball Amidst the Pandemic. Ieee Access, 10, 15516-15527.</w:t>
      </w:r>
    </w:p>
    <w:p w:rsidR="00000000" w:rsidDel="00000000" w:rsidP="00000000" w:rsidRDefault="00000000" w:rsidRPr="00000000" w14:paraId="0000002E">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hyperlink r:id="rId9">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https://ieeexplore.ieee.org/abstract/document/9690164/</w:t>
        </w:r>
      </w:hyperlink>
      <w:r w:rsidDel="00000000" w:rsidR="00000000" w:rsidRPr="00000000">
        <w:rPr>
          <w:rtl w:val="0"/>
        </w:rPr>
      </w:r>
    </w:p>
    <w:p w:rsidR="00000000" w:rsidDel="00000000" w:rsidP="00000000" w:rsidRDefault="00000000" w:rsidRPr="00000000" w14:paraId="0000002F">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Taber, C.B., Sharma, S., Raval, M.S. et al. A holistic approach to performance prediction in collegiate athletics: player, team, and conference perspectives. Sci Rep 14, 1162 (2024). </w:t>
      </w:r>
      <w:hyperlink r:id="rId10">
        <w:r w:rsidDel="00000000" w:rsidR="00000000" w:rsidRPr="00000000">
          <w:rPr>
            <w:rFonts w:ascii="Times New Roman" w:cs="Times New Roman" w:eastAsia="Times New Roman" w:hAnsi="Times New Roman"/>
            <w:color w:val="0000ff"/>
            <w:sz w:val="24"/>
            <w:szCs w:val="24"/>
            <w:u w:val="single"/>
            <w:rtl w:val="0"/>
          </w:rPr>
          <w:t xml:space="preserve">https://doi.org/10.1038/s41598-024-51658-8</w:t>
        </w:r>
      </w:hyperlink>
      <w:r w:rsidDel="00000000" w:rsidR="00000000" w:rsidRPr="00000000">
        <w:rPr>
          <w:rtl w:val="0"/>
        </w:rPr>
      </w:r>
    </w:p>
    <w:p w:rsidR="00000000" w:rsidDel="00000000" w:rsidP="00000000" w:rsidRDefault="00000000" w:rsidRPr="00000000" w14:paraId="00000030">
      <w:pPr>
        <w:widowControl w:val="0"/>
        <w:spacing w:before="200" w:line="21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U., Divakaran, S., Kaya, T., &amp; Raval, M. (2022, July). A Hybrid Approach for Interpretable Game Performance Prediction in Basketball. In 2022 International Joint Conference on Neural Networks (IJCNN) (pp. 01-08). IEEE.  </w:t>
      </w:r>
      <w:hyperlink r:id="rId11">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https://ieeexplore.ieee.org/abstract/document/9892583/?casa_token=Ye3GQJ1JpD0AAAAA:GSlyds24pIa__7Od6UBSNs8nugbEwLvCbI8vG6w-YMYrFX2O-TUlUDo4xej3ulJUAvmO_4ij0J36</w:t>
        </w:r>
      </w:hyperlink>
      <w:r w:rsidDel="00000000" w:rsidR="00000000" w:rsidRPr="00000000">
        <w:rPr>
          <w:rtl w:val="0"/>
        </w:rPr>
      </w:r>
    </w:p>
    <w:p w:rsidR="00000000" w:rsidDel="00000000" w:rsidP="00000000" w:rsidRDefault="00000000" w:rsidRPr="00000000" w14:paraId="00000032">
      <w:pPr>
        <w:widowControl w:val="0"/>
        <w:spacing w:after="240" w:before="240" w:line="21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abstract/document/9892583/?casa_token=Ye3GQJ1JpD0AAAAA:GSlyds24pIa__7Od6UBSNs8nugbEwLvCbI8vG6w-YMYrFX2O-TUlUDo4xej3ulJUAvmO_4ij0J36" TargetMode="External"/><Relationship Id="rId10" Type="http://schemas.openxmlformats.org/officeDocument/2006/relationships/hyperlink" Target="https://doi.org/10.1038/s41598-024-51658-8" TargetMode="External"/><Relationship Id="rId9" Type="http://schemas.openxmlformats.org/officeDocument/2006/relationships/hyperlink" Target="https://ieeexplore.ieee.org/abstract/document/9690164/"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colab.research.google.com/drive/1WMOik8eT5PZ26DLBYIn0FNncvzSAK5G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