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32"/>
          <w:szCs w:val="32"/>
        </w:rPr>
        <w:t xml:space="preserve">Predicting NYC Airbnb Prices</w:t>
      </w:r>
    </w:p>
    <w:p>
      <w:pPr>
        <w:spacing w:after="120"/>
      </w:pPr>
      <w:r>
        <w:rPr>
          <w:i/>
          <w:iCs/>
          <w:color w:val="555555"/>
          <w:sz w:val="22"/>
          <w:szCs w:val="22"/>
        </w:rPr>
        <w:t xml:space="preserve">Linear Regression Model — Summary Report for Stakeholders</w:t>
      </w:r>
    </w:p>
    <w:p>
      <w:pPr>
        <w:pBdr>
          <w:bottom w:val="single" w:color="999999" w:sz="6"/>
        </w:pBdr>
        <w:spacing w:after="200"/>
      </w:pPr>
    </w:p>
    <w:p>
      <w:pPr>
        <w:spacing w:after="80"/>
      </w:pPr>
      <w:r>
        <w:rPr>
          <w:b/>
          <w:bCs/>
          <w:color w:val="1F4E79"/>
          <w:sz w:val="24"/>
          <w:szCs w:val="24"/>
        </w:rPr>
        <w:t xml:space="preserve">What we built</w:t>
      </w:r>
    </w:p>
    <w:p>
      <w:pPr>
        <w:spacing w:after="160"/>
      </w:pPr>
      <w:r>
        <w:rPr>
          <w:sz w:val="21"/>
          <w:szCs w:val="21"/>
        </w:rPr>
        <w:t xml:space="preserve">We built a model that predicts what an Airbnb listing in New York City should cost per night, based on features like location (borough), room type, minimum stay, availability, and review activity. The model was trained on 45,748 real NYC listings and tested against a separate 20% holdout sample it had never seen, so the results below reflect how it performs on new, unseen listings.</w:t>
      </w:r>
    </w:p>
    <w:p>
      <w:pPr>
        <w:spacing w:after="80"/>
      </w:pPr>
      <w:r>
        <w:rPr>
          <w:b/>
          <w:bCs/>
          <w:color w:val="1F4E79"/>
          <w:sz w:val="24"/>
          <w:szCs w:val="24"/>
        </w:rPr>
        <w:t xml:space="preserve">The results, in plain English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280"/>
      </w:tblGrid>
      <w:tr>
        <w:trPr>
          <w:tblHeader/>
        </w:trPr>
        <w:tc>
          <w:tcPr>
            <w:tcW w:type="dxa" w:w="2200"/>
            <w:shd w:fill="1F4E79" w:val="clear"/>
          </w:tcPr>
          <w:p>
            <w:r>
              <w:rPr>
                <w:b/>
                <w:bCs/>
                <w:color w:val="FFFFFF"/>
                <w:sz w:val="20"/>
                <w:szCs w:val="20"/>
              </w:rPr>
              <w:t xml:space="preserve">Metric</w:t>
            </w:r>
          </w:p>
        </w:tc>
        <w:tc>
          <w:tcPr>
            <w:tcW w:type="dxa" w:w="1600"/>
            <w:shd w:fill="1F4E79" w:val="clear"/>
          </w:tcPr>
          <w:p>
            <w:r>
              <w:rPr>
                <w:b/>
                <w:bCs/>
                <w:color w:val="FFFFFF"/>
                <w:sz w:val="20"/>
                <w:szCs w:val="20"/>
              </w:rPr>
              <w:t xml:space="preserve">Result</w:t>
            </w:r>
          </w:p>
        </w:tc>
        <w:tc>
          <w:tcPr>
            <w:tcW w:type="dxa" w:w="6280"/>
            <w:shd w:fill="1F4E79" w:val="clear"/>
          </w:tcPr>
          <w:p>
            <w:r>
              <w:rPr>
                <w:b/>
                <w:bCs/>
                <w:color w:val="FFFFFF"/>
                <w:sz w:val="20"/>
                <w:szCs w:val="20"/>
              </w:rPr>
              <w:t xml:space="preserve">What it means for the business</w:t>
            </w:r>
          </w:p>
        </w:tc>
      </w:tr>
      <w:tr>
        <w:tc>
          <w:tcPr>
            <w:tcW w:type="dxa" w:w="2200"/>
            <w:shd w:fill="F2F2F2" w:val="clear"/>
            <w:vAlign w:val="center"/>
          </w:tcPr>
          <w:p>
            <w:r>
              <w:rPr>
                <w:b/>
                <w:bCs/>
                <w:sz w:val="20"/>
                <w:szCs w:val="20"/>
              </w:rPr>
              <w:t xml:space="preserve">R-Squared (R²)</w:t>
            </w:r>
          </w:p>
        </w:tc>
        <w:tc>
          <w:tcPr>
            <w:tcW w:type="dxa" w:w="1600"/>
            <w:shd w:fill="F2F2F2" w:val="clear"/>
            <w:vAlign w:val="center"/>
          </w:tcPr>
          <w:p>
            <w:r>
              <w:rPr>
                <w:b/>
                <w:bCs/>
                <w:color w:val="1F4E79"/>
                <w:sz w:val="22"/>
                <w:szCs w:val="22"/>
              </w:rPr>
              <w:t xml:space="preserve">0.487</w:t>
            </w:r>
          </w:p>
        </w:tc>
        <w:tc>
          <w:tcPr>
            <w:tcW w:type="dxa" w:w="6280"/>
            <w:shd w:fill="F2F2F2" w:val="clear"/>
            <w:vAlign w:val="center"/>
          </w:tcPr>
          <w:p>
            <w:r>
              <w:rPr>
                <w:sz w:val="20"/>
                <w:szCs w:val="20"/>
              </w:rPr>
              <w:t xml:space="preserve">The model explains about 49% of why prices vary from listing to listing. The rest comes from things we don't have data on — décor, photos, host reputation, exact building quality, and so on.</w:t>
            </w:r>
          </w:p>
        </w:tc>
      </w:tr>
      <w:tr>
        <w:tc>
          <w:tcPr>
            <w:tcW w:type="dxa" w:w="2200"/>
            <w:vAlign w:val="center"/>
          </w:tcPr>
          <w:p>
            <w:r>
              <w:rPr>
                <w:b/>
                <w:bCs/>
                <w:sz w:val="20"/>
                <w:szCs w:val="20"/>
              </w:rPr>
              <w:t xml:space="preserve">Mean Absolute Error</w:t>
            </w:r>
          </w:p>
        </w:tc>
        <w:tc>
          <w:tcPr>
            <w:tcW w:type="dxa" w:w="1600"/>
            <w:vAlign w:val="center"/>
          </w:tcPr>
          <w:p>
            <w:r>
              <w:rPr>
                <w:b/>
                <w:bCs/>
                <w:color w:val="1F4E79"/>
                <w:sz w:val="22"/>
                <w:szCs w:val="22"/>
              </w:rPr>
              <w:t xml:space="preserve">$38.32</w:t>
            </w:r>
          </w:p>
        </w:tc>
        <w:tc>
          <w:tcPr>
            <w:tcW w:type="dxa" w:w="6280"/>
            <w:vAlign w:val="center"/>
          </w:tcPr>
          <w:p>
            <w:r>
              <w:rPr>
                <w:sz w:val="20"/>
                <w:szCs w:val="20"/>
              </w:rPr>
              <w:t xml:space="preserve">On a typical night, the model's price guess is off by about $38 in either direction. For a $150/night listing, that's roughly a 25% margin of error.</w:t>
            </w:r>
          </w:p>
        </w:tc>
      </w:tr>
      <w:tr>
        <w:tc>
          <w:tcPr>
            <w:tcW w:type="dxa" w:w="2200"/>
            <w:shd w:fill="F2F2F2" w:val="clear"/>
            <w:vAlign w:val="center"/>
          </w:tcPr>
          <w:p>
            <w:r>
              <w:rPr>
                <w:b/>
                <w:bCs/>
                <w:sz w:val="20"/>
                <w:szCs w:val="20"/>
              </w:rPr>
              <w:t xml:space="preserve">RMSE</w:t>
            </w:r>
          </w:p>
        </w:tc>
        <w:tc>
          <w:tcPr>
            <w:tcW w:type="dxa" w:w="1600"/>
            <w:shd w:fill="F2F2F2" w:val="clear"/>
            <w:vAlign w:val="center"/>
          </w:tcPr>
          <w:p>
            <w:r>
              <w:rPr>
                <w:b/>
                <w:bCs/>
                <w:color w:val="1F4E79"/>
                <w:sz w:val="22"/>
                <w:szCs w:val="22"/>
              </w:rPr>
              <w:t xml:space="preserve">$52.54</w:t>
            </w:r>
          </w:p>
        </w:tc>
        <w:tc>
          <w:tcPr>
            <w:tcW w:type="dxa" w:w="6280"/>
            <w:shd w:fill="F2F2F2" w:val="clear"/>
            <w:vAlign w:val="center"/>
          </w:tcPr>
          <w:p>
            <w:r>
              <w:rPr>
                <w:sz w:val="20"/>
                <w:szCs w:val="20"/>
              </w:rPr>
              <w:t xml:space="preserve">This is a bit higher than the average error above because it penalizes big misses more heavily — a signal that a handful of listings are priced very differently from what the model expects.</w:t>
            </w:r>
          </w:p>
        </w:tc>
      </w:tr>
    </w:tbl>
    <w:p>
      <w:pPr>
        <w:spacing w:after="160"/>
      </w:pPr>
    </w:p>
    <w:p>
      <w:pPr>
        <w:spacing w:after="80"/>
      </w:pPr>
      <w:r>
        <w:rPr>
          <w:b/>
          <w:bCs/>
          <w:color w:val="1F4E79"/>
          <w:sz w:val="24"/>
          <w:szCs w:val="24"/>
        </w:rPr>
        <w:t xml:space="preserve">Where the model does well — and where it doesn't</w:t>
      </w:r>
    </w:p>
    <w:p>
      <w:pPr>
        <w:spacing w:after="100"/>
      </w:pPr>
      <w:r>
        <w:rPr>
          <w:sz w:val="21"/>
          <w:szCs w:val="21"/>
        </w:rPr>
        <w:t xml:space="preserve">We split test listings into four price groups (low, mid-low, mid-high, and high) and measured the average dollar error in 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528"/>
        <w:gridCol w:w="4032"/>
      </w:tblGrid>
      <w:tr>
        <w:trPr>
          <w:tblHeader/>
        </w:trPr>
        <w:tc>
          <w:tcPr>
            <w:tcW w:type="dxa" w:w="2520"/>
            <w:shd w:fill="1F4E79" w:val="clear"/>
          </w:tcPr>
          <w:p>
            <w:r>
              <w:rPr>
                <w:b/>
                <w:bCs/>
                <w:color w:val="FFFFFF"/>
                <w:sz w:val="20"/>
                <w:szCs w:val="20"/>
              </w:rPr>
              <w:t xml:space="preserve">Price Tier</w:t>
            </w:r>
          </w:p>
        </w:tc>
        <w:tc>
          <w:tcPr>
            <w:tcW w:type="dxa" w:w="3528"/>
            <w:shd w:fill="1F4E79" w:val="clear"/>
          </w:tcPr>
          <w:p>
            <w:r>
              <w:rPr>
                <w:b/>
                <w:bCs/>
                <w:color w:val="FFFFFF"/>
                <w:sz w:val="20"/>
                <w:szCs w:val="20"/>
              </w:rPr>
              <w:t xml:space="preserve">Avg. Actual Price</w:t>
            </w:r>
          </w:p>
        </w:tc>
        <w:tc>
          <w:tcPr>
            <w:tcW w:type="dxa" w:w="4032"/>
            <w:shd w:fill="1F4E79" w:val="clear"/>
          </w:tcPr>
          <w:p>
            <w:r>
              <w:rPr>
                <w:b/>
                <w:bCs/>
                <w:color w:val="FFFFFF"/>
                <w:sz w:val="20"/>
                <w:szCs w:val="20"/>
              </w:rPr>
              <w:t xml:space="preserve">Avg. Model Error</w:t>
            </w:r>
          </w:p>
        </w:tc>
      </w:tr>
      <w:tr>
        <w:tc>
          <w:tcPr>
            <w:tcW w:type="dxa" w:w="2520"/>
            <w:shd w:fill="F2F2F2" w:val="clear"/>
          </w:tcPr>
          <w:p>
            <w:r>
              <w:rPr>
                <w:sz w:val="20"/>
                <w:szCs w:val="20"/>
              </w:rPr>
              <w:t xml:space="preserve">Low</w:t>
            </w:r>
          </w:p>
        </w:tc>
        <w:tc>
          <w:tcPr>
            <w:tcW w:type="dxa" w:w="3528"/>
            <w:shd w:fill="F2F2F2" w:val="clear"/>
          </w:tcPr>
          <w:p>
            <w:r>
              <w:rPr>
                <w:sz w:val="20"/>
                <w:szCs w:val="20"/>
              </w:rPr>
              <w:t xml:space="preserve">$50</w:t>
            </w:r>
          </w:p>
        </w:tc>
        <w:tc>
          <w:tcPr>
            <w:tcW w:type="dxa" w:w="4032"/>
            <w:shd w:fill="F2F2F2" w:val="clear"/>
          </w:tcPr>
          <w:p>
            <w:r>
              <w:rPr>
                <w:sz w:val="20"/>
                <w:szCs w:val="20"/>
              </w:rPr>
              <w:t xml:space="preserve">$26.21</w:t>
            </w:r>
          </w:p>
        </w:tc>
      </w:tr>
      <w:tr>
        <w:tc>
          <w:tcPr>
            <w:tcW w:type="dxa" w:w="2520"/>
          </w:tcPr>
          <w:p>
            <w:r>
              <w:rPr>
                <w:sz w:val="20"/>
                <w:szCs w:val="20"/>
              </w:rPr>
              <w:t xml:space="preserve">Mid-Low</w:t>
            </w:r>
          </w:p>
        </w:tc>
        <w:tc>
          <w:tcPr>
            <w:tcW w:type="dxa" w:w="3528"/>
          </w:tcPr>
          <w:p>
            <w:r>
              <w:rPr>
                <w:sz w:val="20"/>
                <w:szCs w:val="20"/>
              </w:rPr>
              <w:t xml:space="preserve">$85</w:t>
            </w:r>
          </w:p>
        </w:tc>
        <w:tc>
          <w:tcPr>
            <w:tcW w:type="dxa" w:w="4032"/>
          </w:tcPr>
          <w:p>
            <w:r>
              <w:rPr>
                <w:sz w:val="20"/>
                <w:szCs w:val="20"/>
              </w:rPr>
              <w:t xml:space="preserve">$31.69</w:t>
            </w:r>
          </w:p>
        </w:tc>
      </w:tr>
      <w:tr>
        <w:tc>
          <w:tcPr>
            <w:tcW w:type="dxa" w:w="2520"/>
            <w:shd w:fill="F2F2F2" w:val="clear"/>
          </w:tcPr>
          <w:p>
            <w:r>
              <w:rPr>
                <w:sz w:val="20"/>
                <w:szCs w:val="20"/>
              </w:rPr>
              <w:t xml:space="preserve">Mid-High</w:t>
            </w:r>
          </w:p>
        </w:tc>
        <w:tc>
          <w:tcPr>
            <w:tcW w:type="dxa" w:w="3528"/>
            <w:shd w:fill="F2F2F2" w:val="clear"/>
          </w:tcPr>
          <w:p>
            <w:r>
              <w:rPr>
                <w:sz w:val="20"/>
                <w:szCs w:val="20"/>
              </w:rPr>
              <w:t xml:space="preserve">$133</w:t>
            </w:r>
          </w:p>
        </w:tc>
        <w:tc>
          <w:tcPr>
            <w:tcW w:type="dxa" w:w="4032"/>
            <w:shd w:fill="F2F2F2" w:val="clear"/>
          </w:tcPr>
          <w:p>
            <w:r>
              <w:rPr>
                <w:sz w:val="20"/>
                <w:szCs w:val="20"/>
              </w:rPr>
              <w:t xml:space="preserve">$31.32</w:t>
            </w:r>
          </w:p>
        </w:tc>
      </w:tr>
      <w:tr>
        <w:tc>
          <w:tcPr>
            <w:tcW w:type="dxa" w:w="2520"/>
          </w:tcPr>
          <w:p>
            <w:r>
              <w:rPr>
                <w:sz w:val="20"/>
                <w:szCs w:val="20"/>
              </w:rPr>
              <w:t xml:space="preserve">High</w:t>
            </w:r>
          </w:p>
        </w:tc>
        <w:tc>
          <w:tcPr>
            <w:tcW w:type="dxa" w:w="3528"/>
          </w:tcPr>
          <w:p>
            <w:r>
              <w:rPr>
                <w:sz w:val="20"/>
                <w:szCs w:val="20"/>
              </w:rPr>
              <w:t xml:space="preserve">$230</w:t>
            </w:r>
          </w:p>
        </w:tc>
        <w:tc>
          <w:tcPr>
            <w:tcW w:type="dxa" w:w="4032"/>
          </w:tcPr>
          <w:p>
            <w:r>
              <w:rPr>
                <w:sz w:val="20"/>
                <w:szCs w:val="20"/>
              </w:rPr>
              <w:t xml:space="preserve">$64.11</w:t>
            </w:r>
          </w:p>
        </w:tc>
      </w:tr>
    </w:tbl>
    <w:p>
      <w:pPr>
        <w:spacing w:after="120"/>
      </w:pPr>
    </w:p>
    <w:p>
      <w:pPr>
        <w:spacing w:after="160"/>
      </w:pPr>
      <w:r>
        <w:rPr>
          <w:sz w:val="21"/>
          <w:szCs w:val="21"/>
        </w:rPr>
        <w:t xml:space="preserve">The model is noticeably more accurate on budget and mid-range listings than on high-end ones. That's because most NYC Airbnbs sit in the lower price bands, giving the model far more examples to learn from there. Expensive listings are rarer and priced on things this dataset doesn't capture — exact views, interior finish, brand reputation — so predictions for luxury listings should be treated as a rough starting point, not a precise number.</w:t>
      </w:r>
    </w:p>
    <w:p>
      <w:pPr>
        <w:spacing w:after="80"/>
      </w:pPr>
      <w:r>
        <w:rPr>
          <w:b/>
          <w:bCs/>
          <w:color w:val="1F4E79"/>
          <w:sz w:val="24"/>
          <w:szCs w:val="24"/>
        </w:rPr>
        <w:t xml:space="preserve">Bottom line</w:t>
      </w:r>
    </w:p>
    <w:p>
      <w:r>
        <w:rPr>
          <w:sz w:val="21"/>
          <w:szCs w:val="21"/>
        </w:rPr>
        <w:t xml:space="preserve">This model is a solid first pass for suggesting competitive nightly prices, especially for typical budget-to-mid-range listings ($50–$150/night), where its guidance is usually within about $30 of the true price. It should not be relied on as-is for premium or luxury listings, where errors run much higher. Adding features like listing photos, exact address/proximity to attractions, and host ratings would likely improve accuracy further.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2026-09-13T10:07:59.830Z</dcterms:created>
  <dcterms:modified xsi:type="dcterms:W3CDTF">2026-09-13T10:07:59.840Z</dcterms:modified>
</cp:coreProperties>
</file>

<file path=docProps/custom.xml><?xml version="1.0" encoding="utf-8"?>
<Properties xmlns="http://schemas.openxmlformats.org/officeDocument/2006/custom-properties" xmlns:vt="http://schemas.openxmlformats.org/officeDocument/2006/docPropsVTypes"/>
</file>