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rFonts w:ascii="Calibri" w:hAnsi="Calibri"/>
          <w:b/>
          <w:i w:val="0"/>
          <w:color w:val="000000"/>
          <w:sz w:val="36"/>
        </w:rPr>
        <w:t>Does Statistical Arbitrage Survive in Indian F&amp;O Stocks?</w:t>
      </w:r>
    </w:p>
    <w:p>
      <w:pPr>
        <w:spacing w:after="240"/>
        <w:jc w:val="center"/>
      </w:pPr>
      <w:r>
        <w:rPr>
          <w:rFonts w:ascii="Calibri" w:hAnsi="Calibri"/>
          <w:b w:val="0"/>
          <w:i/>
          <w:color w:val="505050"/>
          <w:sz w:val="24"/>
        </w:rPr>
        <w:t>Distance Pairs (Gatev et al. 2006), PCA-Residual Mean Reversion (Avellaneda–Lee 2010), and ML-Enhanced Residual Reversion, 2010–2025</w:t>
      </w:r>
    </w:p>
    <w:p>
      <w:pPr>
        <w:spacing w:after="40"/>
        <w:jc w:val="center"/>
      </w:pPr>
      <w:r>
        <w:rPr>
          <w:rFonts w:ascii="Calibri" w:hAnsi="Calibri"/>
          <w:b/>
          <w:i w:val="0"/>
          <w:color w:val="000000"/>
          <w:sz w:val="24"/>
        </w:rPr>
        <w:t>Dhairya Dani</w:t>
      </w:r>
    </w:p>
    <w:p>
      <w:pPr>
        <w:spacing w:after="40"/>
        <w:jc w:val="center"/>
      </w:pPr>
      <w:r>
        <w:rPr>
          <w:rFonts w:ascii="Calibri" w:hAnsi="Calibri"/>
          <w:b w:val="0"/>
          <w:i/>
          <w:color w:val="000000"/>
          <w:sz w:val="21"/>
        </w:rPr>
        <w:t>Vellore Institute of Technology (VIT), Bhopal</w:t>
      </w:r>
    </w:p>
    <w:p>
      <w:pPr>
        <w:spacing w:after="280"/>
        <w:jc w:val="center"/>
      </w:pPr>
      <w:r>
        <w:rPr>
          <w:rFonts w:ascii="Calibri" w:hAnsi="Calibri"/>
          <w:b w:val="0"/>
          <w:i w:val="0"/>
          <w:color w:val="646464"/>
          <w:sz w:val="20"/>
        </w:rPr>
        <w:t>dhairyadani7@gmail.com  |  October 2026</w:t>
      </w:r>
    </w:p>
    <w:p>
      <w:pPr>
        <w:spacing w:before="160" w:after="80"/>
      </w:pPr>
      <w:r>
        <w:rPr>
          <w:rFonts w:ascii="Calibri" w:hAnsi="Calibri"/>
          <w:b/>
          <w:i w:val="0"/>
          <w:color w:val="003366"/>
          <w:sz w:val="22"/>
        </w:rPr>
        <w:t>ABSTRACT</w:t>
      </w:r>
    </w:p>
    <w:p>
      <w:pPr>
        <w:spacing w:after="160" w:line="276" w:lineRule="auto"/>
        <w:ind w:left="288" w:right="288"/>
      </w:pPr>
      <w:r>
        <w:rPr>
          <w:rFonts w:ascii="Calibri" w:hAnsi="Calibri"/>
          <w:b w:val="0"/>
          <w:i/>
          <w:color w:val="000000"/>
          <w:sz w:val="21"/>
        </w:rPr>
        <w:t>We conduct an extensive, pre-registered out-of-sample investigation into whether statistical arbitrage strategies survive in the National Stock Exchange of India (NSE) single-stock Futures &amp; Options (F&amp;O) universe over the 16-year period from 2010 through 2025. Evaluating non-parametric distance pairs (Gatev et al. 2006), PCA-factor residual mean-reversion (Avellaneda &amp; Lee 2010), and walk-forward regularized machine learning architectures (Guijarro-Ordonez et al. 2021), we uncover an overwhelming 'Gross Alpha Illusion'. In frictionless returns, all three methodologies yield economically large and statistically significant profits, with gross annualized Sharpe ratios between +0.95 and +1.74 (Newey–West t-statistics from +4.05 to +7.49). However, after incorporating realistic dated statutory Indian transaction costs—including the Securities Transaction Tax (STT) increased in October 2024, stamp duty, turnover charges, GST, and liquidity-tiered slippage—net annualized Sharpe ratios collapse universally into negative territory (-1.63 to -2.96), resulting in annual capital depletion of -16.7% to -25.9%. The average breakeven cost multiplier is 0.38x of baseline institutional costs. Advanced machine learning models raise gross return predictability but accelerate portfolio turnover by 34%, exacerbating net drawdowns. All 12 pre-registered robustness variations fail the Deflated Sharpe Ratio (DSR = 0.000) and False Discovery Rate adjustments. We conclude that daily statistical arbitrage in Indian single-stock F&amp;O is unviable as an independent standalone profit center, but retains substantial commercial value as an execution timing alpha overlay for institutional asset managers.</w:t>
      </w:r>
    </w:p>
    <w:p>
      <w:pPr>
        <w:spacing w:after="320"/>
      </w:pPr>
      <w:r>
        <w:rPr>
          <w:rFonts w:ascii="Calibri" w:hAnsi="Calibri"/>
          <w:b/>
          <w:i w:val="0"/>
          <w:color w:val="000000"/>
          <w:sz w:val="20"/>
        </w:rPr>
        <w:t xml:space="preserve">Keywords: </w:t>
      </w:r>
      <w:r>
        <w:rPr>
          <w:rFonts w:ascii="Calibri" w:hAnsi="Calibri"/>
          <w:b w:val="0"/>
          <w:i w:val="0"/>
          <w:color w:val="000000"/>
          <w:sz w:val="20"/>
        </w:rPr>
        <w:t>Statistical Arbitrage, Pairs Trading, Market Microstructure, Securities Transaction Tax, Machine Learning, Indian Equity Derivatives.  |  JEL: G11, G12, G14, C58.</w:t>
      </w:r>
    </w:p>
    <w:p>
      <w:pPr>
        <w:spacing w:before="280" w:after="120"/>
      </w:pPr>
      <w:r>
        <w:rPr>
          <w:rFonts w:ascii="Calibri" w:hAnsi="Calibri"/>
          <w:b/>
          <w:i w:val="0"/>
          <w:color w:val="003366"/>
          <w:sz w:val="28"/>
        </w:rPr>
        <w:t>1. Introduction</w:t>
      </w:r>
    </w:p>
    <w:p>
      <w:pPr>
        <w:spacing w:after="120" w:line="276" w:lineRule="auto"/>
      </w:pPr>
      <w:r>
        <w:rPr>
          <w:rFonts w:ascii="Calibri" w:hAnsi="Calibri"/>
          <w:b w:val="0"/>
          <w:i w:val="0"/>
          <w:color w:val="000000"/>
          <w:sz w:val="22"/>
        </w:rPr>
        <w:t>Statistical arbitrage has stood as one of the cornerstone quantitative investment strategies in empirical finance for more than three decades. Originating in Wall Street proprietary trading desks during the mid-1980s, the core economic hypothesis posits that assets sharing common fundamental, statistical, or factor-driven risks should display cointegrated or mean-reverting price trajectories (Gatev et al. 2006; Vidyamurthy 2004). When temporary idiosyncratic supply-demand imbalances or liquidity shocks drive prices apart, statistical arbitrageurs inject liquidity into divergent assets by buying undervalued securities and shorting overvalued counterparts, expecting price convergence to generate risk-adjusted returns (Avellaneda &amp; Lee 2010; Huck &amp; Afawubo 2015; Krauss 2017; Gu et al. 2020).</w:t>
      </w:r>
    </w:p>
    <w:p>
      <w:pPr>
        <w:spacing w:after="120" w:line="276" w:lineRule="auto"/>
      </w:pPr>
      <w:r>
        <w:rPr>
          <w:rFonts w:ascii="Calibri" w:hAnsi="Calibri"/>
          <w:b w:val="0"/>
          <w:i w:val="0"/>
          <w:color w:val="000000"/>
          <w:sz w:val="22"/>
        </w:rPr>
        <w:t>However, modern empirical finance has increasingly demonstrated that anomalies documented in frictionless backtests often deteriorate drastically out-of-sample (McLean &amp; Pontiff 2016; Hou et al. 2020). In the specific domain of pairs trading, Do &amp; Faff (2010, 2012) discovered that post-2002 US pairs trading profits declined steadily, with trading friction and short-selling borrowing constraints consuming the majority of remaining gains. As Novy-Marx &amp; Velikov (2016) and Frazzini et al. (2018) have shown across broader asset pricing anomalies, strategies characterized by high portfolio turnover are acutely susceptible to transaction cost erosion.</w:t>
      </w:r>
    </w:p>
    <w:p>
      <w:pPr>
        <w:spacing w:after="120" w:line="276" w:lineRule="auto"/>
      </w:pPr>
      <w:r>
        <w:rPr>
          <w:rFonts w:ascii="Calibri" w:hAnsi="Calibri"/>
          <w:b w:val="0"/>
          <w:i w:val="0"/>
          <w:color w:val="000000"/>
          <w:sz w:val="22"/>
        </w:rPr>
        <w:t>While the theoretical and empirical literature surrounding statistical arbitrage is vast, the overwhelming majority of published studies focus on developed Western markets—chiefly the United States—where market microstructure is characterized by ultra-low transactional friction, maker-taker exchange rebates, and well-developed equity borrow markets. Emerging markets present an entirely distinct institutional landscape.</w:t>
      </w:r>
    </w:p>
    <w:p>
      <w:pPr>
        <w:spacing w:after="120" w:line="276" w:lineRule="auto"/>
      </w:pPr>
      <w:r>
        <w:rPr>
          <w:rFonts w:ascii="Calibri" w:hAnsi="Calibri"/>
          <w:b w:val="0"/>
          <w:i w:val="0"/>
          <w:color w:val="000000"/>
          <w:sz w:val="22"/>
        </w:rPr>
        <w:t>In this paper, we conduct an exhaustive, pre-registered empirical investigation into whether statistical arbitrage anomalies survive in the National Stock Exchange of India (NSE) single-stock Futures &amp; Options (F&amp;O) segment over the 16-year period from January 1, 2010 to December 31, 2025. The Indian equity derivatives market serves as a critical empirical laboratory for two institutional reasons:</w:t>
      </w:r>
    </w:p>
    <w:p>
      <w:pPr>
        <w:spacing w:after="80" w:line="276" w:lineRule="auto"/>
        <w:ind w:left="360"/>
      </w:pPr>
      <w:r>
        <w:rPr>
          <w:rFonts w:ascii="Calibri" w:hAnsi="Calibri"/>
          <w:b/>
          <w:i w:val="0"/>
          <w:color w:val="000000"/>
          <w:sz w:val="22"/>
        </w:rPr>
        <w:t xml:space="preserve">1. </w:t>
      </w:r>
      <w:r>
        <w:rPr>
          <w:rFonts w:ascii="Calibri" w:hAnsi="Calibri"/>
          <w:b/>
          <w:i w:val="0"/>
          <w:color w:val="000000"/>
          <w:sz w:val="22"/>
        </w:rPr>
        <w:t xml:space="preserve">Constrained Cash Short-Selling: </w:t>
      </w:r>
      <w:r>
        <w:rPr>
          <w:rFonts w:ascii="Calibri" w:hAnsi="Calibri"/>
          <w:b w:val="0"/>
          <w:i w:val="0"/>
          <w:color w:val="000000"/>
          <w:sz w:val="22"/>
        </w:rPr>
        <w:t>Single-stock short selling in the cash equity segment is severely constrained by illiquid Securities Lending and Borrowing (SLB) mechanisms, forcing market-neutral managers to operate almost exclusively in single-stock futures contracts.</w:t>
      </w:r>
    </w:p>
    <w:p>
      <w:pPr>
        <w:spacing w:after="80" w:line="276" w:lineRule="auto"/>
        <w:ind w:left="360"/>
      </w:pPr>
      <w:r>
        <w:rPr>
          <w:rFonts w:ascii="Calibri" w:hAnsi="Calibri"/>
          <w:b/>
          <w:i w:val="0"/>
          <w:color w:val="000000"/>
          <w:sz w:val="22"/>
        </w:rPr>
        <w:t xml:space="preserve">2. </w:t>
      </w:r>
      <w:r>
        <w:rPr>
          <w:rFonts w:ascii="Calibri" w:hAnsi="Calibri"/>
          <w:b/>
          <w:i w:val="0"/>
          <w:color w:val="000000"/>
          <w:sz w:val="22"/>
        </w:rPr>
        <w:t xml:space="preserve">Statutory Fee Drag: </w:t>
      </w:r>
      <w:r>
        <w:rPr>
          <w:rFonts w:ascii="Calibri" w:hAnsi="Calibri"/>
          <w:b w:val="0"/>
          <w:i w:val="0"/>
          <w:color w:val="000000"/>
          <w:sz w:val="22"/>
        </w:rPr>
        <w:t>Unlike US equities, Indian derivative transactions are subject to non-negotiable statutory government taxes, including the Securities Transaction Tax (STT) (Bose 2007), Stamp Duty, Goods and Services Tax (GST), exchange turnover levies, and SEBI regulatory charges.</w:t>
      </w:r>
    </w:p>
    <w:p>
      <w:pPr>
        <w:spacing w:before="200" w:after="80"/>
      </w:pPr>
      <w:r>
        <w:rPr>
          <w:rFonts w:ascii="Calibri" w:hAnsi="Calibri"/>
          <w:b/>
          <w:i w:val="0"/>
          <w:color w:val="336699"/>
          <w:sz w:val="24"/>
        </w:rPr>
        <w:t>1.1 Key Empirical Findings and the 'Gross Alpha Illusion'</w:t>
      </w:r>
    </w:p>
    <w:p>
      <w:pPr>
        <w:spacing w:after="120" w:line="276" w:lineRule="auto"/>
      </w:pPr>
      <w:r>
        <w:rPr>
          <w:rFonts w:ascii="Calibri" w:hAnsi="Calibri"/>
          <w:b/>
          <w:i w:val="0"/>
          <w:color w:val="000000"/>
          <w:sz w:val="22"/>
        </w:rPr>
        <w:t>Our central finding is striking: Gross statistical arbitrage signals exist in Indian F&amp;O equities with high statistical significance, but they are completely annihilated by market microstructure friction.</w:t>
      </w:r>
    </w:p>
    <w:p>
      <w:pPr>
        <w:spacing w:after="120" w:line="276" w:lineRule="auto"/>
      </w:pPr>
      <w:r>
        <w:rPr>
          <w:rFonts w:ascii="Calibri" w:hAnsi="Calibri"/>
          <w:b w:val="0"/>
          <w:i w:val="0"/>
          <w:color w:val="000000"/>
          <w:sz w:val="22"/>
        </w:rPr>
        <w:t>Across all three methodological families examined:</w:t>
      </w:r>
    </w:p>
    <w:p>
      <w:pPr>
        <w:pStyle w:val="ListBullet"/>
        <w:spacing w:after="80" w:line="276" w:lineRule="auto"/>
      </w:pPr>
      <w:r>
        <w:rPr>
          <w:rFonts w:ascii="Calibri" w:hAnsi="Calibri"/>
          <w:b/>
          <w:i w:val="0"/>
          <w:color w:val="000000"/>
          <w:sz w:val="22"/>
        </w:rPr>
        <w:t xml:space="preserve">Strategy A (Gatev et al. 2006 Distance Pairs): </w:t>
      </w:r>
      <w:r>
        <w:rPr>
          <w:rFonts w:ascii="Calibri" w:hAnsi="Calibri"/>
          <w:b w:val="0"/>
          <w:i w:val="0"/>
          <w:color w:val="000000"/>
          <w:sz w:val="22"/>
        </w:rPr>
        <w:t>Generates a gross annualized Sharpe ratio of +0.95 (t-stat = +4.11, p &lt; 0.001). Under our baseline institutional cost model, the net Sharpe collapses to -2.52 with an annualized net loss of -25.16%.</w:t>
      </w:r>
    </w:p>
    <w:p>
      <w:pPr>
        <w:pStyle w:val="ListBullet"/>
        <w:spacing w:after="80" w:line="276" w:lineRule="auto"/>
      </w:pPr>
      <w:r>
        <w:rPr>
          <w:rFonts w:ascii="Calibri" w:hAnsi="Calibri"/>
          <w:b/>
          <w:i w:val="0"/>
          <w:color w:val="000000"/>
          <w:sz w:val="22"/>
        </w:rPr>
        <w:t xml:space="preserve">Strategy B (Avellaneda &amp; Lee 2010 PCA-OU Reversion): </w:t>
      </w:r>
      <w:r>
        <w:rPr>
          <w:rFonts w:ascii="Calibri" w:hAnsi="Calibri"/>
          <w:b w:val="0"/>
          <w:i w:val="0"/>
          <w:color w:val="000000"/>
          <w:sz w:val="22"/>
        </w:rPr>
        <w:t>Achieves a gross annualized Sharpe ratio of +1.74 (t-stat = +7.49, p &lt; 0.001). After dated transaction costs, the net Sharpe collapses to -1.63 (t-stat = -7.00), yielding a -16.75% net loss per annum.</w:t>
      </w:r>
    </w:p>
    <w:p>
      <w:pPr>
        <w:pStyle w:val="ListBullet"/>
        <w:spacing w:after="80" w:line="276" w:lineRule="auto"/>
      </w:pPr>
      <w:r>
        <w:rPr>
          <w:rFonts w:ascii="Calibri" w:hAnsi="Calibri"/>
          <w:b/>
          <w:i w:val="0"/>
          <w:color w:val="000000"/>
          <w:sz w:val="22"/>
        </w:rPr>
        <w:t xml:space="preserve">Strategy C (ML-Enhanced Walk-Forward Residuals): </w:t>
      </w:r>
      <w:r>
        <w:rPr>
          <w:rFonts w:ascii="Calibri" w:hAnsi="Calibri"/>
          <w:b w:val="0"/>
          <w:i w:val="0"/>
          <w:color w:val="000000"/>
          <w:sz w:val="22"/>
        </w:rPr>
        <w:t>Demonstrates an impressive gross Sharpe of +1.00 (t-stat = +4.05, p &lt; 0.001). However, because non-linear models identify shorter-lived mispricings and induce 34% higher turnover, the net Sharpe collapses to -2.96 (t-stat = -12.00, net loss -25.91%).</w:t>
      </w:r>
    </w:p>
    <w:p>
      <w:pPr>
        <w:spacing w:after="120" w:line="276" w:lineRule="auto"/>
      </w:pPr>
      <w:r>
        <w:rPr>
          <w:rFonts w:ascii="Calibri" w:hAnsi="Calibri"/>
          <w:b w:val="0"/>
          <w:i w:val="0"/>
          <w:color w:val="000000"/>
          <w:sz w:val="22"/>
        </w:rPr>
        <w:t>The breakeven cost multiplier across all strategies averages 0.38x of baseline institutional costs. Consequently, an institutional fund would need to reduce total transaction costs by more than 62% below statutory minimums to achieve non-negative net returns. Controlling for data-snooping via the Deflated Sharpe Ratio (Bailey &amp; Lopez de Prado 2014) and multiple testing (Harvey et al. 2016; Benjamini &amp; Hochberg 1995), zero out of twelve pre-registered strategy specifications survive. We conclude that daily statistical arbitrage in Indian single-stock F&amp;O is not viable as an independent, standalone alpha generator, but retains substantial economic value when repurposed as an execution timing overlay (Novy-Marx &amp; Velikov 2016).</w:t>
      </w:r>
    </w:p>
    <w:p>
      <w:pPr>
        <w:spacing w:before="280" w:after="120"/>
      </w:pPr>
      <w:r>
        <w:rPr>
          <w:rFonts w:ascii="Calibri" w:hAnsi="Calibri"/>
          <w:b/>
          <w:i w:val="0"/>
          <w:color w:val="003366"/>
          <w:sz w:val="28"/>
        </w:rPr>
        <w:t>2. Indian Market Microstructure and Institutional Costs</w:t>
      </w:r>
    </w:p>
    <w:p>
      <w:pPr>
        <w:spacing w:after="120" w:line="276" w:lineRule="auto"/>
      </w:pPr>
      <w:r>
        <w:rPr>
          <w:rFonts w:ascii="Calibri" w:hAnsi="Calibri"/>
          <w:b w:val="0"/>
          <w:i w:val="0"/>
          <w:color w:val="000000"/>
          <w:sz w:val="22"/>
        </w:rPr>
        <w:t>Trading statistical arbitrage in India requires navigating a fundamentally different market structure than in North America or Western Europe. Single-stock short selling in the Indian cash equity market is subject to strict Securities Lending and Borrowing (SLB) limitations, characterized by negligible liquidity and high borrow fees. Consequently, institutional quant funds implement long/short market-neutral strategies almost entirely within the National Stock Exchange (NSE) Futures segment.</w:t>
      </w:r>
    </w:p>
    <w:p>
      <w:pPr>
        <w:spacing w:before="200" w:after="80"/>
      </w:pPr>
      <w:r>
        <w:rPr>
          <w:rFonts w:ascii="Calibri" w:hAnsi="Calibri"/>
          <w:b/>
          <w:i w:val="0"/>
          <w:color w:val="336699"/>
          <w:sz w:val="24"/>
        </w:rPr>
        <w:t>2.1 Dated Statutory Fee Architecture</w:t>
      </w:r>
    </w:p>
    <w:p>
      <w:pPr>
        <w:spacing w:after="120" w:line="276" w:lineRule="auto"/>
      </w:pPr>
      <w:r>
        <w:rPr>
          <w:rFonts w:ascii="Calibri" w:hAnsi="Calibri"/>
          <w:b w:val="0"/>
          <w:i w:val="0"/>
          <w:color w:val="000000"/>
          <w:sz w:val="22"/>
        </w:rPr>
        <w:t>Unlike jurisdictions with negotiated or zero-commission fee tiers, Indian futures transactions incur statutory government taxes and exchange fees that apply to all institutional participants (Bose 2007):</w:t>
      </w:r>
    </w:p>
    <w:p>
      <w:pPr>
        <w:spacing w:after="80" w:line="276" w:lineRule="auto"/>
        <w:ind w:left="360"/>
      </w:pPr>
      <w:r>
        <w:rPr>
          <w:rFonts w:ascii="Calibri" w:hAnsi="Calibri"/>
          <w:b/>
          <w:i w:val="0"/>
          <w:color w:val="000000"/>
          <w:sz w:val="22"/>
        </w:rPr>
        <w:t xml:space="preserve">1. </w:t>
      </w:r>
      <w:r>
        <w:rPr>
          <w:rFonts w:ascii="Calibri" w:hAnsi="Calibri"/>
          <w:b/>
          <w:i w:val="0"/>
          <w:color w:val="000000"/>
          <w:sz w:val="22"/>
        </w:rPr>
        <w:t xml:space="preserve">Securities Transaction Tax (STT): </w:t>
      </w:r>
      <w:r>
        <w:rPr>
          <w:rFonts w:ascii="Calibri" w:hAnsi="Calibri"/>
          <w:b w:val="0"/>
          <w:i w:val="0"/>
          <w:color w:val="000000"/>
          <w:sz w:val="22"/>
        </w:rPr>
        <w:t>Imposed exclusively on the sell side of futures transactions. Historically fixed at 0.0125% (1.25 bps), STT was raised by 60% to 0.0200% (2.00 bps) effective October 1, 2024, under SEBI regulatory reforms aimed at cooling retail derivative speculation.</w:t>
      </w:r>
    </w:p>
    <w:p>
      <w:pPr>
        <w:spacing w:after="80" w:line="276" w:lineRule="auto"/>
        <w:ind w:left="360"/>
      </w:pPr>
      <w:r>
        <w:rPr>
          <w:rFonts w:ascii="Calibri" w:hAnsi="Calibri"/>
          <w:b/>
          <w:i w:val="0"/>
          <w:color w:val="000000"/>
          <w:sz w:val="22"/>
        </w:rPr>
        <w:t xml:space="preserve">2. </w:t>
      </w:r>
      <w:r>
        <w:rPr>
          <w:rFonts w:ascii="Calibri" w:hAnsi="Calibri"/>
          <w:b/>
          <w:i w:val="0"/>
          <w:color w:val="000000"/>
          <w:sz w:val="22"/>
        </w:rPr>
        <w:t xml:space="preserve">Stamp Duty: </w:t>
      </w:r>
      <w:r>
        <w:rPr>
          <w:rFonts w:ascii="Calibri" w:hAnsi="Calibri"/>
          <w:b w:val="0"/>
          <w:i w:val="0"/>
          <w:color w:val="000000"/>
          <w:sz w:val="22"/>
        </w:rPr>
        <w:t>Standardized nationwide under the Indian Stamp Act at 0.0020% (0.20 bps) on the buy side.</w:t>
      </w:r>
    </w:p>
    <w:p>
      <w:pPr>
        <w:spacing w:after="80" w:line="276" w:lineRule="auto"/>
        <w:ind w:left="360"/>
      </w:pPr>
      <w:r>
        <w:rPr>
          <w:rFonts w:ascii="Calibri" w:hAnsi="Calibri"/>
          <w:b/>
          <w:i w:val="0"/>
          <w:color w:val="000000"/>
          <w:sz w:val="22"/>
        </w:rPr>
        <w:t xml:space="preserve">3. </w:t>
      </w:r>
      <w:r>
        <w:rPr>
          <w:rFonts w:ascii="Calibri" w:hAnsi="Calibri"/>
          <w:b/>
          <w:i w:val="0"/>
          <w:color w:val="000000"/>
          <w:sz w:val="22"/>
        </w:rPr>
        <w:t xml:space="preserve">Exchange Transaction Charges (NSE): </w:t>
      </w:r>
      <w:r>
        <w:rPr>
          <w:rFonts w:ascii="Calibri" w:hAnsi="Calibri"/>
          <w:b w:val="0"/>
          <w:i w:val="0"/>
          <w:color w:val="000000"/>
          <w:sz w:val="22"/>
        </w:rPr>
        <w:t>Blended rate of 0.0019% (0.19 bps) levied on both buy and sell legs (0.38 bps round-trip).</w:t>
      </w:r>
    </w:p>
    <w:p>
      <w:pPr>
        <w:spacing w:after="80" w:line="276" w:lineRule="auto"/>
        <w:ind w:left="360"/>
      </w:pPr>
      <w:r>
        <w:rPr>
          <w:rFonts w:ascii="Calibri" w:hAnsi="Calibri"/>
          <w:b/>
          <w:i w:val="0"/>
          <w:color w:val="000000"/>
          <w:sz w:val="22"/>
        </w:rPr>
        <w:t xml:space="preserve">4. </w:t>
      </w:r>
      <w:r>
        <w:rPr>
          <w:rFonts w:ascii="Calibri" w:hAnsi="Calibri"/>
          <w:b/>
          <w:i w:val="0"/>
          <w:color w:val="000000"/>
          <w:sz w:val="22"/>
        </w:rPr>
        <w:t xml:space="preserve">SEBI Turnover Fees: </w:t>
      </w:r>
      <w:r>
        <w:rPr>
          <w:rFonts w:ascii="Calibri" w:hAnsi="Calibri"/>
          <w:b w:val="0"/>
          <w:i w:val="0"/>
          <w:color w:val="000000"/>
          <w:sz w:val="22"/>
        </w:rPr>
        <w:t>Fixed regulatory levy of 0.0001% (0.01 bps) on both legs (0.02 bps round-trip).</w:t>
      </w:r>
    </w:p>
    <w:p>
      <w:pPr>
        <w:spacing w:after="80" w:line="276" w:lineRule="auto"/>
        <w:ind w:left="360"/>
      </w:pPr>
      <w:r>
        <w:rPr>
          <w:rFonts w:ascii="Calibri" w:hAnsi="Calibri"/>
          <w:b/>
          <w:i w:val="0"/>
          <w:color w:val="000000"/>
          <w:sz w:val="22"/>
        </w:rPr>
        <w:t xml:space="preserve">5. </w:t>
      </w:r>
      <w:r>
        <w:rPr>
          <w:rFonts w:ascii="Calibri" w:hAnsi="Calibri"/>
          <w:b/>
          <w:i w:val="0"/>
          <w:color w:val="000000"/>
          <w:sz w:val="22"/>
        </w:rPr>
        <w:t xml:space="preserve">Goods and Services Tax (GST): </w:t>
      </w:r>
      <w:r>
        <w:rPr>
          <w:rFonts w:ascii="Calibri" w:hAnsi="Calibri"/>
          <w:b w:val="0"/>
          <w:i w:val="0"/>
          <w:color w:val="000000"/>
          <w:sz w:val="22"/>
        </w:rPr>
        <w:t>18.0% tax levied on brokerage and exchange transaction fees (approx. 0.12 bps round-trip).</w:t>
      </w:r>
    </w:p>
    <w:p>
      <w:pPr>
        <w:spacing w:before="200" w:after="80"/>
      </w:pPr>
      <w:r>
        <w:rPr>
          <w:rFonts w:ascii="Calibri" w:hAnsi="Calibri"/>
          <w:b/>
          <w:i w:val="0"/>
          <w:color w:val="336699"/>
          <w:sz w:val="24"/>
        </w:rPr>
        <w:t>2.2 Execution Slippage and Liquidity Microstructure</w:t>
      </w:r>
    </w:p>
    <w:p>
      <w:pPr>
        <w:spacing w:after="120" w:line="276" w:lineRule="auto"/>
      </w:pPr>
      <w:r>
        <w:rPr>
          <w:rFonts w:ascii="Calibri" w:hAnsi="Calibri"/>
          <w:b w:val="0"/>
          <w:i w:val="0"/>
          <w:color w:val="000000"/>
          <w:sz w:val="22"/>
        </w:rPr>
        <w:t>Following the market microstructure frameworks of Roll (1984), Lesmond et al. (1999), and Amihud (2002), real-world execution friction consists of both explicit tax charges and implicit market impact slippage. To accurately reflect institutional execution constraints without assuming infinite liquidity (Frazzini et al. 2018), we model execution slippage using Average Daily Traded Value (ADTV) liquidity tiers:</w:t>
      </w:r>
    </w:p>
    <w:p>
      <w:pPr>
        <w:spacing w:before="120" w:after="120"/>
        <w:jc w:val="center"/>
      </w:pPr>
      <w:r>
        <w:rPr>
          <w:rFonts w:ascii="Cambria Math" w:hAnsi="Cambria Math"/>
          <w:b w:val="0"/>
          <w:i/>
          <w:color w:val="000000"/>
          <w:sz w:val="22"/>
        </w:rPr>
        <w:t>Slippage_tier = 2.0 bps/leg (4.0 bps RT) if ADTV &gt;= Rs. 100 Cr;</w:t>
        <w:br/>
        <w:t>5.0 bps/leg (10.0 bps RT) if Rs. 25 Cr &lt;= ADTV &lt; Rs. 100 Cr;</w:t>
        <w:br/>
        <w:t>10.0 bps/leg (20.0 bps RT) if ADTV &lt; Rs. 25 Cr.</w:t>
      </w:r>
    </w:p>
    <w:p>
      <w:pPr>
        <w:spacing w:after="120" w:line="276" w:lineRule="auto"/>
      </w:pPr>
      <w:r>
        <w:rPr>
          <w:rFonts w:ascii="Calibri" w:hAnsi="Calibri"/>
          <w:b w:val="0"/>
          <w:i w:val="0"/>
          <w:color w:val="000000"/>
          <w:sz w:val="22"/>
        </w:rPr>
        <w:t>The total institutional round-trip transaction cost C_{i,t} for stock i at date t is expressed as:</w:t>
      </w:r>
    </w:p>
    <w:p>
      <w:pPr>
        <w:spacing w:before="120" w:after="120"/>
        <w:jc w:val="center"/>
      </w:pPr>
      <w:r>
        <w:rPr>
          <w:rFonts w:ascii="Cambria Math" w:hAnsi="Cambria Math"/>
          <w:b w:val="0"/>
          <w:i/>
          <w:color w:val="000000"/>
          <w:sz w:val="22"/>
        </w:rPr>
        <w:t>C_{i,t} = STT_t + Stamp + 2 * (NSE_fee + SEBI_fee) + GST + 2 * Slippage_i</w:t>
      </w:r>
    </w:p>
    <w:p>
      <w:pPr>
        <w:spacing w:after="120" w:line="276" w:lineRule="auto"/>
      </w:pPr>
      <w:r>
        <w:rPr>
          <w:rFonts w:ascii="Calibri" w:hAnsi="Calibri"/>
          <w:b w:val="0"/>
          <w:i w:val="0"/>
          <w:color w:val="000000"/>
          <w:sz w:val="22"/>
        </w:rPr>
        <w:t>Under baseline market liquidity, all-in round-trip costs average 6.5 basis points prior to October 2024, and 7.3 basis points post-October 2024. In a pair trade, both legs must be entered and exited, doubling the friction per unit of trade.</w:t>
      </w:r>
    </w:p>
    <w:p>
      <w:pPr>
        <w:spacing w:before="280" w:after="120"/>
      </w:pPr>
      <w:r>
        <w:rPr>
          <w:rFonts w:ascii="Calibri" w:hAnsi="Calibri"/>
          <w:b/>
          <w:i w:val="0"/>
          <w:color w:val="003366"/>
          <w:sz w:val="28"/>
        </w:rPr>
        <w:t>3. Data and Universe Construction</w:t>
      </w:r>
    </w:p>
    <w:p>
      <w:pPr>
        <w:spacing w:before="200" w:after="80"/>
      </w:pPr>
      <w:r>
        <w:rPr>
          <w:rFonts w:ascii="Calibri" w:hAnsi="Calibri"/>
          <w:b/>
          <w:i w:val="0"/>
          <w:color w:val="336699"/>
          <w:sz w:val="24"/>
        </w:rPr>
        <w:t>3.1 Point-in-Time F&amp;O Universe and Survivorship Bias</w:t>
      </w:r>
    </w:p>
    <w:p>
      <w:pPr>
        <w:spacing w:after="120" w:line="276" w:lineRule="auto"/>
      </w:pPr>
      <w:r>
        <w:rPr>
          <w:rFonts w:ascii="Calibri" w:hAnsi="Calibri"/>
          <w:b w:val="0"/>
          <w:i w:val="0"/>
          <w:color w:val="000000"/>
          <w:sz w:val="22"/>
        </w:rPr>
        <w:t>To eliminate survivorship bias, our investment universe is reconstituted dynamically each calendar month to reflect exclusively those equity securities permitted for trading in the NSE F&amp;O segment. Over the 2010–2025 sample period, the size of this tradeable universe varies between 140 and 215 stocks (mean = 182 stocks). Crucially, companies that were subsequently banned, excluded, or delisted from the F&amp;O list (such as RCOM, Reliance Power, or DHFL) are retained in the historical cross-section up to their exact official exclusion date.</w:t>
      </w:r>
    </w:p>
    <w:p>
      <w:pPr>
        <w:spacing w:before="160" w:after="60"/>
        <w:jc w:val="center"/>
      </w:pPr>
      <w:r>
        <w:drawing>
          <wp:inline xmlns:a="http://schemas.openxmlformats.org/drawingml/2006/main" xmlns:pic="http://schemas.openxmlformats.org/drawingml/2006/picture">
            <wp:extent cx="5486400" cy="3083357"/>
            <wp:docPr id="1" name="Picture 1"/>
            <wp:cNvGraphicFramePr>
              <a:graphicFrameLocks noChangeAspect="1"/>
            </wp:cNvGraphicFramePr>
            <a:graphic>
              <a:graphicData uri="http://schemas.openxmlformats.org/drawingml/2006/picture">
                <pic:pic>
                  <pic:nvPicPr>
                    <pic:cNvPr id="0" name="fig7_universe_size_over_time.png"/>
                    <pic:cNvPicPr/>
                  </pic:nvPicPr>
                  <pic:blipFill>
                    <a:blip r:embed="rId9"/>
                    <a:stretch>
                      <a:fillRect/>
                    </a:stretch>
                  </pic:blipFill>
                  <pic:spPr>
                    <a:xfrm>
                      <a:off x="0" y="0"/>
                      <a:ext cx="5486400" cy="3083357"/>
                    </a:xfrm>
                    <a:prstGeom prst="rect"/>
                  </pic:spPr>
                </pic:pic>
              </a:graphicData>
            </a:graphic>
          </wp:inline>
        </w:drawing>
      </w:r>
    </w:p>
    <w:p>
      <w:pPr>
        <w:spacing w:before="0" w:after="200"/>
        <w:jc w:val="center"/>
      </w:pPr>
      <w:r>
        <w:rPr>
          <w:rFonts w:ascii="Calibri" w:hAnsi="Calibri"/>
          <w:b w:val="0"/>
          <w:i/>
          <w:color w:val="505050"/>
          <w:sz w:val="19"/>
        </w:rPr>
        <w:t>Figure 1: Dynamically Reconstituted NSE F&amp;O Tradeable Universe Count and Annual Inclusions/Exclusions (2010–2025).</w:t>
      </w:r>
    </w:p>
    <w:p>
      <w:pPr>
        <w:spacing w:before="200" w:after="80"/>
      </w:pPr>
      <w:r>
        <w:rPr>
          <w:rFonts w:ascii="Calibri" w:hAnsi="Calibri"/>
          <w:b/>
          <w:i w:val="0"/>
          <w:color w:val="336699"/>
          <w:sz w:val="24"/>
        </w:rPr>
        <w:t>3.2 Corporate Action Adjustments</w:t>
      </w:r>
    </w:p>
    <w:p>
      <w:pPr>
        <w:spacing w:after="120" w:line="276" w:lineRule="auto"/>
      </w:pPr>
      <w:r>
        <w:rPr>
          <w:rFonts w:ascii="Calibri" w:hAnsi="Calibri"/>
          <w:b w:val="0"/>
          <w:i w:val="0"/>
          <w:color w:val="000000"/>
          <w:sz w:val="22"/>
        </w:rPr>
        <w:t>Historical closing prices are adjusted backwards for all corporate actions, including stock splits, bonus issues, and cash dividends:</w:t>
      </w:r>
    </w:p>
    <w:p>
      <w:pPr>
        <w:spacing w:before="120" w:after="120"/>
        <w:jc w:val="center"/>
      </w:pPr>
      <w:r>
        <w:rPr>
          <w:rFonts w:ascii="Cambria Math" w:hAnsi="Cambria Math"/>
          <w:b w:val="0"/>
          <w:i/>
          <w:color w:val="000000"/>
          <w:sz w:val="22"/>
        </w:rPr>
        <w:t>P_{i,t}^adj = P_{i,t} * Product_{tau &gt; t} [ 1 - D_{i,tau} / P_{i,tau-1} ] * [ 1 / SplitRatio_tau ]</w:t>
      </w:r>
    </w:p>
    <w:p>
      <w:pPr>
        <w:spacing w:after="120" w:line="276" w:lineRule="auto"/>
      </w:pPr>
      <w:r>
        <w:rPr>
          <w:rFonts w:ascii="Calibri" w:hAnsi="Calibri"/>
          <w:b w:val="0"/>
          <w:i w:val="0"/>
          <w:color w:val="000000"/>
          <w:sz w:val="22"/>
        </w:rPr>
        <w:t>The adjustment algorithms were validated against benchmark corporate actions across large-cap Indian stocks, including Infosys (INFY 1:1 bonus issues in 2014, 2015, and 2018) and Reliance Industries.</w:t>
      </w:r>
    </w:p>
    <w:p>
      <w:pPr>
        <w:spacing w:before="200" w:after="80"/>
      </w:pPr>
      <w:r>
        <w:rPr>
          <w:rFonts w:ascii="Calibri" w:hAnsi="Calibri"/>
          <w:b/>
          <w:i w:val="0"/>
          <w:color w:val="336699"/>
          <w:sz w:val="24"/>
        </w:rPr>
        <w:t>3.3 Factor Benchmarks and Indian Risk Premia</w:t>
      </w:r>
    </w:p>
    <w:p>
      <w:pPr>
        <w:spacing w:after="120" w:line="276" w:lineRule="auto"/>
      </w:pPr>
      <w:r>
        <w:rPr>
          <w:rFonts w:ascii="Calibri" w:hAnsi="Calibri"/>
          <w:b w:val="0"/>
          <w:i w:val="0"/>
          <w:color w:val="000000"/>
          <w:sz w:val="22"/>
        </w:rPr>
        <w:t>To evaluate whether statistical arbitrage returns represent true idiosyncratic alpha or compensation for systematic risk, we utilize daily factor returns from the Indian Institute of Management Ahmedabad (IIMA) four-factor model (Agarwalla et al. 2014), an emerging-market adaptation of the Fama &amp; French (1993) and Carhart (1997) specifications: Market risk premium (MKT), Size factor (SMB), Value factor (HML), Momentum factor (WML), and the 91-day Government of India Treasury Bill rate (Rf).</w:t>
      </w:r>
    </w:p>
    <w:p>
      <w:pPr>
        <w:spacing w:before="280" w:after="120"/>
      </w:pPr>
      <w:r>
        <w:rPr>
          <w:rFonts w:ascii="Calibri" w:hAnsi="Calibri"/>
          <w:b/>
          <w:i w:val="0"/>
          <w:color w:val="003366"/>
          <w:sz w:val="28"/>
        </w:rPr>
        <w:t>4. Methodology and Quantitative Models</w:t>
      </w:r>
    </w:p>
    <w:p>
      <w:pPr>
        <w:spacing w:before="200" w:after="80"/>
      </w:pPr>
      <w:r>
        <w:rPr>
          <w:rFonts w:ascii="Calibri" w:hAnsi="Calibri"/>
          <w:b/>
          <w:i w:val="0"/>
          <w:color w:val="336699"/>
          <w:sz w:val="24"/>
        </w:rPr>
        <w:t>4.1 Strategy A: Distance Pairs (Gatev et al. 2006)</w:t>
      </w:r>
    </w:p>
    <w:p>
      <w:pPr>
        <w:spacing w:after="120" w:line="276" w:lineRule="auto"/>
      </w:pPr>
      <w:r>
        <w:rPr>
          <w:rFonts w:ascii="Calibri" w:hAnsi="Calibri"/>
          <w:b w:val="0"/>
          <w:i w:val="0"/>
          <w:color w:val="000000"/>
          <w:sz w:val="22"/>
        </w:rPr>
        <w:t>Following Gatev et al. (2006) and Vidyamurthy (2004), the formation period spans 252 trading days. For each pair (i, j), we compute the sum of squared differences (SSD) on normalized cumulative return series:</w:t>
      </w:r>
    </w:p>
    <w:p>
      <w:pPr>
        <w:spacing w:before="120" w:after="120"/>
        <w:jc w:val="center"/>
      </w:pPr>
      <w:r>
        <w:rPr>
          <w:rFonts w:ascii="Cambria Math" w:hAnsi="Cambria Math"/>
          <w:b w:val="0"/>
          <w:i/>
          <w:color w:val="000000"/>
          <w:sz w:val="22"/>
        </w:rPr>
        <w:t>SSD_{i,j} = Sum_{t=1}^{252} [ P~_{i,t} - P~_{j,t} ]^2,  where P~_{i,t} = Product_{tau=1}^t (1 + R_{i,tau})</w:t>
      </w:r>
    </w:p>
    <w:p>
      <w:pPr>
        <w:pStyle w:val="ListBullet"/>
        <w:spacing w:after="80" w:line="276" w:lineRule="auto"/>
      </w:pPr>
      <w:r>
        <w:rPr>
          <w:rFonts w:ascii="Calibri" w:hAnsi="Calibri"/>
          <w:b/>
          <w:i w:val="0"/>
          <w:color w:val="000000"/>
          <w:sz w:val="22"/>
        </w:rPr>
        <w:t xml:space="preserve">Trading Rule: </w:t>
      </w:r>
      <w:r>
        <w:rPr>
          <w:rFonts w:ascii="Calibri" w:hAnsi="Calibri"/>
          <w:b w:val="0"/>
          <w:i w:val="0"/>
          <w:color w:val="000000"/>
          <w:sz w:val="22"/>
        </w:rPr>
        <w:t>Open when price spread diverges by &gt;= 2.0 sigma. Close upon reversion to zero, 126-day holding limit, or 4.0 sigma stop-loss.</w:t>
      </w:r>
    </w:p>
    <w:p>
      <w:pPr>
        <w:pStyle w:val="ListBullet"/>
        <w:spacing w:after="80" w:line="276" w:lineRule="auto"/>
      </w:pPr>
      <w:r>
        <w:rPr>
          <w:rFonts w:ascii="Calibri" w:hAnsi="Calibri"/>
          <w:b/>
          <w:i w:val="0"/>
          <w:color w:val="000000"/>
          <w:sz w:val="22"/>
        </w:rPr>
        <w:t xml:space="preserve">Execution Lag: </w:t>
      </w:r>
      <w:r>
        <w:rPr>
          <w:rFonts w:ascii="Calibri" w:hAnsi="Calibri"/>
          <w:b w:val="0"/>
          <w:i w:val="0"/>
          <w:color w:val="000000"/>
          <w:sz w:val="22"/>
        </w:rPr>
        <w:t>Strict 1-day wait between signal identification (day t) and execution (day t+1) to eliminate bid-ask bounce.</w:t>
      </w:r>
    </w:p>
    <w:p>
      <w:pPr>
        <w:pStyle w:val="ListBullet"/>
        <w:spacing w:after="80" w:line="276" w:lineRule="auto"/>
      </w:pPr>
      <w:r>
        <w:rPr>
          <w:rFonts w:ascii="Calibri" w:hAnsi="Calibri"/>
          <w:b/>
          <w:i w:val="0"/>
          <w:color w:val="000000"/>
          <w:sz w:val="22"/>
        </w:rPr>
        <w:t xml:space="preserve">Capital Allocation: </w:t>
      </w:r>
      <w:r>
        <w:rPr>
          <w:rFonts w:ascii="Calibri" w:hAnsi="Calibri"/>
          <w:b w:val="0"/>
          <w:i w:val="0"/>
          <w:color w:val="000000"/>
          <w:sz w:val="22"/>
        </w:rPr>
        <w:t>Committed capital allocating 1/N (N=20 pairs).</w:t>
      </w:r>
    </w:p>
    <w:p>
      <w:pPr>
        <w:spacing w:before="200" w:after="80"/>
      </w:pPr>
      <w:r>
        <w:rPr>
          <w:rFonts w:ascii="Calibri" w:hAnsi="Calibri"/>
          <w:b/>
          <w:i w:val="0"/>
          <w:color w:val="336699"/>
          <w:sz w:val="24"/>
        </w:rPr>
        <w:t>4.2 Strategy B: PCA-Residual Mean Reversion (Avellaneda &amp; Lee 2010)</w:t>
      </w:r>
    </w:p>
    <w:p>
      <w:pPr>
        <w:spacing w:after="120" w:line="276" w:lineRule="auto"/>
      </w:pPr>
      <w:r>
        <w:rPr>
          <w:rFonts w:ascii="Calibri" w:hAnsi="Calibri"/>
          <w:b w:val="0"/>
          <w:i w:val="0"/>
          <w:color w:val="000000"/>
          <w:sz w:val="22"/>
        </w:rPr>
        <w:t>On each trading day, we extract the top k=5 principal components as statistical factors F_k(t) from a rolling 252-day correlation matrix. Cumulative residuals X_{i,t} are modeled as an Ornstein-Uhlenbeck (OU) process:</w:t>
      </w:r>
    </w:p>
    <w:p>
      <w:pPr>
        <w:spacing w:before="120" w:after="120"/>
        <w:jc w:val="center"/>
      </w:pPr>
      <w:r>
        <w:rPr>
          <w:rFonts w:ascii="Cambria Math" w:hAnsi="Cambria Math"/>
          <w:b w:val="0"/>
          <w:i/>
          <w:color w:val="000000"/>
          <w:sz w:val="22"/>
        </w:rPr>
        <w:t>dX_{i,t} = kappa_i * (theta_i - X_{i,t}) dt + sigma_i dW_{i,t}</w:t>
      </w:r>
    </w:p>
    <w:p>
      <w:pPr>
        <w:spacing w:after="120" w:line="276" w:lineRule="auto"/>
      </w:pPr>
      <w:r>
        <w:rPr>
          <w:rFonts w:ascii="Calibri" w:hAnsi="Calibri"/>
          <w:b w:val="0"/>
          <w:i w:val="0"/>
          <w:color w:val="000000"/>
          <w:sz w:val="22"/>
        </w:rPr>
        <w:t>The dimensionless s-score is defined as s_{i,t} = (X_{i,t} - theta_i) / sigma_eq, where sigma_eq = sigma_i / sqrt(2 * kappa_i). Positions open at |s| &gt; 1.25, close at |s| &lt; 0.50, and stop at |s| &gt; 3.00 under dollar neutrality.</w:t>
      </w:r>
    </w:p>
    <w:p>
      <w:pPr>
        <w:spacing w:before="200" w:after="80"/>
      </w:pPr>
      <w:r>
        <w:rPr>
          <w:rFonts w:ascii="Calibri" w:hAnsi="Calibri"/>
          <w:b/>
          <w:i w:val="0"/>
          <w:color w:val="336699"/>
          <w:sz w:val="24"/>
        </w:rPr>
        <w:t>4.3 Strategy C: ML-Enhanced Walk-Forward Residuals</w:t>
      </w:r>
    </w:p>
    <w:p>
      <w:pPr>
        <w:spacing w:after="120" w:line="276" w:lineRule="auto"/>
      </w:pPr>
      <w:r>
        <w:rPr>
          <w:rFonts w:ascii="Calibri" w:hAnsi="Calibri"/>
          <w:b w:val="0"/>
          <w:i w:val="0"/>
          <w:color w:val="000000"/>
          <w:sz w:val="22"/>
        </w:rPr>
        <w:t>Building upon modern machine learning asset pricing architectures (Gu et al. 2020; Guijarro-Ordonez et al. 2021; Lopez de Prado 2018), we train walk-forward predictive models (Ridge regression, HistGBM, MLPs) with expanding windows and a 10-day embargo gap to predict 5-day forward residual reversion.</w:t>
      </w:r>
    </w:p>
    <w:p>
      <w:pPr>
        <w:spacing w:before="160" w:after="60"/>
        <w:jc w:val="center"/>
      </w:pPr>
      <w:r>
        <w:drawing>
          <wp:inline xmlns:a="http://schemas.openxmlformats.org/drawingml/2006/main" xmlns:pic="http://schemas.openxmlformats.org/drawingml/2006/picture">
            <wp:extent cx="5486400" cy="3427171"/>
            <wp:docPr id="2" name="Picture 2"/>
            <wp:cNvGraphicFramePr>
              <a:graphicFrameLocks noChangeAspect="1"/>
            </wp:cNvGraphicFramePr>
            <a:graphic>
              <a:graphicData uri="http://schemas.openxmlformats.org/drawingml/2006/picture">
                <pic:pic>
                  <pic:nvPicPr>
                    <pic:cNvPr id="0" name="fig8_ml_feature_importance.png"/>
                    <pic:cNvPicPr/>
                  </pic:nvPicPr>
                  <pic:blipFill>
                    <a:blip r:embed="rId10"/>
                    <a:stretch>
                      <a:fillRect/>
                    </a:stretch>
                  </pic:blipFill>
                  <pic:spPr>
                    <a:xfrm>
                      <a:off x="0" y="0"/>
                      <a:ext cx="5486400" cy="3427171"/>
                    </a:xfrm>
                    <a:prstGeom prst="rect"/>
                  </pic:spPr>
                </pic:pic>
              </a:graphicData>
            </a:graphic>
          </wp:inline>
        </w:drawing>
      </w:r>
    </w:p>
    <w:p>
      <w:pPr>
        <w:spacing w:before="0" w:after="200"/>
        <w:jc w:val="center"/>
      </w:pPr>
      <w:r>
        <w:rPr>
          <w:rFonts w:ascii="Calibri" w:hAnsi="Calibri"/>
          <w:b w:val="0"/>
          <w:i/>
          <w:color w:val="505050"/>
          <w:sz w:val="19"/>
        </w:rPr>
        <w:t>Figure 2: Walk-Forward Machine Learning Feature Attribution (Mean-Reversion Speed, Spread Volatility, and Liquidity Proxies).</w:t>
      </w:r>
    </w:p>
    <w:p>
      <w:pPr>
        <w:spacing w:before="280" w:after="120"/>
      </w:pPr>
      <w:r>
        <w:rPr>
          <w:rFonts w:ascii="Calibri" w:hAnsi="Calibri"/>
          <w:b/>
          <w:i w:val="0"/>
          <w:color w:val="003366"/>
          <w:sz w:val="28"/>
        </w:rPr>
        <w:t>5. Empirical Results</w:t>
      </w:r>
    </w:p>
    <w:p>
      <w:pPr>
        <w:spacing w:before="200" w:after="80"/>
      </w:pPr>
      <w:r>
        <w:rPr>
          <w:rFonts w:ascii="Calibri" w:hAnsi="Calibri"/>
          <w:b/>
          <w:i w:val="0"/>
          <w:color w:val="336699"/>
          <w:sz w:val="24"/>
        </w:rPr>
        <w:t>5.1 Performance Summary and the Gross-Net Wedge</w:t>
      </w:r>
    </w:p>
    <w:p>
      <w:pPr>
        <w:spacing w:after="120" w:line="276" w:lineRule="auto"/>
      </w:pPr>
      <w:r>
        <w:rPr>
          <w:rFonts w:ascii="Calibri" w:hAnsi="Calibri"/>
          <w:b w:val="0"/>
          <w:i w:val="0"/>
          <w:color w:val="000000"/>
          <w:sz w:val="22"/>
        </w:rPr>
        <w:t>Table 1 reports full-sample annualized performance metrics across Strategies A, B, and C over 2010–2025:</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3366"/>
          </w:tcPr>
          <w:p>
            <w:pPr>
              <w:jc w:val="center"/>
            </w:pPr>
            <w:r>
              <w:rPr>
                <w:rFonts w:ascii="Calibri" w:hAnsi="Calibri"/>
                <w:b/>
                <w:i w:val="0"/>
                <w:color w:val="FFFFFF"/>
                <w:sz w:val="19"/>
              </w:rPr>
              <w:t>Strategy</w:t>
            </w:r>
          </w:p>
        </w:tc>
        <w:tc>
          <w:tcPr>
            <w:tcW w:type="dxa" w:w="1337"/>
            <w:shd w:fill="003366"/>
          </w:tcPr>
          <w:p>
            <w:pPr>
              <w:jc w:val="center"/>
            </w:pPr>
            <w:r>
              <w:rPr>
                <w:rFonts w:ascii="Calibri" w:hAnsi="Calibri"/>
                <w:b/>
                <w:i w:val="0"/>
                <w:color w:val="FFFFFF"/>
                <w:sz w:val="19"/>
              </w:rPr>
              <w:t>Gross Return</w:t>
            </w:r>
          </w:p>
        </w:tc>
        <w:tc>
          <w:tcPr>
            <w:tcW w:type="dxa" w:w="1337"/>
            <w:shd w:fill="003366"/>
          </w:tcPr>
          <w:p>
            <w:pPr>
              <w:jc w:val="center"/>
            </w:pPr>
            <w:r>
              <w:rPr>
                <w:rFonts w:ascii="Calibri" w:hAnsi="Calibri"/>
                <w:b/>
                <w:i w:val="0"/>
                <w:color w:val="FFFFFF"/>
                <w:sz w:val="19"/>
              </w:rPr>
              <w:t>Net Return</w:t>
            </w:r>
          </w:p>
        </w:tc>
        <w:tc>
          <w:tcPr>
            <w:tcW w:type="dxa" w:w="1337"/>
            <w:shd w:fill="003366"/>
          </w:tcPr>
          <w:p>
            <w:pPr>
              <w:jc w:val="center"/>
            </w:pPr>
            <w:r>
              <w:rPr>
                <w:rFonts w:ascii="Calibri" w:hAnsi="Calibri"/>
                <w:b/>
                <w:i w:val="0"/>
                <w:color w:val="FFFFFF"/>
                <w:sz w:val="19"/>
              </w:rPr>
              <w:t>Gross Sharpe</w:t>
            </w:r>
          </w:p>
        </w:tc>
        <w:tc>
          <w:tcPr>
            <w:tcW w:type="dxa" w:w="1337"/>
            <w:shd w:fill="003366"/>
          </w:tcPr>
          <w:p>
            <w:pPr>
              <w:jc w:val="center"/>
            </w:pPr>
            <w:r>
              <w:rPr>
                <w:rFonts w:ascii="Calibri" w:hAnsi="Calibri"/>
                <w:b/>
                <w:i w:val="0"/>
                <w:color w:val="FFFFFF"/>
                <w:sz w:val="19"/>
              </w:rPr>
              <w:t>Net Sharpe</w:t>
            </w:r>
          </w:p>
        </w:tc>
        <w:tc>
          <w:tcPr>
            <w:tcW w:type="dxa" w:w="1337"/>
            <w:shd w:fill="003366"/>
          </w:tcPr>
          <w:p>
            <w:pPr>
              <w:jc w:val="center"/>
            </w:pPr>
            <w:r>
              <w:rPr>
                <w:rFonts w:ascii="Calibri" w:hAnsi="Calibri"/>
                <w:b/>
                <w:i w:val="0"/>
                <w:color w:val="FFFFFF"/>
                <w:sz w:val="19"/>
              </w:rPr>
              <w:t>Net NW t-stat</w:t>
            </w:r>
          </w:p>
        </w:tc>
        <w:tc>
          <w:tcPr>
            <w:tcW w:type="dxa" w:w="1337"/>
            <w:shd w:fill="003366"/>
          </w:tcPr>
          <w:p>
            <w:pPr>
              <w:jc w:val="center"/>
            </w:pPr>
            <w:r>
              <w:rPr>
                <w:rFonts w:ascii="Calibri" w:hAnsi="Calibri"/>
                <w:b/>
                <w:i w:val="0"/>
                <w:color w:val="FFFFFF"/>
                <w:sz w:val="19"/>
              </w:rPr>
              <w:t>Bootstrap 95% CI</w:t>
            </w:r>
          </w:p>
        </w:tc>
      </w:tr>
      <w:tr>
        <w:tc>
          <w:tcPr>
            <w:tcW w:type="dxa" w:w="1337"/>
            <w:shd w:fill="F5F8FA"/>
          </w:tcPr>
          <w:p>
            <w:r>
              <w:rPr>
                <w:rFonts w:ascii="Calibri" w:hAnsi="Calibri"/>
                <w:b w:val="0"/>
                <w:i w:val="0"/>
                <w:color w:val="000000"/>
                <w:sz w:val="18"/>
              </w:rPr>
              <w:t>Strategy A (Gatev Pairs)</w:t>
            </w:r>
          </w:p>
        </w:tc>
        <w:tc>
          <w:tcPr>
            <w:tcW w:type="dxa" w:w="1337"/>
            <w:shd w:fill="F5F8FA"/>
          </w:tcPr>
          <w:p>
            <w:r>
              <w:rPr>
                <w:rFonts w:ascii="Calibri" w:hAnsi="Calibri"/>
                <w:b w:val="0"/>
                <w:i w:val="0"/>
                <w:color w:val="000000"/>
                <w:sz w:val="18"/>
              </w:rPr>
              <w:t>+9.50%</w:t>
            </w:r>
          </w:p>
        </w:tc>
        <w:tc>
          <w:tcPr>
            <w:tcW w:type="dxa" w:w="1337"/>
            <w:shd w:fill="F5F8FA"/>
          </w:tcPr>
          <w:p>
            <w:r>
              <w:rPr>
                <w:rFonts w:ascii="Calibri" w:hAnsi="Calibri"/>
                <w:b w:val="0"/>
                <w:i w:val="0"/>
                <w:color w:val="000000"/>
                <w:sz w:val="18"/>
              </w:rPr>
              <w:t>-25.16%</w:t>
            </w:r>
          </w:p>
        </w:tc>
        <w:tc>
          <w:tcPr>
            <w:tcW w:type="dxa" w:w="1337"/>
            <w:shd w:fill="F5F8FA"/>
          </w:tcPr>
          <w:p>
            <w:r>
              <w:rPr>
                <w:rFonts w:ascii="Calibri" w:hAnsi="Calibri"/>
                <w:b w:val="0"/>
                <w:i w:val="0"/>
                <w:color w:val="000000"/>
                <w:sz w:val="18"/>
              </w:rPr>
              <w:t>+0.95</w:t>
            </w:r>
          </w:p>
        </w:tc>
        <w:tc>
          <w:tcPr>
            <w:tcW w:type="dxa" w:w="1337"/>
            <w:shd w:fill="F5F8FA"/>
          </w:tcPr>
          <w:p>
            <w:r>
              <w:rPr>
                <w:rFonts w:ascii="Calibri" w:hAnsi="Calibri"/>
                <w:b w:val="0"/>
                <w:i w:val="0"/>
                <w:color w:val="000000"/>
                <w:sz w:val="18"/>
              </w:rPr>
              <w:t>-2.52</w:t>
            </w:r>
          </w:p>
        </w:tc>
        <w:tc>
          <w:tcPr>
            <w:tcW w:type="dxa" w:w="1337"/>
            <w:shd w:fill="F5F8FA"/>
          </w:tcPr>
          <w:p>
            <w:r>
              <w:rPr>
                <w:rFonts w:ascii="Calibri" w:hAnsi="Calibri"/>
                <w:b w:val="0"/>
                <w:i w:val="0"/>
                <w:color w:val="000000"/>
                <w:sz w:val="18"/>
              </w:rPr>
              <w:t>-10.89</w:t>
            </w:r>
          </w:p>
        </w:tc>
        <w:tc>
          <w:tcPr>
            <w:tcW w:type="dxa" w:w="1337"/>
            <w:shd w:fill="F5F8FA"/>
          </w:tcPr>
          <w:p>
            <w:r>
              <w:rPr>
                <w:rFonts w:ascii="Calibri" w:hAnsi="Calibri"/>
                <w:b w:val="0"/>
                <w:i w:val="0"/>
                <w:color w:val="000000"/>
                <w:sz w:val="18"/>
              </w:rPr>
              <w:t>[-2.96, -2.05]</w:t>
            </w:r>
          </w:p>
        </w:tc>
      </w:tr>
      <w:tr>
        <w:tc>
          <w:tcPr>
            <w:tcW w:type="dxa" w:w="1337"/>
            <w:shd w:fill="FFFFFF"/>
          </w:tcPr>
          <w:p>
            <w:r>
              <w:rPr>
                <w:rFonts w:ascii="Calibri" w:hAnsi="Calibri"/>
                <w:b w:val="0"/>
                <w:i w:val="0"/>
                <w:color w:val="000000"/>
                <w:sz w:val="18"/>
              </w:rPr>
              <w:t>Strategy B (PCA-OU Reversion)</w:t>
            </w:r>
          </w:p>
        </w:tc>
        <w:tc>
          <w:tcPr>
            <w:tcW w:type="dxa" w:w="1337"/>
            <w:shd w:fill="FFFFFF"/>
          </w:tcPr>
          <w:p>
            <w:r>
              <w:rPr>
                <w:rFonts w:ascii="Calibri" w:hAnsi="Calibri"/>
                <w:b w:val="0"/>
                <w:i w:val="0"/>
                <w:color w:val="000000"/>
                <w:sz w:val="18"/>
              </w:rPr>
              <w:t>+17.91%</w:t>
            </w:r>
          </w:p>
        </w:tc>
        <w:tc>
          <w:tcPr>
            <w:tcW w:type="dxa" w:w="1337"/>
            <w:shd w:fill="FFFFFF"/>
          </w:tcPr>
          <w:p>
            <w:r>
              <w:rPr>
                <w:rFonts w:ascii="Calibri" w:hAnsi="Calibri"/>
                <w:b w:val="0"/>
                <w:i w:val="0"/>
                <w:color w:val="000000"/>
                <w:sz w:val="18"/>
              </w:rPr>
              <w:t>-16.75%</w:t>
            </w:r>
          </w:p>
        </w:tc>
        <w:tc>
          <w:tcPr>
            <w:tcW w:type="dxa" w:w="1337"/>
            <w:shd w:fill="FFFFFF"/>
          </w:tcPr>
          <w:p>
            <w:r>
              <w:rPr>
                <w:rFonts w:ascii="Calibri" w:hAnsi="Calibri"/>
                <w:b w:val="0"/>
                <w:i w:val="0"/>
                <w:color w:val="000000"/>
                <w:sz w:val="18"/>
              </w:rPr>
              <w:t>+1.74</w:t>
            </w:r>
          </w:p>
        </w:tc>
        <w:tc>
          <w:tcPr>
            <w:tcW w:type="dxa" w:w="1337"/>
            <w:shd w:fill="FFFFFF"/>
          </w:tcPr>
          <w:p>
            <w:r>
              <w:rPr>
                <w:rFonts w:ascii="Calibri" w:hAnsi="Calibri"/>
                <w:b w:val="0"/>
                <w:i w:val="0"/>
                <w:color w:val="000000"/>
                <w:sz w:val="18"/>
              </w:rPr>
              <w:t>-1.63</w:t>
            </w:r>
          </w:p>
        </w:tc>
        <w:tc>
          <w:tcPr>
            <w:tcW w:type="dxa" w:w="1337"/>
            <w:shd w:fill="FFFFFF"/>
          </w:tcPr>
          <w:p>
            <w:r>
              <w:rPr>
                <w:rFonts w:ascii="Calibri" w:hAnsi="Calibri"/>
                <w:b w:val="0"/>
                <w:i w:val="0"/>
                <w:color w:val="000000"/>
                <w:sz w:val="18"/>
              </w:rPr>
              <w:t>-7.00</w:t>
            </w:r>
          </w:p>
        </w:tc>
        <w:tc>
          <w:tcPr>
            <w:tcW w:type="dxa" w:w="1337"/>
            <w:shd w:fill="FFFFFF"/>
          </w:tcPr>
          <w:p>
            <w:r>
              <w:rPr>
                <w:rFonts w:ascii="Calibri" w:hAnsi="Calibri"/>
                <w:b w:val="0"/>
                <w:i w:val="0"/>
                <w:color w:val="000000"/>
                <w:sz w:val="18"/>
              </w:rPr>
              <w:t>[-2.06, -1.17]</w:t>
            </w:r>
          </w:p>
        </w:tc>
      </w:tr>
      <w:tr>
        <w:tc>
          <w:tcPr>
            <w:tcW w:type="dxa" w:w="1337"/>
            <w:shd w:fill="F5F8FA"/>
          </w:tcPr>
          <w:p>
            <w:r>
              <w:rPr>
                <w:rFonts w:ascii="Calibri" w:hAnsi="Calibri"/>
                <w:b w:val="0"/>
                <w:i w:val="0"/>
                <w:color w:val="000000"/>
                <w:sz w:val="18"/>
              </w:rPr>
              <w:t>Strategy C (ML Walk-Forward)</w:t>
            </w:r>
          </w:p>
        </w:tc>
        <w:tc>
          <w:tcPr>
            <w:tcW w:type="dxa" w:w="1337"/>
            <w:shd w:fill="F5F8FA"/>
          </w:tcPr>
          <w:p>
            <w:r>
              <w:rPr>
                <w:rFonts w:ascii="Calibri" w:hAnsi="Calibri"/>
                <w:b w:val="0"/>
                <w:i w:val="0"/>
                <w:color w:val="000000"/>
                <w:sz w:val="18"/>
              </w:rPr>
              <w:t>+8.75%</w:t>
            </w:r>
          </w:p>
        </w:tc>
        <w:tc>
          <w:tcPr>
            <w:tcW w:type="dxa" w:w="1337"/>
            <w:shd w:fill="F5F8FA"/>
          </w:tcPr>
          <w:p>
            <w:r>
              <w:rPr>
                <w:rFonts w:ascii="Calibri" w:hAnsi="Calibri"/>
                <w:b w:val="0"/>
                <w:i w:val="0"/>
                <w:color w:val="000000"/>
                <w:sz w:val="18"/>
              </w:rPr>
              <w:t>-25.91%</w:t>
            </w:r>
          </w:p>
        </w:tc>
        <w:tc>
          <w:tcPr>
            <w:tcW w:type="dxa" w:w="1337"/>
            <w:shd w:fill="F5F8FA"/>
          </w:tcPr>
          <w:p>
            <w:r>
              <w:rPr>
                <w:rFonts w:ascii="Calibri" w:hAnsi="Calibri"/>
                <w:b w:val="0"/>
                <w:i w:val="0"/>
                <w:color w:val="000000"/>
                <w:sz w:val="18"/>
              </w:rPr>
              <w:t>+1.00</w:t>
            </w:r>
          </w:p>
        </w:tc>
        <w:tc>
          <w:tcPr>
            <w:tcW w:type="dxa" w:w="1337"/>
            <w:shd w:fill="F5F8FA"/>
          </w:tcPr>
          <w:p>
            <w:r>
              <w:rPr>
                <w:rFonts w:ascii="Calibri" w:hAnsi="Calibri"/>
                <w:b w:val="0"/>
                <w:i w:val="0"/>
                <w:color w:val="000000"/>
                <w:sz w:val="18"/>
              </w:rPr>
              <w:t>-2.96</w:t>
            </w:r>
          </w:p>
        </w:tc>
        <w:tc>
          <w:tcPr>
            <w:tcW w:type="dxa" w:w="1337"/>
            <w:shd w:fill="F5F8FA"/>
          </w:tcPr>
          <w:p>
            <w:r>
              <w:rPr>
                <w:rFonts w:ascii="Calibri" w:hAnsi="Calibri"/>
                <w:b w:val="0"/>
                <w:i w:val="0"/>
                <w:color w:val="000000"/>
                <w:sz w:val="18"/>
              </w:rPr>
              <w:t>-12.00</w:t>
            </w:r>
          </w:p>
        </w:tc>
        <w:tc>
          <w:tcPr>
            <w:tcW w:type="dxa" w:w="1337"/>
            <w:shd w:fill="F5F8FA"/>
          </w:tcPr>
          <w:p>
            <w:r>
              <w:rPr>
                <w:rFonts w:ascii="Calibri" w:hAnsi="Calibri"/>
                <w:b w:val="0"/>
                <w:i w:val="0"/>
                <w:color w:val="000000"/>
                <w:sz w:val="18"/>
              </w:rPr>
              <w:t>[-3.51, -2.42]</w:t>
            </w:r>
          </w:p>
        </w:tc>
      </w:tr>
    </w:tbl>
    <w:p>
      <w:pPr>
        <w:spacing w:after="120" w:line="276" w:lineRule="auto"/>
      </w:pPr>
      <w:r>
        <w:rPr>
          <w:rFonts w:ascii="Calibri" w:hAnsi="Calibri"/>
          <w:b w:val="0"/>
          <w:i w:val="0"/>
          <w:color w:val="000000"/>
          <w:sz w:val="22"/>
        </w:rPr>
        <w:t>In frictionless terms (0.0x cost multiplier), all three quantitative frameworks generate economically substantial and statistically robust profits. Strategy B delivers a gross annualized return of +17.91% with a Sharpe ratio of +1.74 (t = +7.49). Strategy A yields +9.50% gross return with a Sharpe of +0.95 (t = +4.11). Strategy C achieves +8.75% gross return with a Sharpe of +1.00 (t = +4.05).</w:t>
      </w:r>
    </w:p>
    <w:p>
      <w:pPr>
        <w:spacing w:before="160" w:after="60"/>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1_cumulative_returns_gross_net.png"/>
                    <pic:cNvPicPr/>
                  </pic:nvPicPr>
                  <pic:blipFill>
                    <a:blip r:embed="rId11"/>
                    <a:stretch>
                      <a:fillRect/>
                    </a:stretch>
                  </pic:blipFill>
                  <pic:spPr>
                    <a:xfrm>
                      <a:off x="0" y="0"/>
                      <a:ext cx="5486400" cy="2743200"/>
                    </a:xfrm>
                    <a:prstGeom prst="rect"/>
                  </pic:spPr>
                </pic:pic>
              </a:graphicData>
            </a:graphic>
          </wp:inline>
        </w:drawing>
      </w:r>
    </w:p>
    <w:p>
      <w:pPr>
        <w:spacing w:before="0" w:after="200"/>
        <w:jc w:val="center"/>
      </w:pPr>
      <w:r>
        <w:rPr>
          <w:rFonts w:ascii="Calibri" w:hAnsi="Calibri"/>
          <w:b w:val="0"/>
          <w:i/>
          <w:color w:val="505050"/>
          <w:sz w:val="19"/>
        </w:rPr>
        <w:t>Figure 3: Cumulative Wealth Index: Gross (0.0x) vs. Institutional Net (1.0x) Across Strategies (2010–2025).</w:t>
      </w:r>
    </w:p>
    <w:p>
      <w:pPr>
        <w:spacing w:after="120" w:line="276" w:lineRule="auto"/>
      </w:pPr>
      <w:r>
        <w:rPr>
          <w:rFonts w:ascii="Calibri" w:hAnsi="Calibri"/>
          <w:b w:val="0"/>
          <w:i w:val="0"/>
          <w:color w:val="000000"/>
          <w:sz w:val="22"/>
        </w:rPr>
        <w:t>However, as revealed in Figure 3, the transition from frictionless gross returns to institutional net returns produces a devastating performance collapse. The net annualized Sharpe ratio turns deeply negative across all three architectures: -2.52 for Strategy A, -1.63 for Strategy B, and -2.96 for Strategy C. All net Sharpe ratios are statistically indistinguishable from disaster, with Newey–West t-statistics ranging from -7.00 to -12.00 (p &lt; 10^-11).</w:t>
      </w:r>
    </w:p>
    <w:p>
      <w:pPr>
        <w:spacing w:before="160" w:after="60"/>
        <w:jc w:val="center"/>
      </w:pPr>
      <w:r>
        <w:drawing>
          <wp:inline xmlns:a="http://schemas.openxmlformats.org/drawingml/2006/main" xmlns:pic="http://schemas.openxmlformats.org/drawingml/2006/picture">
            <wp:extent cx="5486400" cy="2468880"/>
            <wp:docPr id="4" name="Picture 4"/>
            <wp:cNvGraphicFramePr>
              <a:graphicFrameLocks noChangeAspect="1"/>
            </wp:cNvGraphicFramePr>
            <a:graphic>
              <a:graphicData uri="http://schemas.openxmlformats.org/drawingml/2006/picture">
                <pic:pic>
                  <pic:nvPicPr>
                    <pic:cNvPr id="0" name="fig2_drawdown.png"/>
                    <pic:cNvPicPr/>
                  </pic:nvPicPr>
                  <pic:blipFill>
                    <a:blip r:embed="rId12"/>
                    <a:stretch>
                      <a:fillRect/>
                    </a:stretch>
                  </pic:blipFill>
                  <pic:spPr>
                    <a:xfrm>
                      <a:off x="0" y="0"/>
                      <a:ext cx="5486400" cy="2468880"/>
                    </a:xfrm>
                    <a:prstGeom prst="rect"/>
                  </pic:spPr>
                </pic:pic>
              </a:graphicData>
            </a:graphic>
          </wp:inline>
        </w:drawing>
      </w:r>
    </w:p>
    <w:p>
      <w:pPr>
        <w:spacing w:before="0" w:after="200"/>
        <w:jc w:val="center"/>
      </w:pPr>
      <w:r>
        <w:rPr>
          <w:rFonts w:ascii="Calibri" w:hAnsi="Calibri"/>
          <w:b w:val="0"/>
          <w:i/>
          <w:color w:val="505050"/>
          <w:sz w:val="19"/>
        </w:rPr>
        <w:t>Figure 4: Drawdown Underwater Profiles: Gross vs. Net Across Strategies (2010–2025).</w:t>
      </w:r>
    </w:p>
    <w:p>
      <w:pPr>
        <w:spacing w:before="160" w:after="60"/>
        <w:jc w:val="center"/>
      </w:pPr>
      <w:r>
        <w:drawing>
          <wp:inline xmlns:a="http://schemas.openxmlformats.org/drawingml/2006/main" xmlns:pic="http://schemas.openxmlformats.org/drawingml/2006/picture">
            <wp:extent cx="5486400" cy="2468880"/>
            <wp:docPr id="5" name="Picture 5"/>
            <wp:cNvGraphicFramePr>
              <a:graphicFrameLocks noChangeAspect="1"/>
            </wp:cNvGraphicFramePr>
            <a:graphic>
              <a:graphicData uri="http://schemas.openxmlformats.org/drawingml/2006/picture">
                <pic:pic>
                  <pic:nvPicPr>
                    <pic:cNvPr id="0" name="fig3_rolling_sharpe.png"/>
                    <pic:cNvPicPr/>
                  </pic:nvPicPr>
                  <pic:blipFill>
                    <a:blip r:embed="rId13"/>
                    <a:stretch>
                      <a:fillRect/>
                    </a:stretch>
                  </pic:blipFill>
                  <pic:spPr>
                    <a:xfrm>
                      <a:off x="0" y="0"/>
                      <a:ext cx="5486400" cy="2468880"/>
                    </a:xfrm>
                    <a:prstGeom prst="rect"/>
                  </pic:spPr>
                </pic:pic>
              </a:graphicData>
            </a:graphic>
          </wp:inline>
        </w:drawing>
      </w:r>
    </w:p>
    <w:p>
      <w:pPr>
        <w:spacing w:before="0" w:after="200"/>
        <w:jc w:val="center"/>
      </w:pPr>
      <w:r>
        <w:rPr>
          <w:rFonts w:ascii="Calibri" w:hAnsi="Calibri"/>
          <w:b w:val="0"/>
          <w:i/>
          <w:color w:val="505050"/>
          <w:sz w:val="19"/>
        </w:rPr>
        <w:t>Figure 5: 36-Month Rolling Net Sharpe Ratios (2013–2025). The horizontal dashed line marks zero.</w:t>
      </w:r>
    </w:p>
    <w:p>
      <w:pPr>
        <w:spacing w:before="200" w:after="80"/>
      </w:pPr>
      <w:r>
        <w:rPr>
          <w:rFonts w:ascii="Calibri" w:hAnsi="Calibri"/>
          <w:b/>
          <w:i w:val="0"/>
          <w:color w:val="336699"/>
          <w:sz w:val="24"/>
        </w:rPr>
        <w:t>5.2 Sub-Period and Macro Crisis Regimes</w:t>
      </w:r>
    </w:p>
    <w:p>
      <w:pPr>
        <w:spacing w:after="120" w:line="276" w:lineRule="auto"/>
      </w:pPr>
      <w:r>
        <w:rPr>
          <w:rFonts w:ascii="Calibri" w:hAnsi="Calibri"/>
          <w:b w:val="0"/>
          <w:i w:val="0"/>
          <w:color w:val="000000"/>
          <w:sz w:val="22"/>
        </w:rPr>
        <w:t>Table 2 decomposes performance across sub-periods SP1 (2010–2014), SP2 (2015–2019), SP3 (2020–2025), and key crisis regimes: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3366"/>
          </w:tcPr>
          <w:p>
            <w:pPr>
              <w:jc w:val="center"/>
            </w:pPr>
            <w:r>
              <w:rPr>
                <w:rFonts w:ascii="Calibri" w:hAnsi="Calibri"/>
                <w:b/>
                <w:i w:val="0"/>
                <w:color w:val="FFFFFF"/>
                <w:sz w:val="19"/>
              </w:rPr>
              <w:t>Regime / Crisis Window</w:t>
            </w:r>
          </w:p>
        </w:tc>
        <w:tc>
          <w:tcPr>
            <w:tcW w:type="dxa" w:w="1337"/>
            <w:shd w:fill="003366"/>
          </w:tcPr>
          <w:p>
            <w:pPr>
              <w:jc w:val="center"/>
            </w:pPr>
            <w:r>
              <w:rPr>
                <w:rFonts w:ascii="Calibri" w:hAnsi="Calibri"/>
                <w:b/>
                <w:i w:val="0"/>
                <w:color w:val="FFFFFF"/>
                <w:sz w:val="19"/>
              </w:rPr>
              <w:t>Days</w:t>
            </w:r>
          </w:p>
        </w:tc>
        <w:tc>
          <w:tcPr>
            <w:tcW w:type="dxa" w:w="1337"/>
            <w:shd w:fill="003366"/>
          </w:tcPr>
          <w:p>
            <w:pPr>
              <w:jc w:val="center"/>
            </w:pPr>
            <w:r>
              <w:rPr>
                <w:rFonts w:ascii="Calibri" w:hAnsi="Calibri"/>
                <w:b/>
                <w:i w:val="0"/>
                <w:color w:val="FFFFFF"/>
                <w:sz w:val="19"/>
              </w:rPr>
              <w:t>Strategy</w:t>
            </w:r>
          </w:p>
        </w:tc>
        <w:tc>
          <w:tcPr>
            <w:tcW w:type="dxa" w:w="1337"/>
            <w:shd w:fill="003366"/>
          </w:tcPr>
          <w:p>
            <w:pPr>
              <w:jc w:val="center"/>
            </w:pPr>
            <w:r>
              <w:rPr>
                <w:rFonts w:ascii="Calibri" w:hAnsi="Calibri"/>
                <w:b/>
                <w:i w:val="0"/>
                <w:color w:val="FFFFFF"/>
                <w:sz w:val="19"/>
              </w:rPr>
              <w:t>Net Return</w:t>
            </w:r>
          </w:p>
        </w:tc>
        <w:tc>
          <w:tcPr>
            <w:tcW w:type="dxa" w:w="1337"/>
            <w:shd w:fill="003366"/>
          </w:tcPr>
          <w:p>
            <w:pPr>
              <w:jc w:val="center"/>
            </w:pPr>
            <w:r>
              <w:rPr>
                <w:rFonts w:ascii="Calibri" w:hAnsi="Calibri"/>
                <w:b/>
                <w:i w:val="0"/>
                <w:color w:val="FFFFFF"/>
                <w:sz w:val="19"/>
              </w:rPr>
              <w:t>Net Vol</w:t>
            </w:r>
          </w:p>
        </w:tc>
        <w:tc>
          <w:tcPr>
            <w:tcW w:type="dxa" w:w="1337"/>
            <w:shd w:fill="003366"/>
          </w:tcPr>
          <w:p>
            <w:pPr>
              <w:jc w:val="center"/>
            </w:pPr>
            <w:r>
              <w:rPr>
                <w:rFonts w:ascii="Calibri" w:hAnsi="Calibri"/>
                <w:b/>
                <w:i w:val="0"/>
                <w:color w:val="FFFFFF"/>
                <w:sz w:val="19"/>
              </w:rPr>
              <w:t>Net Sharpe</w:t>
            </w:r>
          </w:p>
        </w:tc>
        <w:tc>
          <w:tcPr>
            <w:tcW w:type="dxa" w:w="1337"/>
            <w:shd w:fill="003366"/>
          </w:tcPr>
          <w:p>
            <w:pPr>
              <w:jc w:val="center"/>
            </w:pPr>
            <w:r>
              <w:rPr>
                <w:rFonts w:ascii="Calibri" w:hAnsi="Calibri"/>
                <w:b/>
                <w:i w:val="0"/>
                <w:color w:val="FFFFFF"/>
                <w:sz w:val="19"/>
              </w:rPr>
              <w:t>Max DD</w:t>
            </w:r>
          </w:p>
        </w:tc>
      </w:tr>
      <w:tr>
        <w:tc>
          <w:tcPr>
            <w:tcW w:type="dxa" w:w="1337"/>
            <w:shd w:fill="F5F8FA"/>
          </w:tcPr>
          <w:p>
            <w:r>
              <w:rPr>
                <w:rFonts w:ascii="Calibri" w:hAnsi="Calibri"/>
                <w:b w:val="0"/>
                <w:i w:val="0"/>
                <w:color w:val="000000"/>
                <w:sz w:val="18"/>
              </w:rPr>
              <w:t>Sub-Period 1 (2010–2014)</w:t>
            </w:r>
          </w:p>
        </w:tc>
        <w:tc>
          <w:tcPr>
            <w:tcW w:type="dxa" w:w="1337"/>
            <w:shd w:fill="F5F8FA"/>
          </w:tcPr>
          <w:p>
            <w:r>
              <w:rPr>
                <w:rFonts w:ascii="Calibri" w:hAnsi="Calibri"/>
                <w:b w:val="0"/>
                <w:i w:val="0"/>
                <w:color w:val="000000"/>
                <w:sz w:val="18"/>
              </w:rPr>
              <w:t>1,304</w:t>
            </w:r>
          </w:p>
        </w:tc>
        <w:tc>
          <w:tcPr>
            <w:tcW w:type="dxa" w:w="1337"/>
            <w:shd w:fill="F5F8FA"/>
          </w:tcPr>
          <w:p>
            <w:r>
              <w:rPr>
                <w:rFonts w:ascii="Calibri" w:hAnsi="Calibri"/>
                <w:b w:val="0"/>
                <w:i w:val="0"/>
                <w:color w:val="000000"/>
                <w:sz w:val="18"/>
              </w:rPr>
              <w:t>Strategy A</w:t>
            </w:r>
          </w:p>
        </w:tc>
        <w:tc>
          <w:tcPr>
            <w:tcW w:type="dxa" w:w="1337"/>
            <w:shd w:fill="F5F8FA"/>
          </w:tcPr>
          <w:p>
            <w:r>
              <w:rPr>
                <w:rFonts w:ascii="Calibri" w:hAnsi="Calibri"/>
                <w:b w:val="0"/>
                <w:i w:val="0"/>
                <w:color w:val="000000"/>
                <w:sz w:val="18"/>
              </w:rPr>
              <w:t>-28.01%</w:t>
            </w:r>
          </w:p>
        </w:tc>
        <w:tc>
          <w:tcPr>
            <w:tcW w:type="dxa" w:w="1337"/>
            <w:shd w:fill="F5F8FA"/>
          </w:tcPr>
          <w:p>
            <w:r>
              <w:rPr>
                <w:rFonts w:ascii="Calibri" w:hAnsi="Calibri"/>
                <w:b w:val="0"/>
                <w:i w:val="0"/>
                <w:color w:val="000000"/>
                <w:sz w:val="18"/>
              </w:rPr>
              <w:t>9.75%</w:t>
            </w:r>
          </w:p>
        </w:tc>
        <w:tc>
          <w:tcPr>
            <w:tcW w:type="dxa" w:w="1337"/>
            <w:shd w:fill="F5F8FA"/>
          </w:tcPr>
          <w:p>
            <w:r>
              <w:rPr>
                <w:rFonts w:ascii="Calibri" w:hAnsi="Calibri"/>
                <w:b w:val="0"/>
                <w:i w:val="0"/>
                <w:color w:val="000000"/>
                <w:sz w:val="18"/>
              </w:rPr>
              <w:t>-2.87</w:t>
            </w:r>
          </w:p>
        </w:tc>
        <w:tc>
          <w:tcPr>
            <w:tcW w:type="dxa" w:w="1337"/>
            <w:shd w:fill="F5F8FA"/>
          </w:tcPr>
          <w:p>
            <w:r>
              <w:rPr>
                <w:rFonts w:ascii="Calibri" w:hAnsi="Calibri"/>
                <w:b w:val="0"/>
                <w:i w:val="0"/>
                <w:color w:val="000000"/>
                <w:sz w:val="18"/>
              </w:rPr>
              <w:t>-77.07%</w:t>
            </w:r>
          </w:p>
        </w:tc>
      </w:tr>
      <w:tr>
        <w:tc>
          <w:tcPr>
            <w:tcW w:type="dxa" w:w="1337"/>
            <w:shd w:fill="FFFFFF"/>
          </w:tcPr>
          <w:p>
            <w:r>
              <w:rPr>
                <w:rFonts w:ascii="Calibri" w:hAnsi="Calibri"/>
                <w:b w:val="0"/>
                <w:i w:val="0"/>
                <w:color w:val="000000"/>
                <w:sz w:val="18"/>
              </w:rPr>
            </w:r>
          </w:p>
        </w:tc>
        <w:tc>
          <w:tcPr>
            <w:tcW w:type="dxa" w:w="1337"/>
            <w:shd w:fill="FFFFFF"/>
          </w:tcPr>
          <w:p>
            <w:r>
              <w:rPr>
                <w:rFonts w:ascii="Calibri" w:hAnsi="Calibri"/>
                <w:b w:val="0"/>
                <w:i w:val="0"/>
                <w:color w:val="000000"/>
                <w:sz w:val="18"/>
              </w:rPr>
              <w:t>1,304</w:t>
            </w:r>
          </w:p>
        </w:tc>
        <w:tc>
          <w:tcPr>
            <w:tcW w:type="dxa" w:w="1337"/>
            <w:shd w:fill="FFFFFF"/>
          </w:tcPr>
          <w:p>
            <w:r>
              <w:rPr>
                <w:rFonts w:ascii="Calibri" w:hAnsi="Calibri"/>
                <w:b w:val="0"/>
                <w:i w:val="0"/>
                <w:color w:val="000000"/>
                <w:sz w:val="18"/>
              </w:rPr>
              <w:t>Strategy B</w:t>
            </w:r>
          </w:p>
        </w:tc>
        <w:tc>
          <w:tcPr>
            <w:tcW w:type="dxa" w:w="1337"/>
            <w:shd w:fill="FFFFFF"/>
          </w:tcPr>
          <w:p>
            <w:r>
              <w:rPr>
                <w:rFonts w:ascii="Calibri" w:hAnsi="Calibri"/>
                <w:b w:val="0"/>
                <w:i w:val="0"/>
                <w:color w:val="000000"/>
                <w:sz w:val="18"/>
              </w:rPr>
              <w:t>-16.94%</w:t>
            </w:r>
          </w:p>
        </w:tc>
        <w:tc>
          <w:tcPr>
            <w:tcW w:type="dxa" w:w="1337"/>
            <w:shd w:fill="FFFFFF"/>
          </w:tcPr>
          <w:p>
            <w:r>
              <w:rPr>
                <w:rFonts w:ascii="Calibri" w:hAnsi="Calibri"/>
                <w:b w:val="0"/>
                <w:i w:val="0"/>
                <w:color w:val="000000"/>
                <w:sz w:val="18"/>
              </w:rPr>
              <w:t>10.40%</w:t>
            </w:r>
          </w:p>
        </w:tc>
        <w:tc>
          <w:tcPr>
            <w:tcW w:type="dxa" w:w="1337"/>
            <w:shd w:fill="FFFFFF"/>
          </w:tcPr>
          <w:p>
            <w:r>
              <w:rPr>
                <w:rFonts w:ascii="Calibri" w:hAnsi="Calibri"/>
                <w:b w:val="0"/>
                <w:i w:val="0"/>
                <w:color w:val="000000"/>
                <w:sz w:val="18"/>
              </w:rPr>
              <w:t>-1.63</w:t>
            </w:r>
          </w:p>
        </w:tc>
        <w:tc>
          <w:tcPr>
            <w:tcW w:type="dxa" w:w="1337"/>
            <w:shd w:fill="FFFFFF"/>
          </w:tcPr>
          <w:p>
            <w:r>
              <w:rPr>
                <w:rFonts w:ascii="Calibri" w:hAnsi="Calibri"/>
                <w:b w:val="0"/>
                <w:i w:val="0"/>
                <w:color w:val="000000"/>
                <w:sz w:val="18"/>
              </w:rPr>
              <w:t>-63.00%</w:t>
            </w:r>
          </w:p>
        </w:tc>
      </w:tr>
      <w:tr>
        <w:tc>
          <w:tcPr>
            <w:tcW w:type="dxa" w:w="1337"/>
            <w:shd w:fill="F5F8FA"/>
          </w:tcPr>
          <w:p>
            <w:r>
              <w:rPr>
                <w:rFonts w:ascii="Calibri" w:hAnsi="Calibri"/>
                <w:b w:val="0"/>
                <w:i w:val="0"/>
                <w:color w:val="000000"/>
                <w:sz w:val="18"/>
              </w:rPr>
            </w:r>
          </w:p>
        </w:tc>
        <w:tc>
          <w:tcPr>
            <w:tcW w:type="dxa" w:w="1337"/>
            <w:shd w:fill="F5F8FA"/>
          </w:tcPr>
          <w:p>
            <w:r>
              <w:rPr>
                <w:rFonts w:ascii="Calibri" w:hAnsi="Calibri"/>
                <w:b w:val="0"/>
                <w:i w:val="0"/>
                <w:color w:val="000000"/>
                <w:sz w:val="18"/>
              </w:rPr>
              <w:t>1,304</w:t>
            </w:r>
          </w:p>
        </w:tc>
        <w:tc>
          <w:tcPr>
            <w:tcW w:type="dxa" w:w="1337"/>
            <w:shd w:fill="F5F8FA"/>
          </w:tcPr>
          <w:p>
            <w:r>
              <w:rPr>
                <w:rFonts w:ascii="Calibri" w:hAnsi="Calibri"/>
                <w:b w:val="0"/>
                <w:i w:val="0"/>
                <w:color w:val="000000"/>
                <w:sz w:val="18"/>
              </w:rPr>
              <w:t>Strategy C</w:t>
            </w:r>
          </w:p>
        </w:tc>
        <w:tc>
          <w:tcPr>
            <w:tcW w:type="dxa" w:w="1337"/>
            <w:shd w:fill="F5F8FA"/>
          </w:tcPr>
          <w:p>
            <w:r>
              <w:rPr>
                <w:rFonts w:ascii="Calibri" w:hAnsi="Calibri"/>
                <w:b w:val="0"/>
                <w:i w:val="0"/>
                <w:color w:val="000000"/>
                <w:sz w:val="18"/>
              </w:rPr>
              <w:t>-34.37%</w:t>
            </w:r>
          </w:p>
        </w:tc>
        <w:tc>
          <w:tcPr>
            <w:tcW w:type="dxa" w:w="1337"/>
            <w:shd w:fill="F5F8FA"/>
          </w:tcPr>
          <w:p>
            <w:r>
              <w:rPr>
                <w:rFonts w:ascii="Calibri" w:hAnsi="Calibri"/>
                <w:b w:val="0"/>
                <w:i w:val="0"/>
                <w:color w:val="000000"/>
                <w:sz w:val="18"/>
              </w:rPr>
              <w:t>---</w:t>
            </w:r>
          </w:p>
        </w:tc>
        <w:tc>
          <w:tcPr>
            <w:tcW w:type="dxa" w:w="1337"/>
            <w:shd w:fill="F5F8FA"/>
          </w:tcPr>
          <w:p>
            <w:r>
              <w:rPr>
                <w:rFonts w:ascii="Calibri" w:hAnsi="Calibri"/>
                <w:b w:val="0"/>
                <w:i w:val="0"/>
                <w:color w:val="000000"/>
                <w:sz w:val="18"/>
              </w:rPr>
              <w:t>---</w:t>
            </w:r>
          </w:p>
        </w:tc>
        <w:tc>
          <w:tcPr>
            <w:tcW w:type="dxa" w:w="1337"/>
            <w:shd w:fill="F5F8FA"/>
          </w:tcPr>
          <w:p>
            <w:r>
              <w:rPr>
                <w:rFonts w:ascii="Calibri" w:hAnsi="Calibri"/>
                <w:b w:val="0"/>
                <w:i w:val="0"/>
                <w:color w:val="000000"/>
                <w:sz w:val="18"/>
              </w:rPr>
              <w:t>-83.11%</w:t>
            </w:r>
          </w:p>
        </w:tc>
      </w:tr>
      <w:tr>
        <w:tc>
          <w:tcPr>
            <w:tcW w:type="dxa" w:w="1337"/>
            <w:shd w:fill="FFFFFF"/>
          </w:tcPr>
          <w:p>
            <w:r>
              <w:rPr>
                <w:rFonts w:ascii="Calibri" w:hAnsi="Calibri"/>
                <w:b w:val="0"/>
                <w:i w:val="0"/>
                <w:color w:val="000000"/>
                <w:sz w:val="18"/>
              </w:rPr>
              <w:t>Sub-Period 2 (2015–2019)</w:t>
            </w:r>
          </w:p>
        </w:tc>
        <w:tc>
          <w:tcPr>
            <w:tcW w:type="dxa" w:w="1337"/>
            <w:shd w:fill="FFFFFF"/>
          </w:tcPr>
          <w:p>
            <w:r>
              <w:rPr>
                <w:rFonts w:ascii="Calibri" w:hAnsi="Calibri"/>
                <w:b w:val="0"/>
                <w:i w:val="0"/>
                <w:color w:val="000000"/>
                <w:sz w:val="18"/>
              </w:rPr>
              <w:t>1,304</w:t>
            </w:r>
          </w:p>
        </w:tc>
        <w:tc>
          <w:tcPr>
            <w:tcW w:type="dxa" w:w="1337"/>
            <w:shd w:fill="FFFFFF"/>
          </w:tcPr>
          <w:p>
            <w:r>
              <w:rPr>
                <w:rFonts w:ascii="Calibri" w:hAnsi="Calibri"/>
                <w:b w:val="0"/>
                <w:i w:val="0"/>
                <w:color w:val="000000"/>
                <w:sz w:val="18"/>
              </w:rPr>
              <w:t>Strategy A</w:t>
            </w:r>
          </w:p>
        </w:tc>
        <w:tc>
          <w:tcPr>
            <w:tcW w:type="dxa" w:w="1337"/>
            <w:shd w:fill="FFFFFF"/>
          </w:tcPr>
          <w:p>
            <w:r>
              <w:rPr>
                <w:rFonts w:ascii="Calibri" w:hAnsi="Calibri"/>
                <w:b w:val="0"/>
                <w:i w:val="0"/>
                <w:color w:val="000000"/>
                <w:sz w:val="18"/>
              </w:rPr>
              <w:t>-23.30%</w:t>
            </w:r>
          </w:p>
        </w:tc>
        <w:tc>
          <w:tcPr>
            <w:tcW w:type="dxa" w:w="1337"/>
            <w:shd w:fill="FFFFFF"/>
          </w:tcPr>
          <w:p>
            <w:r>
              <w:rPr>
                <w:rFonts w:ascii="Calibri" w:hAnsi="Calibri"/>
                <w:b w:val="0"/>
                <w:i w:val="0"/>
                <w:color w:val="000000"/>
                <w:sz w:val="18"/>
              </w:rPr>
              <w:t>9.93%</w:t>
            </w:r>
          </w:p>
        </w:tc>
        <w:tc>
          <w:tcPr>
            <w:tcW w:type="dxa" w:w="1337"/>
            <w:shd w:fill="FFFFFF"/>
          </w:tcPr>
          <w:p>
            <w:r>
              <w:rPr>
                <w:rFonts w:ascii="Calibri" w:hAnsi="Calibri"/>
                <w:b w:val="0"/>
                <w:i w:val="0"/>
                <w:color w:val="000000"/>
                <w:sz w:val="18"/>
              </w:rPr>
              <w:t>-2.35</w:t>
            </w:r>
          </w:p>
        </w:tc>
        <w:tc>
          <w:tcPr>
            <w:tcW w:type="dxa" w:w="1337"/>
            <w:shd w:fill="FFFFFF"/>
          </w:tcPr>
          <w:p>
            <w:r>
              <w:rPr>
                <w:rFonts w:ascii="Calibri" w:hAnsi="Calibri"/>
                <w:b w:val="0"/>
                <w:i w:val="0"/>
                <w:color w:val="000000"/>
                <w:sz w:val="18"/>
              </w:rPr>
              <w:t>-70.89%</w:t>
            </w:r>
          </w:p>
        </w:tc>
      </w:tr>
      <w:tr>
        <w:tc>
          <w:tcPr>
            <w:tcW w:type="dxa" w:w="1337"/>
            <w:shd w:fill="F5F8FA"/>
          </w:tcPr>
          <w:p>
            <w:r>
              <w:rPr>
                <w:rFonts w:ascii="Calibri" w:hAnsi="Calibri"/>
                <w:b w:val="0"/>
                <w:i w:val="0"/>
                <w:color w:val="000000"/>
                <w:sz w:val="18"/>
              </w:rPr>
            </w:r>
          </w:p>
        </w:tc>
        <w:tc>
          <w:tcPr>
            <w:tcW w:type="dxa" w:w="1337"/>
            <w:shd w:fill="F5F8FA"/>
          </w:tcPr>
          <w:p>
            <w:r>
              <w:rPr>
                <w:rFonts w:ascii="Calibri" w:hAnsi="Calibri"/>
                <w:b w:val="0"/>
                <w:i w:val="0"/>
                <w:color w:val="000000"/>
                <w:sz w:val="18"/>
              </w:rPr>
              <w:t>1,304</w:t>
            </w:r>
          </w:p>
        </w:tc>
        <w:tc>
          <w:tcPr>
            <w:tcW w:type="dxa" w:w="1337"/>
            <w:shd w:fill="F5F8FA"/>
          </w:tcPr>
          <w:p>
            <w:r>
              <w:rPr>
                <w:rFonts w:ascii="Calibri" w:hAnsi="Calibri"/>
                <w:b w:val="0"/>
                <w:i w:val="0"/>
                <w:color w:val="000000"/>
                <w:sz w:val="18"/>
              </w:rPr>
              <w:t>Strategy B</w:t>
            </w:r>
          </w:p>
        </w:tc>
        <w:tc>
          <w:tcPr>
            <w:tcW w:type="dxa" w:w="1337"/>
            <w:shd w:fill="F5F8FA"/>
          </w:tcPr>
          <w:p>
            <w:r>
              <w:rPr>
                <w:rFonts w:ascii="Calibri" w:hAnsi="Calibri"/>
                <w:b w:val="0"/>
                <w:i w:val="0"/>
                <w:color w:val="000000"/>
                <w:sz w:val="18"/>
              </w:rPr>
              <w:t>-12.97%</w:t>
            </w:r>
          </w:p>
        </w:tc>
        <w:tc>
          <w:tcPr>
            <w:tcW w:type="dxa" w:w="1337"/>
            <w:shd w:fill="F5F8FA"/>
          </w:tcPr>
          <w:p>
            <w:r>
              <w:rPr>
                <w:rFonts w:ascii="Calibri" w:hAnsi="Calibri"/>
                <w:b w:val="0"/>
                <w:i w:val="0"/>
                <w:color w:val="000000"/>
                <w:sz w:val="18"/>
              </w:rPr>
              <w:t>10.28%</w:t>
            </w:r>
          </w:p>
        </w:tc>
        <w:tc>
          <w:tcPr>
            <w:tcW w:type="dxa" w:w="1337"/>
            <w:shd w:fill="F5F8FA"/>
          </w:tcPr>
          <w:p>
            <w:r>
              <w:rPr>
                <w:rFonts w:ascii="Calibri" w:hAnsi="Calibri"/>
                <w:b w:val="0"/>
                <w:i w:val="0"/>
                <w:color w:val="000000"/>
                <w:sz w:val="18"/>
              </w:rPr>
              <w:t>-1.26</w:t>
            </w:r>
          </w:p>
        </w:tc>
        <w:tc>
          <w:tcPr>
            <w:tcW w:type="dxa" w:w="1337"/>
            <w:shd w:fill="F5F8FA"/>
          </w:tcPr>
          <w:p>
            <w:r>
              <w:rPr>
                <w:rFonts w:ascii="Calibri" w:hAnsi="Calibri"/>
                <w:b w:val="0"/>
                <w:i w:val="0"/>
                <w:color w:val="000000"/>
                <w:sz w:val="18"/>
              </w:rPr>
              <w:t>-50.75%</w:t>
            </w:r>
          </w:p>
        </w:tc>
      </w:tr>
      <w:tr>
        <w:tc>
          <w:tcPr>
            <w:tcW w:type="dxa" w:w="1337"/>
            <w:shd w:fill="FFFFFF"/>
          </w:tcPr>
          <w:p>
            <w:r>
              <w:rPr>
                <w:rFonts w:ascii="Calibri" w:hAnsi="Calibri"/>
                <w:b w:val="0"/>
                <w:i w:val="0"/>
                <w:color w:val="000000"/>
                <w:sz w:val="18"/>
              </w:rPr>
            </w:r>
          </w:p>
        </w:tc>
        <w:tc>
          <w:tcPr>
            <w:tcW w:type="dxa" w:w="1337"/>
            <w:shd w:fill="FFFFFF"/>
          </w:tcPr>
          <w:p>
            <w:r>
              <w:rPr>
                <w:rFonts w:ascii="Calibri" w:hAnsi="Calibri"/>
                <w:b w:val="0"/>
                <w:i w:val="0"/>
                <w:color w:val="000000"/>
                <w:sz w:val="18"/>
              </w:rPr>
              <w:t>1,304</w:t>
            </w:r>
          </w:p>
        </w:tc>
        <w:tc>
          <w:tcPr>
            <w:tcW w:type="dxa" w:w="1337"/>
            <w:shd w:fill="FFFFFF"/>
          </w:tcPr>
          <w:p>
            <w:r>
              <w:rPr>
                <w:rFonts w:ascii="Calibri" w:hAnsi="Calibri"/>
                <w:b w:val="0"/>
                <w:i w:val="0"/>
                <w:color w:val="000000"/>
                <w:sz w:val="18"/>
              </w:rPr>
              <w:t>Strategy C</w:t>
            </w:r>
          </w:p>
        </w:tc>
        <w:tc>
          <w:tcPr>
            <w:tcW w:type="dxa" w:w="1337"/>
            <w:shd w:fill="FFFFFF"/>
          </w:tcPr>
          <w:p>
            <w:r>
              <w:rPr>
                <w:rFonts w:ascii="Calibri" w:hAnsi="Calibri"/>
                <w:b w:val="0"/>
                <w:i w:val="0"/>
                <w:color w:val="000000"/>
                <w:sz w:val="18"/>
              </w:rPr>
              <w:t>-28.47%</w:t>
            </w:r>
          </w:p>
        </w:tc>
        <w:tc>
          <w:tcPr>
            <w:tcW w:type="dxa" w:w="1337"/>
            <w:shd w:fill="FFFFFF"/>
          </w:tcPr>
          <w:p>
            <w:r>
              <w:rPr>
                <w:rFonts w:ascii="Calibri" w:hAnsi="Calibri"/>
                <w:b w:val="0"/>
                <w:i w:val="0"/>
                <w:color w:val="000000"/>
                <w:sz w:val="18"/>
              </w:rPr>
              <w:t>9.73%</w:t>
            </w:r>
          </w:p>
        </w:tc>
        <w:tc>
          <w:tcPr>
            <w:tcW w:type="dxa" w:w="1337"/>
            <w:shd w:fill="FFFFFF"/>
          </w:tcPr>
          <w:p>
            <w:r>
              <w:rPr>
                <w:rFonts w:ascii="Calibri" w:hAnsi="Calibri"/>
                <w:b w:val="0"/>
                <w:i w:val="0"/>
                <w:color w:val="000000"/>
                <w:sz w:val="18"/>
              </w:rPr>
              <w:t>-2.92</w:t>
            </w:r>
          </w:p>
        </w:tc>
        <w:tc>
          <w:tcPr>
            <w:tcW w:type="dxa" w:w="1337"/>
            <w:shd w:fill="FFFFFF"/>
          </w:tcPr>
          <w:p>
            <w:r>
              <w:rPr>
                <w:rFonts w:ascii="Calibri" w:hAnsi="Calibri"/>
                <w:b w:val="0"/>
                <w:i w:val="0"/>
                <w:color w:val="000000"/>
                <w:sz w:val="18"/>
              </w:rPr>
              <w:t>-77.62%</w:t>
            </w:r>
          </w:p>
        </w:tc>
      </w:tr>
      <w:tr>
        <w:tc>
          <w:tcPr>
            <w:tcW w:type="dxa" w:w="1337"/>
            <w:shd w:fill="F5F8FA"/>
          </w:tcPr>
          <w:p>
            <w:r>
              <w:rPr>
                <w:rFonts w:ascii="Calibri" w:hAnsi="Calibri"/>
                <w:b w:val="0"/>
                <w:i w:val="0"/>
                <w:color w:val="000000"/>
                <w:sz w:val="18"/>
              </w:rPr>
              <w:t>Sub-Period 3 (2020–2025)</w:t>
            </w:r>
          </w:p>
        </w:tc>
        <w:tc>
          <w:tcPr>
            <w:tcW w:type="dxa" w:w="1337"/>
            <w:shd w:fill="F5F8FA"/>
          </w:tcPr>
          <w:p>
            <w:r>
              <w:rPr>
                <w:rFonts w:ascii="Calibri" w:hAnsi="Calibri"/>
                <w:b w:val="0"/>
                <w:i w:val="0"/>
                <w:color w:val="000000"/>
                <w:sz w:val="18"/>
              </w:rPr>
              <w:t>1,566</w:t>
            </w:r>
          </w:p>
        </w:tc>
        <w:tc>
          <w:tcPr>
            <w:tcW w:type="dxa" w:w="1337"/>
            <w:shd w:fill="F5F8FA"/>
          </w:tcPr>
          <w:p>
            <w:r>
              <w:rPr>
                <w:rFonts w:ascii="Calibri" w:hAnsi="Calibri"/>
                <w:b w:val="0"/>
                <w:i w:val="0"/>
                <w:color w:val="000000"/>
                <w:sz w:val="18"/>
              </w:rPr>
              <w:t>Strategy A</w:t>
            </w:r>
          </w:p>
        </w:tc>
        <w:tc>
          <w:tcPr>
            <w:tcW w:type="dxa" w:w="1337"/>
            <w:shd w:fill="F5F8FA"/>
          </w:tcPr>
          <w:p>
            <w:r>
              <w:rPr>
                <w:rFonts w:ascii="Calibri" w:hAnsi="Calibri"/>
                <w:b w:val="0"/>
                <w:i w:val="0"/>
                <w:color w:val="000000"/>
                <w:sz w:val="18"/>
              </w:rPr>
              <w:t>-24.34%</w:t>
            </w:r>
          </w:p>
        </w:tc>
        <w:tc>
          <w:tcPr>
            <w:tcW w:type="dxa" w:w="1337"/>
            <w:shd w:fill="F5F8FA"/>
          </w:tcPr>
          <w:p>
            <w:r>
              <w:rPr>
                <w:rFonts w:ascii="Calibri" w:hAnsi="Calibri"/>
                <w:b w:val="0"/>
                <w:i w:val="0"/>
                <w:color w:val="000000"/>
                <w:sz w:val="18"/>
              </w:rPr>
              <w:t>10.26%</w:t>
            </w:r>
          </w:p>
        </w:tc>
        <w:tc>
          <w:tcPr>
            <w:tcW w:type="dxa" w:w="1337"/>
            <w:shd w:fill="F5F8FA"/>
          </w:tcPr>
          <w:p>
            <w:r>
              <w:rPr>
                <w:rFonts w:ascii="Calibri" w:hAnsi="Calibri"/>
                <w:b w:val="0"/>
                <w:i w:val="0"/>
                <w:color w:val="000000"/>
                <w:sz w:val="18"/>
              </w:rPr>
              <w:t>-2.37</w:t>
            </w:r>
          </w:p>
        </w:tc>
        <w:tc>
          <w:tcPr>
            <w:tcW w:type="dxa" w:w="1337"/>
            <w:shd w:fill="F5F8FA"/>
          </w:tcPr>
          <w:p>
            <w:r>
              <w:rPr>
                <w:rFonts w:ascii="Calibri" w:hAnsi="Calibri"/>
                <w:b w:val="0"/>
                <w:i w:val="0"/>
                <w:color w:val="000000"/>
                <w:sz w:val="18"/>
              </w:rPr>
              <w:t>-78.71%</w:t>
            </w:r>
          </w:p>
        </w:tc>
      </w:tr>
      <w:tr>
        <w:tc>
          <w:tcPr>
            <w:tcW w:type="dxa" w:w="1337"/>
            <w:shd w:fill="FFFFFF"/>
          </w:tcPr>
          <w:p>
            <w:r>
              <w:rPr>
                <w:rFonts w:ascii="Calibri" w:hAnsi="Calibri"/>
                <w:b w:val="0"/>
                <w:i w:val="0"/>
                <w:color w:val="000000"/>
                <w:sz w:val="18"/>
              </w:rPr>
            </w:r>
          </w:p>
        </w:tc>
        <w:tc>
          <w:tcPr>
            <w:tcW w:type="dxa" w:w="1337"/>
            <w:shd w:fill="FFFFFF"/>
          </w:tcPr>
          <w:p>
            <w:r>
              <w:rPr>
                <w:rFonts w:ascii="Calibri" w:hAnsi="Calibri"/>
                <w:b w:val="0"/>
                <w:i w:val="0"/>
                <w:color w:val="000000"/>
                <w:sz w:val="18"/>
              </w:rPr>
              <w:t>1,566</w:t>
            </w:r>
          </w:p>
        </w:tc>
        <w:tc>
          <w:tcPr>
            <w:tcW w:type="dxa" w:w="1337"/>
            <w:shd w:fill="FFFFFF"/>
          </w:tcPr>
          <w:p>
            <w:r>
              <w:rPr>
                <w:rFonts w:ascii="Calibri" w:hAnsi="Calibri"/>
                <w:b w:val="0"/>
                <w:i w:val="0"/>
                <w:color w:val="000000"/>
                <w:sz w:val="18"/>
              </w:rPr>
              <w:t>Strategy B</w:t>
            </w:r>
          </w:p>
        </w:tc>
        <w:tc>
          <w:tcPr>
            <w:tcW w:type="dxa" w:w="1337"/>
            <w:shd w:fill="FFFFFF"/>
          </w:tcPr>
          <w:p>
            <w:r>
              <w:rPr>
                <w:rFonts w:ascii="Calibri" w:hAnsi="Calibri"/>
                <w:b w:val="0"/>
                <w:i w:val="0"/>
                <w:color w:val="000000"/>
                <w:sz w:val="18"/>
              </w:rPr>
              <w:t>-19.74%</w:t>
            </w:r>
          </w:p>
        </w:tc>
        <w:tc>
          <w:tcPr>
            <w:tcW w:type="dxa" w:w="1337"/>
            <w:shd w:fill="FFFFFF"/>
          </w:tcPr>
          <w:p>
            <w:r>
              <w:rPr>
                <w:rFonts w:ascii="Calibri" w:hAnsi="Calibri"/>
                <w:b w:val="0"/>
                <w:i w:val="0"/>
                <w:color w:val="000000"/>
                <w:sz w:val="18"/>
              </w:rPr>
              <w:t>10.25%</w:t>
            </w:r>
          </w:p>
        </w:tc>
        <w:tc>
          <w:tcPr>
            <w:tcW w:type="dxa" w:w="1337"/>
            <w:shd w:fill="FFFFFF"/>
          </w:tcPr>
          <w:p>
            <w:r>
              <w:rPr>
                <w:rFonts w:ascii="Calibri" w:hAnsi="Calibri"/>
                <w:b w:val="0"/>
                <w:i w:val="0"/>
                <w:color w:val="000000"/>
                <w:sz w:val="18"/>
              </w:rPr>
              <w:t>-1.93</w:t>
            </w:r>
          </w:p>
        </w:tc>
        <w:tc>
          <w:tcPr>
            <w:tcW w:type="dxa" w:w="1337"/>
            <w:shd w:fill="FFFFFF"/>
          </w:tcPr>
          <w:p>
            <w:r>
              <w:rPr>
                <w:rFonts w:ascii="Calibri" w:hAnsi="Calibri"/>
                <w:b w:val="0"/>
                <w:i w:val="0"/>
                <w:color w:val="000000"/>
                <w:sz w:val="18"/>
              </w:rPr>
              <w:t>-74.98%</w:t>
            </w:r>
          </w:p>
        </w:tc>
      </w:tr>
      <w:tr>
        <w:tc>
          <w:tcPr>
            <w:tcW w:type="dxa" w:w="1337"/>
            <w:shd w:fill="F5F8FA"/>
          </w:tcPr>
          <w:p>
            <w:r>
              <w:rPr>
                <w:rFonts w:ascii="Calibri" w:hAnsi="Calibri"/>
                <w:b w:val="0"/>
                <w:i w:val="0"/>
                <w:color w:val="000000"/>
                <w:sz w:val="18"/>
              </w:rPr>
            </w:r>
          </w:p>
        </w:tc>
        <w:tc>
          <w:tcPr>
            <w:tcW w:type="dxa" w:w="1337"/>
            <w:shd w:fill="F5F8FA"/>
          </w:tcPr>
          <w:p>
            <w:r>
              <w:rPr>
                <w:rFonts w:ascii="Calibri" w:hAnsi="Calibri"/>
                <w:b w:val="0"/>
                <w:i w:val="0"/>
                <w:color w:val="000000"/>
                <w:sz w:val="18"/>
              </w:rPr>
              <w:t>1,566</w:t>
            </w:r>
          </w:p>
        </w:tc>
        <w:tc>
          <w:tcPr>
            <w:tcW w:type="dxa" w:w="1337"/>
            <w:shd w:fill="F5F8FA"/>
          </w:tcPr>
          <w:p>
            <w:r>
              <w:rPr>
                <w:rFonts w:ascii="Calibri" w:hAnsi="Calibri"/>
                <w:b w:val="0"/>
                <w:i w:val="0"/>
                <w:color w:val="000000"/>
                <w:sz w:val="18"/>
              </w:rPr>
              <w:t>Strategy C</w:t>
            </w:r>
          </w:p>
        </w:tc>
        <w:tc>
          <w:tcPr>
            <w:tcW w:type="dxa" w:w="1337"/>
            <w:shd w:fill="F5F8FA"/>
          </w:tcPr>
          <w:p>
            <w:r>
              <w:rPr>
                <w:rFonts w:ascii="Calibri" w:hAnsi="Calibri"/>
                <w:b w:val="0"/>
                <w:i w:val="0"/>
                <w:color w:val="000000"/>
                <w:sz w:val="18"/>
              </w:rPr>
              <w:t>-16.74%</w:t>
            </w:r>
          </w:p>
        </w:tc>
        <w:tc>
          <w:tcPr>
            <w:tcW w:type="dxa" w:w="1337"/>
            <w:shd w:fill="F5F8FA"/>
          </w:tcPr>
          <w:p>
            <w:r>
              <w:rPr>
                <w:rFonts w:ascii="Calibri" w:hAnsi="Calibri"/>
                <w:b w:val="0"/>
                <w:i w:val="0"/>
                <w:color w:val="000000"/>
                <w:sz w:val="18"/>
              </w:rPr>
              <w:t>11.19%</w:t>
            </w:r>
          </w:p>
        </w:tc>
        <w:tc>
          <w:tcPr>
            <w:tcW w:type="dxa" w:w="1337"/>
            <w:shd w:fill="F5F8FA"/>
          </w:tcPr>
          <w:p>
            <w:r>
              <w:rPr>
                <w:rFonts w:ascii="Calibri" w:hAnsi="Calibri"/>
                <w:b w:val="0"/>
                <w:i w:val="0"/>
                <w:color w:val="000000"/>
                <w:sz w:val="18"/>
              </w:rPr>
              <w:t>-1.50</w:t>
            </w:r>
          </w:p>
        </w:tc>
        <w:tc>
          <w:tcPr>
            <w:tcW w:type="dxa" w:w="1337"/>
            <w:shd w:fill="F5F8FA"/>
          </w:tcPr>
          <w:p>
            <w:r>
              <w:rPr>
                <w:rFonts w:ascii="Calibri" w:hAnsi="Calibri"/>
                <w:b w:val="0"/>
                <w:i w:val="0"/>
                <w:color w:val="000000"/>
                <w:sz w:val="18"/>
              </w:rPr>
              <w:t>-66.38%</w:t>
            </w:r>
          </w:p>
        </w:tc>
      </w:tr>
      <w:tr>
        <w:tc>
          <w:tcPr>
            <w:tcW w:type="dxa" w:w="1337"/>
            <w:shd w:fill="FFFFFF"/>
          </w:tcPr>
          <w:p>
            <w:r>
              <w:rPr>
                <w:rFonts w:ascii="Calibri" w:hAnsi="Calibri"/>
                <w:b w:val="0"/>
                <w:i w:val="0"/>
                <w:color w:val="000000"/>
                <w:sz w:val="18"/>
              </w:rPr>
              <w:t>COVID-19 Crash (Feb–Mar 2020)</w:t>
            </w:r>
          </w:p>
        </w:tc>
        <w:tc>
          <w:tcPr>
            <w:tcW w:type="dxa" w:w="1337"/>
            <w:shd w:fill="FFFFFF"/>
          </w:tcPr>
          <w:p>
            <w:r>
              <w:rPr>
                <w:rFonts w:ascii="Calibri" w:hAnsi="Calibri"/>
                <w:b w:val="0"/>
                <w:i w:val="0"/>
                <w:color w:val="000000"/>
                <w:sz w:val="18"/>
              </w:rPr>
              <w:t>30</w:t>
            </w:r>
          </w:p>
        </w:tc>
        <w:tc>
          <w:tcPr>
            <w:tcW w:type="dxa" w:w="1337"/>
            <w:shd w:fill="FFFFFF"/>
          </w:tcPr>
          <w:p>
            <w:r>
              <w:rPr>
                <w:rFonts w:ascii="Calibri" w:hAnsi="Calibri"/>
                <w:b w:val="0"/>
                <w:i w:val="0"/>
                <w:color w:val="000000"/>
                <w:sz w:val="18"/>
              </w:rPr>
              <w:t>Strategy A</w:t>
            </w:r>
          </w:p>
        </w:tc>
        <w:tc>
          <w:tcPr>
            <w:tcW w:type="dxa" w:w="1337"/>
            <w:shd w:fill="FFFFFF"/>
          </w:tcPr>
          <w:p>
            <w:r>
              <w:rPr>
                <w:rFonts w:ascii="Calibri" w:hAnsi="Calibri"/>
                <w:b w:val="0"/>
                <w:i w:val="0"/>
                <w:color w:val="000000"/>
                <w:sz w:val="18"/>
              </w:rPr>
              <w:t>-57.45%</w:t>
            </w:r>
          </w:p>
        </w:tc>
        <w:tc>
          <w:tcPr>
            <w:tcW w:type="dxa" w:w="1337"/>
            <w:shd w:fill="FFFFFF"/>
          </w:tcPr>
          <w:p>
            <w:r>
              <w:rPr>
                <w:rFonts w:ascii="Calibri" w:hAnsi="Calibri"/>
                <w:b w:val="0"/>
                <w:i w:val="0"/>
                <w:color w:val="000000"/>
                <w:sz w:val="18"/>
              </w:rPr>
              <w:t>10.57%</w:t>
            </w:r>
          </w:p>
        </w:tc>
        <w:tc>
          <w:tcPr>
            <w:tcW w:type="dxa" w:w="1337"/>
            <w:shd w:fill="FFFFFF"/>
          </w:tcPr>
          <w:p>
            <w:r>
              <w:rPr>
                <w:rFonts w:ascii="Calibri" w:hAnsi="Calibri"/>
                <w:b w:val="0"/>
                <w:i w:val="0"/>
                <w:color w:val="000000"/>
                <w:sz w:val="18"/>
              </w:rPr>
              <w:t>-5.44</w:t>
            </w:r>
          </w:p>
        </w:tc>
        <w:tc>
          <w:tcPr>
            <w:tcW w:type="dxa" w:w="1337"/>
            <w:shd w:fill="FFFFFF"/>
          </w:tcPr>
          <w:p>
            <w:r>
              <w:rPr>
                <w:rFonts w:ascii="Calibri" w:hAnsi="Calibri"/>
                <w:b w:val="0"/>
                <w:i w:val="0"/>
                <w:color w:val="000000"/>
                <w:sz w:val="18"/>
              </w:rPr>
              <w:t>-7.46%</w:t>
            </w:r>
          </w:p>
        </w:tc>
      </w:tr>
      <w:tr>
        <w:tc>
          <w:tcPr>
            <w:tcW w:type="dxa" w:w="1337"/>
            <w:shd w:fill="F5F8FA"/>
          </w:tcPr>
          <w:p>
            <w:r>
              <w:rPr>
                <w:rFonts w:ascii="Calibri" w:hAnsi="Calibri"/>
                <w:b w:val="0"/>
                <w:i w:val="0"/>
                <w:color w:val="000000"/>
                <w:sz w:val="18"/>
              </w:rPr>
            </w:r>
          </w:p>
        </w:tc>
        <w:tc>
          <w:tcPr>
            <w:tcW w:type="dxa" w:w="1337"/>
            <w:shd w:fill="F5F8FA"/>
          </w:tcPr>
          <w:p>
            <w:r>
              <w:rPr>
                <w:rFonts w:ascii="Calibri" w:hAnsi="Calibri"/>
                <w:b w:val="0"/>
                <w:i w:val="0"/>
                <w:color w:val="000000"/>
                <w:sz w:val="18"/>
              </w:rPr>
              <w:t>30</w:t>
            </w:r>
          </w:p>
        </w:tc>
        <w:tc>
          <w:tcPr>
            <w:tcW w:type="dxa" w:w="1337"/>
            <w:shd w:fill="F5F8FA"/>
          </w:tcPr>
          <w:p>
            <w:r>
              <w:rPr>
                <w:rFonts w:ascii="Calibri" w:hAnsi="Calibri"/>
                <w:b w:val="0"/>
                <w:i w:val="0"/>
                <w:color w:val="000000"/>
                <w:sz w:val="18"/>
              </w:rPr>
              <w:t>Strategy B</w:t>
            </w:r>
          </w:p>
        </w:tc>
        <w:tc>
          <w:tcPr>
            <w:tcW w:type="dxa" w:w="1337"/>
            <w:shd w:fill="F5F8FA"/>
          </w:tcPr>
          <w:p>
            <w:r>
              <w:rPr>
                <w:rFonts w:ascii="Calibri" w:hAnsi="Calibri"/>
                <w:b w:val="0"/>
                <w:i w:val="0"/>
                <w:color w:val="000000"/>
                <w:sz w:val="18"/>
              </w:rPr>
              <w:t>-0.56%</w:t>
            </w:r>
          </w:p>
        </w:tc>
        <w:tc>
          <w:tcPr>
            <w:tcW w:type="dxa" w:w="1337"/>
            <w:shd w:fill="F5F8FA"/>
          </w:tcPr>
          <w:p>
            <w:r>
              <w:rPr>
                <w:rFonts w:ascii="Calibri" w:hAnsi="Calibri"/>
                <w:b w:val="0"/>
                <w:i w:val="0"/>
                <w:color w:val="000000"/>
                <w:sz w:val="18"/>
              </w:rPr>
              <w:t>9.44%</w:t>
            </w:r>
          </w:p>
        </w:tc>
        <w:tc>
          <w:tcPr>
            <w:tcW w:type="dxa" w:w="1337"/>
            <w:shd w:fill="F5F8FA"/>
          </w:tcPr>
          <w:p>
            <w:r>
              <w:rPr>
                <w:rFonts w:ascii="Calibri" w:hAnsi="Calibri"/>
                <w:b w:val="0"/>
                <w:i w:val="0"/>
                <w:color w:val="000000"/>
                <w:sz w:val="18"/>
              </w:rPr>
              <w:t>-0.06</w:t>
            </w:r>
          </w:p>
        </w:tc>
        <w:tc>
          <w:tcPr>
            <w:tcW w:type="dxa" w:w="1337"/>
            <w:shd w:fill="F5F8FA"/>
          </w:tcPr>
          <w:p>
            <w:r>
              <w:rPr>
                <w:rFonts w:ascii="Calibri" w:hAnsi="Calibri"/>
                <w:b w:val="0"/>
                <w:i w:val="0"/>
                <w:color w:val="000000"/>
                <w:sz w:val="18"/>
              </w:rPr>
              <w:t>-3.18%</w:t>
            </w:r>
          </w:p>
        </w:tc>
      </w:tr>
      <w:tr>
        <w:tc>
          <w:tcPr>
            <w:tcW w:type="dxa" w:w="1337"/>
            <w:shd w:fill="FFFFFF"/>
          </w:tcPr>
          <w:p>
            <w:r>
              <w:rPr>
                <w:rFonts w:ascii="Calibri" w:hAnsi="Calibri"/>
                <w:b w:val="0"/>
                <w:i w:val="0"/>
                <w:color w:val="000000"/>
                <w:sz w:val="18"/>
              </w:rPr>
            </w:r>
          </w:p>
        </w:tc>
        <w:tc>
          <w:tcPr>
            <w:tcW w:type="dxa" w:w="1337"/>
            <w:shd w:fill="FFFFFF"/>
          </w:tcPr>
          <w:p>
            <w:r>
              <w:rPr>
                <w:rFonts w:ascii="Calibri" w:hAnsi="Calibri"/>
                <w:b w:val="0"/>
                <w:i w:val="0"/>
                <w:color w:val="000000"/>
                <w:sz w:val="18"/>
              </w:rPr>
              <w:t>30</w:t>
            </w:r>
          </w:p>
        </w:tc>
        <w:tc>
          <w:tcPr>
            <w:tcW w:type="dxa" w:w="1337"/>
            <w:shd w:fill="FFFFFF"/>
          </w:tcPr>
          <w:p>
            <w:r>
              <w:rPr>
                <w:rFonts w:ascii="Calibri" w:hAnsi="Calibri"/>
                <w:b w:val="0"/>
                <w:i w:val="0"/>
                <w:color w:val="000000"/>
                <w:sz w:val="18"/>
              </w:rPr>
              <w:t>Strategy C</w:t>
            </w:r>
          </w:p>
        </w:tc>
        <w:tc>
          <w:tcPr>
            <w:tcW w:type="dxa" w:w="1337"/>
            <w:shd w:fill="FFFFFF"/>
          </w:tcPr>
          <w:p>
            <w:r>
              <w:rPr>
                <w:rFonts w:ascii="Calibri" w:hAnsi="Calibri"/>
                <w:b w:val="0"/>
                <w:i w:val="0"/>
                <w:color w:val="000000"/>
                <w:sz w:val="18"/>
              </w:rPr>
              <w:t>-69.86%</w:t>
            </w:r>
          </w:p>
        </w:tc>
        <w:tc>
          <w:tcPr>
            <w:tcW w:type="dxa" w:w="1337"/>
            <w:shd w:fill="FFFFFF"/>
          </w:tcPr>
          <w:p>
            <w:r>
              <w:rPr>
                <w:rFonts w:ascii="Calibri" w:hAnsi="Calibri"/>
                <w:b w:val="0"/>
                <w:i w:val="0"/>
                <w:color w:val="000000"/>
                <w:sz w:val="18"/>
              </w:rPr>
              <w:t>8.62%</w:t>
            </w:r>
          </w:p>
        </w:tc>
        <w:tc>
          <w:tcPr>
            <w:tcW w:type="dxa" w:w="1337"/>
            <w:shd w:fill="FFFFFF"/>
          </w:tcPr>
          <w:p>
            <w:r>
              <w:rPr>
                <w:rFonts w:ascii="Calibri" w:hAnsi="Calibri"/>
                <w:b w:val="0"/>
                <w:i w:val="0"/>
                <w:color w:val="000000"/>
                <w:sz w:val="18"/>
              </w:rPr>
              <w:t>-8.11</w:t>
            </w:r>
          </w:p>
        </w:tc>
        <w:tc>
          <w:tcPr>
            <w:tcW w:type="dxa" w:w="1337"/>
            <w:shd w:fill="FFFFFF"/>
          </w:tcPr>
          <w:p>
            <w:r>
              <w:rPr>
                <w:rFonts w:ascii="Calibri" w:hAnsi="Calibri"/>
                <w:b w:val="0"/>
                <w:i w:val="0"/>
                <w:color w:val="000000"/>
                <w:sz w:val="18"/>
              </w:rPr>
              <w:t>-7.43%</w:t>
            </w:r>
          </w:p>
        </w:tc>
      </w:tr>
      <w:tr>
        <w:tc>
          <w:tcPr>
            <w:tcW w:type="dxa" w:w="1337"/>
            <w:shd w:fill="F5F8FA"/>
          </w:tcPr>
          <w:p>
            <w:r>
              <w:rPr>
                <w:rFonts w:ascii="Calibri" w:hAnsi="Calibri"/>
                <w:b w:val="0"/>
                <w:i w:val="0"/>
                <w:color w:val="000000"/>
                <w:sz w:val="18"/>
              </w:rPr>
              <w:t>Demonetisation (Nov–Dec 2016)</w:t>
            </w:r>
          </w:p>
        </w:tc>
        <w:tc>
          <w:tcPr>
            <w:tcW w:type="dxa" w:w="1337"/>
            <w:shd w:fill="F5F8FA"/>
          </w:tcPr>
          <w:p>
            <w:r>
              <w:rPr>
                <w:rFonts w:ascii="Calibri" w:hAnsi="Calibri"/>
                <w:b w:val="0"/>
                <w:i w:val="0"/>
                <w:color w:val="000000"/>
                <w:sz w:val="18"/>
              </w:rPr>
              <w:t>39</w:t>
            </w:r>
          </w:p>
        </w:tc>
        <w:tc>
          <w:tcPr>
            <w:tcW w:type="dxa" w:w="1337"/>
            <w:shd w:fill="F5F8FA"/>
          </w:tcPr>
          <w:p>
            <w:r>
              <w:rPr>
                <w:rFonts w:ascii="Calibri" w:hAnsi="Calibri"/>
                <w:b w:val="0"/>
                <w:i w:val="0"/>
                <w:color w:val="000000"/>
                <w:sz w:val="18"/>
              </w:rPr>
              <w:t>Strategy A</w:t>
            </w:r>
          </w:p>
        </w:tc>
        <w:tc>
          <w:tcPr>
            <w:tcW w:type="dxa" w:w="1337"/>
            <w:shd w:fill="F5F8FA"/>
          </w:tcPr>
          <w:p>
            <w:r>
              <w:rPr>
                <w:rFonts w:ascii="Calibri" w:hAnsi="Calibri"/>
                <w:b w:val="0"/>
                <w:i w:val="0"/>
                <w:color w:val="000000"/>
                <w:sz w:val="18"/>
              </w:rPr>
              <w:t>-10.43%</w:t>
            </w:r>
          </w:p>
        </w:tc>
        <w:tc>
          <w:tcPr>
            <w:tcW w:type="dxa" w:w="1337"/>
            <w:shd w:fill="F5F8FA"/>
          </w:tcPr>
          <w:p>
            <w:r>
              <w:rPr>
                <w:rFonts w:ascii="Calibri" w:hAnsi="Calibri"/>
                <w:b w:val="0"/>
                <w:i w:val="0"/>
                <w:color w:val="000000"/>
                <w:sz w:val="18"/>
              </w:rPr>
              <w:t>10.10%</w:t>
            </w:r>
          </w:p>
        </w:tc>
        <w:tc>
          <w:tcPr>
            <w:tcW w:type="dxa" w:w="1337"/>
            <w:shd w:fill="F5F8FA"/>
          </w:tcPr>
          <w:p>
            <w:r>
              <w:rPr>
                <w:rFonts w:ascii="Calibri" w:hAnsi="Calibri"/>
                <w:b w:val="0"/>
                <w:i w:val="0"/>
                <w:color w:val="000000"/>
                <w:sz w:val="18"/>
              </w:rPr>
              <w:t>-1.03</w:t>
            </w:r>
          </w:p>
        </w:tc>
        <w:tc>
          <w:tcPr>
            <w:tcW w:type="dxa" w:w="1337"/>
            <w:shd w:fill="F5F8FA"/>
          </w:tcPr>
          <w:p>
            <w:r>
              <w:rPr>
                <w:rFonts w:ascii="Calibri" w:hAnsi="Calibri"/>
                <w:b w:val="0"/>
                <w:i w:val="0"/>
                <w:color w:val="000000"/>
                <w:sz w:val="18"/>
              </w:rPr>
              <w:t>-5.65%</w:t>
            </w:r>
          </w:p>
        </w:tc>
      </w:tr>
      <w:tr>
        <w:tc>
          <w:tcPr>
            <w:tcW w:type="dxa" w:w="1337"/>
            <w:shd w:fill="FFFFFF"/>
          </w:tcPr>
          <w:p>
            <w:r>
              <w:rPr>
                <w:rFonts w:ascii="Calibri" w:hAnsi="Calibri"/>
                <w:b w:val="0"/>
                <w:i w:val="0"/>
                <w:color w:val="000000"/>
                <w:sz w:val="18"/>
              </w:rPr>
            </w:r>
          </w:p>
        </w:tc>
        <w:tc>
          <w:tcPr>
            <w:tcW w:type="dxa" w:w="1337"/>
            <w:shd w:fill="FFFFFF"/>
          </w:tcPr>
          <w:p>
            <w:r>
              <w:rPr>
                <w:rFonts w:ascii="Calibri" w:hAnsi="Calibri"/>
                <w:b w:val="0"/>
                <w:i w:val="0"/>
                <w:color w:val="000000"/>
                <w:sz w:val="18"/>
              </w:rPr>
              <w:t>39</w:t>
            </w:r>
          </w:p>
        </w:tc>
        <w:tc>
          <w:tcPr>
            <w:tcW w:type="dxa" w:w="1337"/>
            <w:shd w:fill="FFFFFF"/>
          </w:tcPr>
          <w:p>
            <w:r>
              <w:rPr>
                <w:rFonts w:ascii="Calibri" w:hAnsi="Calibri"/>
                <w:b w:val="0"/>
                <w:i w:val="0"/>
                <w:color w:val="000000"/>
                <w:sz w:val="18"/>
              </w:rPr>
              <w:t>Strategy B</w:t>
            </w:r>
          </w:p>
        </w:tc>
        <w:tc>
          <w:tcPr>
            <w:tcW w:type="dxa" w:w="1337"/>
            <w:shd w:fill="FFFFFF"/>
          </w:tcPr>
          <w:p>
            <w:r>
              <w:rPr>
                <w:rFonts w:ascii="Calibri" w:hAnsi="Calibri"/>
                <w:b w:val="0"/>
                <w:i w:val="0"/>
                <w:color w:val="000000"/>
                <w:sz w:val="18"/>
              </w:rPr>
              <w:t>-32.40%</w:t>
            </w:r>
          </w:p>
        </w:tc>
        <w:tc>
          <w:tcPr>
            <w:tcW w:type="dxa" w:w="1337"/>
            <w:shd w:fill="FFFFFF"/>
          </w:tcPr>
          <w:p>
            <w:r>
              <w:rPr>
                <w:rFonts w:ascii="Calibri" w:hAnsi="Calibri"/>
                <w:b w:val="0"/>
                <w:i w:val="0"/>
                <w:color w:val="000000"/>
                <w:sz w:val="18"/>
              </w:rPr>
              <w:t>13.41%</w:t>
            </w:r>
          </w:p>
        </w:tc>
        <w:tc>
          <w:tcPr>
            <w:tcW w:type="dxa" w:w="1337"/>
            <w:shd w:fill="FFFFFF"/>
          </w:tcPr>
          <w:p>
            <w:r>
              <w:rPr>
                <w:rFonts w:ascii="Calibri" w:hAnsi="Calibri"/>
                <w:b w:val="0"/>
                <w:i w:val="0"/>
                <w:color w:val="000000"/>
                <w:sz w:val="18"/>
              </w:rPr>
              <w:t>-2.42</w:t>
            </w:r>
          </w:p>
        </w:tc>
        <w:tc>
          <w:tcPr>
            <w:tcW w:type="dxa" w:w="1337"/>
            <w:shd w:fill="FFFFFF"/>
          </w:tcPr>
          <w:p>
            <w:r>
              <w:rPr>
                <w:rFonts w:ascii="Calibri" w:hAnsi="Calibri"/>
                <w:b w:val="0"/>
                <w:i w:val="0"/>
                <w:color w:val="000000"/>
                <w:sz w:val="18"/>
              </w:rPr>
              <w:t>-6.49%</w:t>
            </w:r>
          </w:p>
        </w:tc>
      </w:tr>
      <w:tr>
        <w:tc>
          <w:tcPr>
            <w:tcW w:type="dxa" w:w="1337"/>
            <w:shd w:fill="F5F8FA"/>
          </w:tcPr>
          <w:p>
            <w:r>
              <w:rPr>
                <w:rFonts w:ascii="Calibri" w:hAnsi="Calibri"/>
                <w:b w:val="0"/>
                <w:i w:val="0"/>
                <w:color w:val="000000"/>
                <w:sz w:val="18"/>
              </w:rPr>
            </w:r>
          </w:p>
        </w:tc>
        <w:tc>
          <w:tcPr>
            <w:tcW w:type="dxa" w:w="1337"/>
            <w:shd w:fill="F5F8FA"/>
          </w:tcPr>
          <w:p>
            <w:r>
              <w:rPr>
                <w:rFonts w:ascii="Calibri" w:hAnsi="Calibri"/>
                <w:b w:val="0"/>
                <w:i w:val="0"/>
                <w:color w:val="000000"/>
                <w:sz w:val="18"/>
              </w:rPr>
              <w:t>39</w:t>
            </w:r>
          </w:p>
        </w:tc>
        <w:tc>
          <w:tcPr>
            <w:tcW w:type="dxa" w:w="1337"/>
            <w:shd w:fill="F5F8FA"/>
          </w:tcPr>
          <w:p>
            <w:r>
              <w:rPr>
                <w:rFonts w:ascii="Calibri" w:hAnsi="Calibri"/>
                <w:b w:val="0"/>
                <w:i w:val="0"/>
                <w:color w:val="000000"/>
                <w:sz w:val="18"/>
              </w:rPr>
              <w:t>Strategy C</w:t>
            </w:r>
          </w:p>
        </w:tc>
        <w:tc>
          <w:tcPr>
            <w:tcW w:type="dxa" w:w="1337"/>
            <w:shd w:fill="F5F8FA"/>
          </w:tcPr>
          <w:p>
            <w:r>
              <w:rPr>
                <w:rFonts w:ascii="Calibri" w:hAnsi="Calibri"/>
                <w:b w:val="0"/>
                <w:i w:val="0"/>
                <w:color w:val="000000"/>
                <w:sz w:val="18"/>
              </w:rPr>
              <w:t>+1.78%</w:t>
            </w:r>
          </w:p>
        </w:tc>
        <w:tc>
          <w:tcPr>
            <w:tcW w:type="dxa" w:w="1337"/>
            <w:shd w:fill="F5F8FA"/>
          </w:tcPr>
          <w:p>
            <w:r>
              <w:rPr>
                <w:rFonts w:ascii="Calibri" w:hAnsi="Calibri"/>
                <w:b w:val="0"/>
                <w:i w:val="0"/>
                <w:color w:val="000000"/>
                <w:sz w:val="18"/>
              </w:rPr>
              <w:t>11.54%</w:t>
            </w:r>
          </w:p>
        </w:tc>
        <w:tc>
          <w:tcPr>
            <w:tcW w:type="dxa" w:w="1337"/>
            <w:shd w:fill="F5F8FA"/>
          </w:tcPr>
          <w:p>
            <w:r>
              <w:rPr>
                <w:rFonts w:ascii="Calibri" w:hAnsi="Calibri"/>
                <w:b w:val="0"/>
                <w:i w:val="0"/>
                <w:color w:val="000000"/>
                <w:sz w:val="18"/>
              </w:rPr>
              <w:t>+0.15</w:t>
            </w:r>
          </w:p>
        </w:tc>
        <w:tc>
          <w:tcPr>
            <w:tcW w:type="dxa" w:w="1337"/>
            <w:shd w:fill="F5F8FA"/>
          </w:tcPr>
          <w:p>
            <w:r>
              <w:rPr>
                <w:rFonts w:ascii="Calibri" w:hAnsi="Calibri"/>
                <w:b w:val="0"/>
                <w:i w:val="0"/>
                <w:color w:val="000000"/>
                <w:sz w:val="18"/>
              </w:rPr>
              <w:t>-3.43%</w:t>
            </w:r>
          </w:p>
        </w:tc>
      </w:tr>
      <w:tr>
        <w:tc>
          <w:tcPr>
            <w:tcW w:type="dxa" w:w="1337"/>
            <w:shd w:fill="FFFFFF"/>
          </w:tcPr>
          <w:p>
            <w:r>
              <w:rPr>
                <w:rFonts w:ascii="Calibri" w:hAnsi="Calibri"/>
                <w:b w:val="0"/>
                <w:i w:val="0"/>
                <w:color w:val="000000"/>
                <w:sz w:val="18"/>
              </w:rPr>
              <w:t>Post-SEBI STT Hike (Oct 2024–2025)</w:t>
            </w:r>
          </w:p>
        </w:tc>
        <w:tc>
          <w:tcPr>
            <w:tcW w:type="dxa" w:w="1337"/>
            <w:shd w:fill="FFFFFF"/>
          </w:tcPr>
          <w:p>
            <w:r>
              <w:rPr>
                <w:rFonts w:ascii="Calibri" w:hAnsi="Calibri"/>
                <w:b w:val="0"/>
                <w:i w:val="0"/>
                <w:color w:val="000000"/>
                <w:sz w:val="18"/>
              </w:rPr>
              <w:t>327</w:t>
            </w:r>
          </w:p>
        </w:tc>
        <w:tc>
          <w:tcPr>
            <w:tcW w:type="dxa" w:w="1337"/>
            <w:shd w:fill="FFFFFF"/>
          </w:tcPr>
          <w:p>
            <w:r>
              <w:rPr>
                <w:rFonts w:ascii="Calibri" w:hAnsi="Calibri"/>
                <w:b w:val="0"/>
                <w:i w:val="0"/>
                <w:color w:val="000000"/>
                <w:sz w:val="18"/>
              </w:rPr>
              <w:t>Strategy A</w:t>
            </w:r>
          </w:p>
        </w:tc>
        <w:tc>
          <w:tcPr>
            <w:tcW w:type="dxa" w:w="1337"/>
            <w:shd w:fill="FFFFFF"/>
          </w:tcPr>
          <w:p>
            <w:r>
              <w:rPr>
                <w:rFonts w:ascii="Calibri" w:hAnsi="Calibri"/>
                <w:b w:val="0"/>
                <w:i w:val="0"/>
                <w:color w:val="000000"/>
                <w:sz w:val="18"/>
              </w:rPr>
              <w:t>-31.30%</w:t>
            </w:r>
          </w:p>
        </w:tc>
        <w:tc>
          <w:tcPr>
            <w:tcW w:type="dxa" w:w="1337"/>
            <w:shd w:fill="FFFFFF"/>
          </w:tcPr>
          <w:p>
            <w:r>
              <w:rPr>
                <w:rFonts w:ascii="Calibri" w:hAnsi="Calibri"/>
                <w:b w:val="0"/>
                <w:i w:val="0"/>
                <w:color w:val="000000"/>
                <w:sz w:val="18"/>
              </w:rPr>
              <w:t>9.82%</w:t>
            </w:r>
          </w:p>
        </w:tc>
        <w:tc>
          <w:tcPr>
            <w:tcW w:type="dxa" w:w="1337"/>
            <w:shd w:fill="FFFFFF"/>
          </w:tcPr>
          <w:p>
            <w:r>
              <w:rPr>
                <w:rFonts w:ascii="Calibri" w:hAnsi="Calibri"/>
                <w:b w:val="0"/>
                <w:i w:val="0"/>
                <w:color w:val="000000"/>
                <w:sz w:val="18"/>
              </w:rPr>
              <w:t>-3.19</w:t>
            </w:r>
          </w:p>
        </w:tc>
        <w:tc>
          <w:tcPr>
            <w:tcW w:type="dxa" w:w="1337"/>
            <w:shd w:fill="FFFFFF"/>
          </w:tcPr>
          <w:p>
            <w:r>
              <w:rPr>
                <w:rFonts w:ascii="Calibri" w:hAnsi="Calibri"/>
                <w:b w:val="0"/>
                <w:i w:val="0"/>
                <w:color w:val="000000"/>
                <w:sz w:val="18"/>
              </w:rPr>
              <w:t>-35.75%</w:t>
            </w:r>
          </w:p>
        </w:tc>
      </w:tr>
      <w:tr>
        <w:tc>
          <w:tcPr>
            <w:tcW w:type="dxa" w:w="1337"/>
            <w:shd w:fill="F5F8FA"/>
          </w:tcPr>
          <w:p>
            <w:r>
              <w:rPr>
                <w:rFonts w:ascii="Calibri" w:hAnsi="Calibri"/>
                <w:b w:val="0"/>
                <w:i w:val="0"/>
                <w:color w:val="000000"/>
                <w:sz w:val="18"/>
              </w:rPr>
            </w:r>
          </w:p>
        </w:tc>
        <w:tc>
          <w:tcPr>
            <w:tcW w:type="dxa" w:w="1337"/>
            <w:shd w:fill="F5F8FA"/>
          </w:tcPr>
          <w:p>
            <w:r>
              <w:rPr>
                <w:rFonts w:ascii="Calibri" w:hAnsi="Calibri"/>
                <w:b w:val="0"/>
                <w:i w:val="0"/>
                <w:color w:val="000000"/>
                <w:sz w:val="18"/>
              </w:rPr>
              <w:t>327</w:t>
            </w:r>
          </w:p>
        </w:tc>
        <w:tc>
          <w:tcPr>
            <w:tcW w:type="dxa" w:w="1337"/>
            <w:shd w:fill="F5F8FA"/>
          </w:tcPr>
          <w:p>
            <w:r>
              <w:rPr>
                <w:rFonts w:ascii="Calibri" w:hAnsi="Calibri"/>
                <w:b w:val="0"/>
                <w:i w:val="0"/>
                <w:color w:val="000000"/>
                <w:sz w:val="18"/>
              </w:rPr>
              <w:t>Strategy B</w:t>
            </w:r>
          </w:p>
        </w:tc>
        <w:tc>
          <w:tcPr>
            <w:tcW w:type="dxa" w:w="1337"/>
            <w:shd w:fill="F5F8FA"/>
          </w:tcPr>
          <w:p>
            <w:r>
              <w:rPr>
                <w:rFonts w:ascii="Calibri" w:hAnsi="Calibri"/>
                <w:b w:val="0"/>
                <w:i w:val="0"/>
                <w:color w:val="000000"/>
                <w:sz w:val="18"/>
              </w:rPr>
              <w:t>-21.40%</w:t>
            </w:r>
          </w:p>
        </w:tc>
        <w:tc>
          <w:tcPr>
            <w:tcW w:type="dxa" w:w="1337"/>
            <w:shd w:fill="F5F8FA"/>
          </w:tcPr>
          <w:p>
            <w:r>
              <w:rPr>
                <w:rFonts w:ascii="Calibri" w:hAnsi="Calibri"/>
                <w:b w:val="0"/>
                <w:i w:val="0"/>
                <w:color w:val="000000"/>
                <w:sz w:val="18"/>
              </w:rPr>
              <w:t>10.42%</w:t>
            </w:r>
          </w:p>
        </w:tc>
        <w:tc>
          <w:tcPr>
            <w:tcW w:type="dxa" w:w="1337"/>
            <w:shd w:fill="F5F8FA"/>
          </w:tcPr>
          <w:p>
            <w:r>
              <w:rPr>
                <w:rFonts w:ascii="Calibri" w:hAnsi="Calibri"/>
                <w:b w:val="0"/>
                <w:i w:val="0"/>
                <w:color w:val="000000"/>
                <w:sz w:val="18"/>
              </w:rPr>
              <w:t>-2.05</w:t>
            </w:r>
          </w:p>
        </w:tc>
        <w:tc>
          <w:tcPr>
            <w:tcW w:type="dxa" w:w="1337"/>
            <w:shd w:fill="F5F8FA"/>
          </w:tcPr>
          <w:p>
            <w:r>
              <w:rPr>
                <w:rFonts w:ascii="Calibri" w:hAnsi="Calibri"/>
                <w:b w:val="0"/>
                <w:i w:val="0"/>
                <w:color w:val="000000"/>
                <w:sz w:val="18"/>
              </w:rPr>
              <w:t>-31.47%</w:t>
            </w:r>
          </w:p>
        </w:tc>
      </w:tr>
      <w:tr>
        <w:tc>
          <w:tcPr>
            <w:tcW w:type="dxa" w:w="1337"/>
            <w:shd w:fill="FFFFFF"/>
          </w:tcPr>
          <w:p>
            <w:r>
              <w:rPr>
                <w:rFonts w:ascii="Calibri" w:hAnsi="Calibri"/>
                <w:b w:val="0"/>
                <w:i w:val="0"/>
                <w:color w:val="000000"/>
                <w:sz w:val="18"/>
              </w:rPr>
            </w:r>
          </w:p>
        </w:tc>
        <w:tc>
          <w:tcPr>
            <w:tcW w:type="dxa" w:w="1337"/>
            <w:shd w:fill="FFFFFF"/>
          </w:tcPr>
          <w:p>
            <w:r>
              <w:rPr>
                <w:rFonts w:ascii="Calibri" w:hAnsi="Calibri"/>
                <w:b w:val="0"/>
                <w:i w:val="0"/>
                <w:color w:val="000000"/>
                <w:sz w:val="18"/>
              </w:rPr>
              <w:t>327</w:t>
            </w:r>
          </w:p>
        </w:tc>
        <w:tc>
          <w:tcPr>
            <w:tcW w:type="dxa" w:w="1337"/>
            <w:shd w:fill="FFFFFF"/>
          </w:tcPr>
          <w:p>
            <w:r>
              <w:rPr>
                <w:rFonts w:ascii="Calibri" w:hAnsi="Calibri"/>
                <w:b w:val="0"/>
                <w:i w:val="0"/>
                <w:color w:val="000000"/>
                <w:sz w:val="18"/>
              </w:rPr>
              <w:t>Strategy C</w:t>
            </w:r>
          </w:p>
        </w:tc>
        <w:tc>
          <w:tcPr>
            <w:tcW w:type="dxa" w:w="1337"/>
            <w:shd w:fill="FFFFFF"/>
          </w:tcPr>
          <w:p>
            <w:r>
              <w:rPr>
                <w:rFonts w:ascii="Calibri" w:hAnsi="Calibri"/>
                <w:b w:val="0"/>
                <w:i w:val="0"/>
                <w:color w:val="000000"/>
                <w:sz w:val="18"/>
              </w:rPr>
              <w:t>-23.00%</w:t>
            </w:r>
          </w:p>
        </w:tc>
        <w:tc>
          <w:tcPr>
            <w:tcW w:type="dxa" w:w="1337"/>
            <w:shd w:fill="FFFFFF"/>
          </w:tcPr>
          <w:p>
            <w:r>
              <w:rPr>
                <w:rFonts w:ascii="Calibri" w:hAnsi="Calibri"/>
                <w:b w:val="0"/>
                <w:i w:val="0"/>
                <w:color w:val="000000"/>
                <w:sz w:val="18"/>
              </w:rPr>
              <w:t>10.96%</w:t>
            </w:r>
          </w:p>
        </w:tc>
        <w:tc>
          <w:tcPr>
            <w:tcW w:type="dxa" w:w="1337"/>
            <w:shd w:fill="FFFFFF"/>
          </w:tcPr>
          <w:p>
            <w:r>
              <w:rPr>
                <w:rFonts w:ascii="Calibri" w:hAnsi="Calibri"/>
                <w:b w:val="0"/>
                <w:i w:val="0"/>
                <w:color w:val="000000"/>
                <w:sz w:val="18"/>
              </w:rPr>
              <w:t>-2.10</w:t>
            </w:r>
          </w:p>
        </w:tc>
        <w:tc>
          <w:tcPr>
            <w:tcW w:type="dxa" w:w="1337"/>
            <w:shd w:fill="FFFFFF"/>
          </w:tcPr>
          <w:p>
            <w:r>
              <w:rPr>
                <w:rFonts w:ascii="Calibri" w:hAnsi="Calibri"/>
                <w:b w:val="0"/>
                <w:i w:val="0"/>
                <w:color w:val="000000"/>
                <w:sz w:val="18"/>
              </w:rPr>
              <w:t>-31.23%</w:t>
            </w:r>
          </w:p>
        </w:tc>
      </w:tr>
    </w:tbl>
    <w:p>
      <w:pPr>
        <w:spacing w:before="160" w:after="60"/>
        <w:jc w:val="center"/>
      </w:pPr>
      <w:r>
        <w:drawing>
          <wp:inline xmlns:a="http://schemas.openxmlformats.org/drawingml/2006/main" xmlns:pic="http://schemas.openxmlformats.org/drawingml/2006/picture">
            <wp:extent cx="5486400" cy="3083357"/>
            <wp:docPr id="6" name="Picture 6"/>
            <wp:cNvGraphicFramePr>
              <a:graphicFrameLocks noChangeAspect="1"/>
            </wp:cNvGraphicFramePr>
            <a:graphic>
              <a:graphicData uri="http://schemas.openxmlformats.org/drawingml/2006/picture">
                <pic:pic>
                  <pic:nvPicPr>
                    <pic:cNvPr id="0" name="fig4_subperiod_bars.png"/>
                    <pic:cNvPicPr/>
                  </pic:nvPicPr>
                  <pic:blipFill>
                    <a:blip r:embed="rId14"/>
                    <a:stretch>
                      <a:fillRect/>
                    </a:stretch>
                  </pic:blipFill>
                  <pic:spPr>
                    <a:xfrm>
                      <a:off x="0" y="0"/>
                      <a:ext cx="5486400" cy="3083357"/>
                    </a:xfrm>
                    <a:prstGeom prst="rect"/>
                  </pic:spPr>
                </pic:pic>
              </a:graphicData>
            </a:graphic>
          </wp:inline>
        </w:drawing>
      </w:r>
    </w:p>
    <w:p>
      <w:pPr>
        <w:spacing w:before="0" w:after="200"/>
        <w:jc w:val="center"/>
      </w:pPr>
      <w:r>
        <w:rPr>
          <w:rFonts w:ascii="Calibri" w:hAnsi="Calibri"/>
          <w:b w:val="0"/>
          <w:i/>
          <w:color w:val="505050"/>
          <w:sz w:val="19"/>
        </w:rPr>
        <w:t>Figure 6: Sub-Period Stability: Annualized Return and Net Sharpe Across SP1, SP2, and SP3.</w:t>
      </w:r>
    </w:p>
    <w:p>
      <w:pPr>
        <w:spacing w:before="200" w:after="80"/>
      </w:pPr>
      <w:r>
        <w:rPr>
          <w:rFonts w:ascii="Calibri" w:hAnsi="Calibri"/>
          <w:b/>
          <w:i w:val="0"/>
          <w:color w:val="336699"/>
          <w:sz w:val="24"/>
        </w:rPr>
        <w:t>5.3 Cost Sensitivity and Breakeven Boundaries</w:t>
      </w:r>
    </w:p>
    <w:p>
      <w:pPr>
        <w:spacing w:after="120" w:line="276" w:lineRule="auto"/>
      </w:pPr>
      <w:r>
        <w:rPr>
          <w:rFonts w:ascii="Calibri" w:hAnsi="Calibri"/>
          <w:b w:val="0"/>
          <w:i w:val="0"/>
          <w:color w:val="000000"/>
          <w:sz w:val="22"/>
        </w:rPr>
        <w:t>Table 3 evaluates strategy performance across parametric cost multipliers ranging from 0.0x (zero friction) to 1.5x (high friction):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3366"/>
          </w:tcPr>
          <w:p>
            <w:pPr>
              <w:jc w:val="center"/>
            </w:pPr>
            <w:r>
              <w:rPr>
                <w:rFonts w:ascii="Calibri" w:hAnsi="Calibri"/>
                <w:b/>
                <w:i w:val="0"/>
                <w:color w:val="FFFFFF"/>
                <w:sz w:val="19"/>
              </w:rPr>
              <w:t>Strategy</w:t>
            </w:r>
          </w:p>
        </w:tc>
        <w:tc>
          <w:tcPr>
            <w:tcW w:type="dxa" w:w="1560"/>
            <w:shd w:fill="003366"/>
          </w:tcPr>
          <w:p>
            <w:pPr>
              <w:jc w:val="center"/>
            </w:pPr>
            <w:r>
              <w:rPr>
                <w:rFonts w:ascii="Calibri" w:hAnsi="Calibri"/>
                <w:b/>
                <w:i w:val="0"/>
                <w:color w:val="FFFFFF"/>
                <w:sz w:val="19"/>
              </w:rPr>
              <w:t>Cost Multiplier</w:t>
            </w:r>
          </w:p>
        </w:tc>
        <w:tc>
          <w:tcPr>
            <w:tcW w:type="dxa" w:w="1560"/>
            <w:shd w:fill="003366"/>
          </w:tcPr>
          <w:p>
            <w:pPr>
              <w:jc w:val="center"/>
            </w:pPr>
            <w:r>
              <w:rPr>
                <w:rFonts w:ascii="Calibri" w:hAnsi="Calibri"/>
                <w:b/>
                <w:i w:val="0"/>
                <w:color w:val="FFFFFF"/>
                <w:sz w:val="19"/>
              </w:rPr>
              <w:t>Annual Return</w:t>
            </w:r>
          </w:p>
        </w:tc>
        <w:tc>
          <w:tcPr>
            <w:tcW w:type="dxa" w:w="1560"/>
            <w:shd w:fill="003366"/>
          </w:tcPr>
          <w:p>
            <w:pPr>
              <w:jc w:val="center"/>
            </w:pPr>
            <w:r>
              <w:rPr>
                <w:rFonts w:ascii="Calibri" w:hAnsi="Calibri"/>
                <w:b/>
                <w:i w:val="0"/>
                <w:color w:val="FFFFFF"/>
                <w:sz w:val="19"/>
              </w:rPr>
              <w:t>Sharpe Ratio</w:t>
            </w:r>
          </w:p>
        </w:tc>
        <w:tc>
          <w:tcPr>
            <w:tcW w:type="dxa" w:w="1560"/>
            <w:shd w:fill="003366"/>
          </w:tcPr>
          <w:p>
            <w:pPr>
              <w:jc w:val="center"/>
            </w:pPr>
            <w:r>
              <w:rPr>
                <w:rFonts w:ascii="Calibri" w:hAnsi="Calibri"/>
                <w:b/>
                <w:i w:val="0"/>
                <w:color w:val="FFFFFF"/>
                <w:sz w:val="19"/>
              </w:rPr>
              <w:t>NW t-stat</w:t>
            </w:r>
          </w:p>
        </w:tc>
        <w:tc>
          <w:tcPr>
            <w:tcW w:type="dxa" w:w="1560"/>
            <w:shd w:fill="003366"/>
          </w:tcPr>
          <w:p>
            <w:pPr>
              <w:jc w:val="center"/>
            </w:pPr>
            <w:r>
              <w:rPr>
                <w:rFonts w:ascii="Calibri" w:hAnsi="Calibri"/>
                <w:b/>
                <w:i w:val="0"/>
                <w:color w:val="FFFFFF"/>
                <w:sz w:val="19"/>
              </w:rPr>
              <w:t>Max Drawdown</w:t>
            </w:r>
          </w:p>
        </w:tc>
      </w:tr>
      <w:tr>
        <w:tc>
          <w:tcPr>
            <w:tcW w:type="dxa" w:w="1560"/>
            <w:shd w:fill="F5F8FA"/>
          </w:tcPr>
          <w:p>
            <w:r>
              <w:rPr>
                <w:rFonts w:ascii="Calibri" w:hAnsi="Calibri"/>
                <w:b w:val="0"/>
                <w:i w:val="0"/>
                <w:color w:val="000000"/>
                <w:sz w:val="18"/>
              </w:rPr>
              <w:t>Strategy A (Gatev Pairs)</w:t>
            </w:r>
          </w:p>
        </w:tc>
        <w:tc>
          <w:tcPr>
            <w:tcW w:type="dxa" w:w="1560"/>
            <w:shd w:fill="F5F8FA"/>
          </w:tcPr>
          <w:p>
            <w:r>
              <w:rPr>
                <w:rFonts w:ascii="Calibri" w:hAnsi="Calibri"/>
                <w:b w:val="0"/>
                <w:i w:val="0"/>
                <w:color w:val="000000"/>
                <w:sz w:val="18"/>
              </w:rPr>
              <w:t>0.0x</w:t>
            </w:r>
          </w:p>
        </w:tc>
        <w:tc>
          <w:tcPr>
            <w:tcW w:type="dxa" w:w="1560"/>
            <w:shd w:fill="F5F8FA"/>
          </w:tcPr>
          <w:p>
            <w:r>
              <w:rPr>
                <w:rFonts w:ascii="Calibri" w:hAnsi="Calibri"/>
                <w:b w:val="0"/>
                <w:i w:val="0"/>
                <w:color w:val="000000"/>
                <w:sz w:val="18"/>
              </w:rPr>
              <w:t>+9.50%</w:t>
            </w:r>
          </w:p>
        </w:tc>
        <w:tc>
          <w:tcPr>
            <w:tcW w:type="dxa" w:w="1560"/>
            <w:shd w:fill="F5F8FA"/>
          </w:tcPr>
          <w:p>
            <w:r>
              <w:rPr>
                <w:rFonts w:ascii="Calibri" w:hAnsi="Calibri"/>
                <w:b w:val="0"/>
                <w:i w:val="0"/>
                <w:color w:val="000000"/>
                <w:sz w:val="18"/>
              </w:rPr>
              <w:t>+0.95</w:t>
            </w:r>
          </w:p>
        </w:tc>
        <w:tc>
          <w:tcPr>
            <w:tcW w:type="dxa" w:w="1560"/>
            <w:shd w:fill="F5F8FA"/>
          </w:tcPr>
          <w:p>
            <w:r>
              <w:rPr>
                <w:rFonts w:ascii="Calibri" w:hAnsi="Calibri"/>
                <w:b w:val="0"/>
                <w:i w:val="0"/>
                <w:color w:val="000000"/>
                <w:sz w:val="18"/>
              </w:rPr>
              <w:t>+4.11</w:t>
            </w:r>
          </w:p>
        </w:tc>
        <w:tc>
          <w:tcPr>
            <w:tcW w:type="dxa" w:w="1560"/>
            <w:shd w:fill="F5F8FA"/>
          </w:tcPr>
          <w:p>
            <w:r>
              <w:rPr>
                <w:rFonts w:ascii="Calibri" w:hAnsi="Calibri"/>
                <w:b w:val="0"/>
                <w:i w:val="0"/>
                <w:color w:val="000000"/>
                <w:sz w:val="18"/>
              </w:rPr>
              <w:t>-12.42%</w:t>
            </w:r>
          </w:p>
        </w:tc>
      </w:tr>
      <w:tr>
        <w:tc>
          <w:tcPr>
            <w:tcW w:type="dxa" w:w="1560"/>
            <w:shd w:fill="FFFFFF"/>
          </w:tcPr>
          <w:p>
            <w:r>
              <w:rPr>
                <w:rFonts w:ascii="Calibri" w:hAnsi="Calibri"/>
                <w:b w:val="0"/>
                <w:i w:val="0"/>
                <w:color w:val="000000"/>
                <w:sz w:val="18"/>
              </w:rPr>
            </w:r>
          </w:p>
        </w:tc>
        <w:tc>
          <w:tcPr>
            <w:tcW w:type="dxa" w:w="1560"/>
            <w:shd w:fill="FFFFFF"/>
          </w:tcPr>
          <w:p>
            <w:r>
              <w:rPr>
                <w:rFonts w:ascii="Calibri" w:hAnsi="Calibri"/>
                <w:b w:val="0"/>
                <w:i w:val="0"/>
                <w:color w:val="000000"/>
                <w:sz w:val="18"/>
              </w:rPr>
              <w:t>0.5x</w:t>
            </w:r>
          </w:p>
        </w:tc>
        <w:tc>
          <w:tcPr>
            <w:tcW w:type="dxa" w:w="1560"/>
            <w:shd w:fill="FFFFFF"/>
          </w:tcPr>
          <w:p>
            <w:r>
              <w:rPr>
                <w:rFonts w:ascii="Calibri" w:hAnsi="Calibri"/>
                <w:b w:val="0"/>
                <w:i w:val="0"/>
                <w:color w:val="000000"/>
                <w:sz w:val="18"/>
              </w:rPr>
              <w:t>-7.83%</w:t>
            </w:r>
          </w:p>
        </w:tc>
        <w:tc>
          <w:tcPr>
            <w:tcW w:type="dxa" w:w="1560"/>
            <w:shd w:fill="FFFFFF"/>
          </w:tcPr>
          <w:p>
            <w:r>
              <w:rPr>
                <w:rFonts w:ascii="Calibri" w:hAnsi="Calibri"/>
                <w:b w:val="0"/>
                <w:i w:val="0"/>
                <w:color w:val="000000"/>
                <w:sz w:val="18"/>
              </w:rPr>
              <w:t>-0.78</w:t>
            </w:r>
          </w:p>
        </w:tc>
        <w:tc>
          <w:tcPr>
            <w:tcW w:type="dxa" w:w="1560"/>
            <w:shd w:fill="FFFFFF"/>
          </w:tcPr>
          <w:p>
            <w:r>
              <w:rPr>
                <w:rFonts w:ascii="Calibri" w:hAnsi="Calibri"/>
                <w:b w:val="0"/>
                <w:i w:val="0"/>
                <w:color w:val="000000"/>
                <w:sz w:val="18"/>
              </w:rPr>
              <w:t>-3.39</w:t>
            </w:r>
          </w:p>
        </w:tc>
        <w:tc>
          <w:tcPr>
            <w:tcW w:type="dxa" w:w="1560"/>
            <w:shd w:fill="FFFFFF"/>
          </w:tcPr>
          <w:p>
            <w:r>
              <w:rPr>
                <w:rFonts w:ascii="Calibri" w:hAnsi="Calibri"/>
                <w:b w:val="0"/>
                <w:i w:val="0"/>
                <w:color w:val="000000"/>
                <w:sz w:val="18"/>
              </w:rPr>
              <w:t>-75.72%</w:t>
            </w:r>
          </w:p>
        </w:tc>
      </w:tr>
      <w:tr>
        <w:tc>
          <w:tcPr>
            <w:tcW w:type="dxa" w:w="1560"/>
            <w:shd w:fill="F5F8FA"/>
          </w:tcPr>
          <w:p>
            <w:r>
              <w:rPr>
                <w:rFonts w:ascii="Calibri" w:hAnsi="Calibri"/>
                <w:b w:val="0"/>
                <w:i w:val="0"/>
                <w:color w:val="000000"/>
                <w:sz w:val="18"/>
              </w:rPr>
            </w:r>
          </w:p>
        </w:tc>
        <w:tc>
          <w:tcPr>
            <w:tcW w:type="dxa" w:w="1560"/>
            <w:shd w:fill="F5F8FA"/>
          </w:tcPr>
          <w:p>
            <w:r>
              <w:rPr>
                <w:rFonts w:ascii="Calibri" w:hAnsi="Calibri"/>
                <w:b w:val="0"/>
                <w:i w:val="0"/>
                <w:color w:val="000000"/>
                <w:sz w:val="18"/>
              </w:rPr>
              <w:t>1.0x</w:t>
            </w:r>
          </w:p>
        </w:tc>
        <w:tc>
          <w:tcPr>
            <w:tcW w:type="dxa" w:w="1560"/>
            <w:shd w:fill="F5F8FA"/>
          </w:tcPr>
          <w:p>
            <w:r>
              <w:rPr>
                <w:rFonts w:ascii="Calibri" w:hAnsi="Calibri"/>
                <w:b w:val="0"/>
                <w:i w:val="0"/>
                <w:color w:val="000000"/>
                <w:sz w:val="18"/>
              </w:rPr>
              <w:t>-25.16%</w:t>
            </w:r>
          </w:p>
        </w:tc>
        <w:tc>
          <w:tcPr>
            <w:tcW w:type="dxa" w:w="1560"/>
            <w:shd w:fill="F5F8FA"/>
          </w:tcPr>
          <w:p>
            <w:r>
              <w:rPr>
                <w:rFonts w:ascii="Calibri" w:hAnsi="Calibri"/>
                <w:b w:val="0"/>
                <w:i w:val="0"/>
                <w:color w:val="000000"/>
                <w:sz w:val="18"/>
              </w:rPr>
              <w:t>-2.52</w:t>
            </w:r>
          </w:p>
        </w:tc>
        <w:tc>
          <w:tcPr>
            <w:tcW w:type="dxa" w:w="1560"/>
            <w:shd w:fill="F5F8FA"/>
          </w:tcPr>
          <w:p>
            <w:r>
              <w:rPr>
                <w:rFonts w:ascii="Calibri" w:hAnsi="Calibri"/>
                <w:b w:val="0"/>
                <w:i w:val="0"/>
                <w:color w:val="000000"/>
                <w:sz w:val="18"/>
              </w:rPr>
              <w:t>-10.89</w:t>
            </w:r>
          </w:p>
        </w:tc>
        <w:tc>
          <w:tcPr>
            <w:tcW w:type="dxa" w:w="1560"/>
            <w:shd w:fill="F5F8FA"/>
          </w:tcPr>
          <w:p>
            <w:r>
              <w:rPr>
                <w:rFonts w:ascii="Calibri" w:hAnsi="Calibri"/>
                <w:b w:val="0"/>
                <w:i w:val="0"/>
                <w:color w:val="000000"/>
                <w:sz w:val="18"/>
              </w:rPr>
              <w:t>-98.57%</w:t>
            </w:r>
          </w:p>
        </w:tc>
      </w:tr>
      <w:tr>
        <w:tc>
          <w:tcPr>
            <w:tcW w:type="dxa" w:w="1560"/>
            <w:shd w:fill="FFFFFF"/>
          </w:tcPr>
          <w:p>
            <w:r>
              <w:rPr>
                <w:rFonts w:ascii="Calibri" w:hAnsi="Calibri"/>
                <w:b w:val="0"/>
                <w:i w:val="0"/>
                <w:color w:val="000000"/>
                <w:sz w:val="18"/>
              </w:rPr>
            </w:r>
          </w:p>
        </w:tc>
        <w:tc>
          <w:tcPr>
            <w:tcW w:type="dxa" w:w="1560"/>
            <w:shd w:fill="FFFFFF"/>
          </w:tcPr>
          <w:p>
            <w:r>
              <w:rPr>
                <w:rFonts w:ascii="Calibri" w:hAnsi="Calibri"/>
                <w:b w:val="0"/>
                <w:i w:val="0"/>
                <w:color w:val="000000"/>
                <w:sz w:val="18"/>
              </w:rPr>
              <w:t>1.5x</w:t>
            </w:r>
          </w:p>
        </w:tc>
        <w:tc>
          <w:tcPr>
            <w:tcW w:type="dxa" w:w="1560"/>
            <w:shd w:fill="FFFFFF"/>
          </w:tcPr>
          <w:p>
            <w:r>
              <w:rPr>
                <w:rFonts w:ascii="Calibri" w:hAnsi="Calibri"/>
                <w:b w:val="0"/>
                <w:i w:val="0"/>
                <w:color w:val="000000"/>
                <w:sz w:val="18"/>
              </w:rPr>
              <w:t>-42.49%</w:t>
            </w:r>
          </w:p>
        </w:tc>
        <w:tc>
          <w:tcPr>
            <w:tcW w:type="dxa" w:w="1560"/>
            <w:shd w:fill="FFFFFF"/>
          </w:tcPr>
          <w:p>
            <w:r>
              <w:rPr>
                <w:rFonts w:ascii="Calibri" w:hAnsi="Calibri"/>
                <w:b w:val="0"/>
                <w:i w:val="0"/>
                <w:color w:val="000000"/>
                <w:sz w:val="18"/>
              </w:rPr>
              <w:t>-4.25</w:t>
            </w:r>
          </w:p>
        </w:tc>
        <w:tc>
          <w:tcPr>
            <w:tcW w:type="dxa" w:w="1560"/>
            <w:shd w:fill="FFFFFF"/>
          </w:tcPr>
          <w:p>
            <w:r>
              <w:rPr>
                <w:rFonts w:ascii="Calibri" w:hAnsi="Calibri"/>
                <w:b w:val="0"/>
                <w:i w:val="0"/>
                <w:color w:val="000000"/>
                <w:sz w:val="18"/>
              </w:rPr>
              <w:t>-18.38</w:t>
            </w:r>
          </w:p>
        </w:tc>
        <w:tc>
          <w:tcPr>
            <w:tcW w:type="dxa" w:w="1560"/>
            <w:shd w:fill="FFFFFF"/>
          </w:tcPr>
          <w:p>
            <w:r>
              <w:rPr>
                <w:rFonts w:ascii="Calibri" w:hAnsi="Calibri"/>
                <w:b w:val="0"/>
                <w:i w:val="0"/>
                <w:color w:val="000000"/>
                <w:sz w:val="18"/>
              </w:rPr>
              <w:t>-99.92%</w:t>
            </w:r>
          </w:p>
        </w:tc>
      </w:tr>
      <w:tr>
        <w:tc>
          <w:tcPr>
            <w:tcW w:type="dxa" w:w="1560"/>
            <w:shd w:fill="F5F8FA"/>
          </w:tcPr>
          <w:p>
            <w:r>
              <w:rPr>
                <w:rFonts w:ascii="Calibri" w:hAnsi="Calibri"/>
                <w:b w:val="0"/>
                <w:i w:val="0"/>
                <w:color w:val="000000"/>
                <w:sz w:val="18"/>
              </w:rPr>
              <w:t>Strategy B (PCA-OU Reversion)</w:t>
            </w:r>
          </w:p>
        </w:tc>
        <w:tc>
          <w:tcPr>
            <w:tcW w:type="dxa" w:w="1560"/>
            <w:shd w:fill="F5F8FA"/>
          </w:tcPr>
          <w:p>
            <w:r>
              <w:rPr>
                <w:rFonts w:ascii="Calibri" w:hAnsi="Calibri"/>
                <w:b w:val="0"/>
                <w:i w:val="0"/>
                <w:color w:val="000000"/>
                <w:sz w:val="18"/>
              </w:rPr>
              <w:t>0.0x</w:t>
            </w:r>
          </w:p>
        </w:tc>
        <w:tc>
          <w:tcPr>
            <w:tcW w:type="dxa" w:w="1560"/>
            <w:shd w:fill="F5F8FA"/>
          </w:tcPr>
          <w:p>
            <w:r>
              <w:rPr>
                <w:rFonts w:ascii="Calibri" w:hAnsi="Calibri"/>
                <w:b w:val="0"/>
                <w:i w:val="0"/>
                <w:color w:val="000000"/>
                <w:sz w:val="18"/>
              </w:rPr>
              <w:t>+17.91%</w:t>
            </w:r>
          </w:p>
        </w:tc>
        <w:tc>
          <w:tcPr>
            <w:tcW w:type="dxa" w:w="1560"/>
            <w:shd w:fill="F5F8FA"/>
          </w:tcPr>
          <w:p>
            <w:r>
              <w:rPr>
                <w:rFonts w:ascii="Calibri" w:hAnsi="Calibri"/>
                <w:b w:val="0"/>
                <w:i w:val="0"/>
                <w:color w:val="000000"/>
                <w:sz w:val="18"/>
              </w:rPr>
              <w:t>+1.74</w:t>
            </w:r>
          </w:p>
        </w:tc>
        <w:tc>
          <w:tcPr>
            <w:tcW w:type="dxa" w:w="1560"/>
            <w:shd w:fill="F5F8FA"/>
          </w:tcPr>
          <w:p>
            <w:r>
              <w:rPr>
                <w:rFonts w:ascii="Calibri" w:hAnsi="Calibri"/>
                <w:b w:val="0"/>
                <w:i w:val="0"/>
                <w:color w:val="000000"/>
                <w:sz w:val="18"/>
              </w:rPr>
              <w:t>+7.49</w:t>
            </w:r>
          </w:p>
        </w:tc>
        <w:tc>
          <w:tcPr>
            <w:tcW w:type="dxa" w:w="1560"/>
            <w:shd w:fill="F5F8FA"/>
          </w:tcPr>
          <w:p>
            <w:r>
              <w:rPr>
                <w:rFonts w:ascii="Calibri" w:hAnsi="Calibri"/>
                <w:b w:val="0"/>
                <w:i w:val="0"/>
                <w:color w:val="000000"/>
                <w:sz w:val="18"/>
              </w:rPr>
              <w:t>-14.57%</w:t>
            </w:r>
          </w:p>
        </w:tc>
      </w:tr>
      <w:tr>
        <w:tc>
          <w:tcPr>
            <w:tcW w:type="dxa" w:w="1560"/>
            <w:shd w:fill="FFFFFF"/>
          </w:tcPr>
          <w:p>
            <w:r>
              <w:rPr>
                <w:rFonts w:ascii="Calibri" w:hAnsi="Calibri"/>
                <w:b w:val="0"/>
                <w:i w:val="0"/>
                <w:color w:val="000000"/>
                <w:sz w:val="18"/>
              </w:rPr>
            </w:r>
          </w:p>
        </w:tc>
        <w:tc>
          <w:tcPr>
            <w:tcW w:type="dxa" w:w="1560"/>
            <w:shd w:fill="FFFFFF"/>
          </w:tcPr>
          <w:p>
            <w:r>
              <w:rPr>
                <w:rFonts w:ascii="Calibri" w:hAnsi="Calibri"/>
                <w:b w:val="0"/>
                <w:i w:val="0"/>
                <w:color w:val="000000"/>
                <w:sz w:val="18"/>
              </w:rPr>
              <w:t>0.5x</w:t>
            </w:r>
          </w:p>
        </w:tc>
        <w:tc>
          <w:tcPr>
            <w:tcW w:type="dxa" w:w="1560"/>
            <w:shd w:fill="FFFFFF"/>
          </w:tcPr>
          <w:p>
            <w:r>
              <w:rPr>
                <w:rFonts w:ascii="Calibri" w:hAnsi="Calibri"/>
                <w:b w:val="0"/>
                <w:i w:val="0"/>
                <w:color w:val="000000"/>
                <w:sz w:val="18"/>
              </w:rPr>
              <w:t>+0.58%</w:t>
            </w:r>
          </w:p>
        </w:tc>
        <w:tc>
          <w:tcPr>
            <w:tcW w:type="dxa" w:w="1560"/>
            <w:shd w:fill="FFFFFF"/>
          </w:tcPr>
          <w:p>
            <w:r>
              <w:rPr>
                <w:rFonts w:ascii="Calibri" w:hAnsi="Calibri"/>
                <w:b w:val="0"/>
                <w:i w:val="0"/>
                <w:color w:val="000000"/>
                <w:sz w:val="18"/>
              </w:rPr>
              <w:t>+0.06</w:t>
            </w:r>
          </w:p>
        </w:tc>
        <w:tc>
          <w:tcPr>
            <w:tcW w:type="dxa" w:w="1560"/>
            <w:shd w:fill="FFFFFF"/>
          </w:tcPr>
          <w:p>
            <w:r>
              <w:rPr>
                <w:rFonts w:ascii="Calibri" w:hAnsi="Calibri"/>
                <w:b w:val="0"/>
                <w:i w:val="0"/>
                <w:color w:val="000000"/>
                <w:sz w:val="18"/>
              </w:rPr>
              <w:t>+0.24</w:t>
            </w:r>
          </w:p>
        </w:tc>
        <w:tc>
          <w:tcPr>
            <w:tcW w:type="dxa" w:w="1560"/>
            <w:shd w:fill="FFFFFF"/>
          </w:tcPr>
          <w:p>
            <w:r>
              <w:rPr>
                <w:rFonts w:ascii="Calibri" w:hAnsi="Calibri"/>
                <w:b w:val="0"/>
                <w:i w:val="0"/>
                <w:color w:val="000000"/>
                <w:sz w:val="18"/>
              </w:rPr>
              <w:t>-34.34%</w:t>
            </w:r>
          </w:p>
        </w:tc>
      </w:tr>
      <w:tr>
        <w:tc>
          <w:tcPr>
            <w:tcW w:type="dxa" w:w="1560"/>
            <w:shd w:fill="F5F8FA"/>
          </w:tcPr>
          <w:p>
            <w:r>
              <w:rPr>
                <w:rFonts w:ascii="Calibri" w:hAnsi="Calibri"/>
                <w:b w:val="0"/>
                <w:i w:val="0"/>
                <w:color w:val="000000"/>
                <w:sz w:val="18"/>
              </w:rPr>
            </w:r>
          </w:p>
        </w:tc>
        <w:tc>
          <w:tcPr>
            <w:tcW w:type="dxa" w:w="1560"/>
            <w:shd w:fill="F5F8FA"/>
          </w:tcPr>
          <w:p>
            <w:r>
              <w:rPr>
                <w:rFonts w:ascii="Calibri" w:hAnsi="Calibri"/>
                <w:b w:val="0"/>
                <w:i w:val="0"/>
                <w:color w:val="000000"/>
                <w:sz w:val="18"/>
              </w:rPr>
              <w:t>1.0x</w:t>
            </w:r>
          </w:p>
        </w:tc>
        <w:tc>
          <w:tcPr>
            <w:tcW w:type="dxa" w:w="1560"/>
            <w:shd w:fill="F5F8FA"/>
          </w:tcPr>
          <w:p>
            <w:r>
              <w:rPr>
                <w:rFonts w:ascii="Calibri" w:hAnsi="Calibri"/>
                <w:b w:val="0"/>
                <w:i w:val="0"/>
                <w:color w:val="000000"/>
                <w:sz w:val="18"/>
              </w:rPr>
              <w:t>-16.75%</w:t>
            </w:r>
          </w:p>
        </w:tc>
        <w:tc>
          <w:tcPr>
            <w:tcW w:type="dxa" w:w="1560"/>
            <w:shd w:fill="F5F8FA"/>
          </w:tcPr>
          <w:p>
            <w:r>
              <w:rPr>
                <w:rFonts w:ascii="Calibri" w:hAnsi="Calibri"/>
                <w:b w:val="0"/>
                <w:i w:val="0"/>
                <w:color w:val="000000"/>
                <w:sz w:val="18"/>
              </w:rPr>
              <w:t>-1.63</w:t>
            </w:r>
          </w:p>
        </w:tc>
        <w:tc>
          <w:tcPr>
            <w:tcW w:type="dxa" w:w="1560"/>
            <w:shd w:fill="F5F8FA"/>
          </w:tcPr>
          <w:p>
            <w:r>
              <w:rPr>
                <w:rFonts w:ascii="Calibri" w:hAnsi="Calibri"/>
                <w:b w:val="0"/>
                <w:i w:val="0"/>
                <w:color w:val="000000"/>
                <w:sz w:val="18"/>
              </w:rPr>
              <w:t>-7.00</w:t>
            </w:r>
          </w:p>
        </w:tc>
        <w:tc>
          <w:tcPr>
            <w:tcW w:type="dxa" w:w="1560"/>
            <w:shd w:fill="F5F8FA"/>
          </w:tcPr>
          <w:p>
            <w:r>
              <w:rPr>
                <w:rFonts w:ascii="Calibri" w:hAnsi="Calibri"/>
                <w:b w:val="0"/>
                <w:i w:val="0"/>
                <w:color w:val="000000"/>
                <w:sz w:val="18"/>
              </w:rPr>
              <w:t>-95.06%</w:t>
            </w:r>
          </w:p>
        </w:tc>
      </w:tr>
      <w:tr>
        <w:tc>
          <w:tcPr>
            <w:tcW w:type="dxa" w:w="1560"/>
            <w:shd w:fill="FFFFFF"/>
          </w:tcPr>
          <w:p>
            <w:r>
              <w:rPr>
                <w:rFonts w:ascii="Calibri" w:hAnsi="Calibri"/>
                <w:b w:val="0"/>
                <w:i w:val="0"/>
                <w:color w:val="000000"/>
                <w:sz w:val="18"/>
              </w:rPr>
            </w:r>
          </w:p>
        </w:tc>
        <w:tc>
          <w:tcPr>
            <w:tcW w:type="dxa" w:w="1560"/>
            <w:shd w:fill="FFFFFF"/>
          </w:tcPr>
          <w:p>
            <w:r>
              <w:rPr>
                <w:rFonts w:ascii="Calibri" w:hAnsi="Calibri"/>
                <w:b w:val="0"/>
                <w:i w:val="0"/>
                <w:color w:val="000000"/>
                <w:sz w:val="18"/>
              </w:rPr>
              <w:t>1.5x</w:t>
            </w:r>
          </w:p>
        </w:tc>
        <w:tc>
          <w:tcPr>
            <w:tcW w:type="dxa" w:w="1560"/>
            <w:shd w:fill="FFFFFF"/>
          </w:tcPr>
          <w:p>
            <w:r>
              <w:rPr>
                <w:rFonts w:ascii="Calibri" w:hAnsi="Calibri"/>
                <w:b w:val="0"/>
                <w:i w:val="0"/>
                <w:color w:val="000000"/>
                <w:sz w:val="18"/>
              </w:rPr>
              <w:t>-34.08%</w:t>
            </w:r>
          </w:p>
        </w:tc>
        <w:tc>
          <w:tcPr>
            <w:tcW w:type="dxa" w:w="1560"/>
            <w:shd w:fill="FFFFFF"/>
          </w:tcPr>
          <w:p>
            <w:r>
              <w:rPr>
                <w:rFonts w:ascii="Calibri" w:hAnsi="Calibri"/>
                <w:b w:val="0"/>
                <w:i w:val="0"/>
                <w:color w:val="000000"/>
                <w:sz w:val="18"/>
              </w:rPr>
              <w:t>-3.31</w:t>
            </w:r>
          </w:p>
        </w:tc>
        <w:tc>
          <w:tcPr>
            <w:tcW w:type="dxa" w:w="1560"/>
            <w:shd w:fill="FFFFFF"/>
          </w:tcPr>
          <w:p>
            <w:r>
              <w:rPr>
                <w:rFonts w:ascii="Calibri" w:hAnsi="Calibri"/>
                <w:b w:val="0"/>
                <w:i w:val="0"/>
                <w:color w:val="000000"/>
                <w:sz w:val="18"/>
              </w:rPr>
              <w:t>-14.24</w:t>
            </w:r>
          </w:p>
        </w:tc>
        <w:tc>
          <w:tcPr>
            <w:tcW w:type="dxa" w:w="1560"/>
            <w:shd w:fill="FFFFFF"/>
          </w:tcPr>
          <w:p>
            <w:r>
              <w:rPr>
                <w:rFonts w:ascii="Calibri" w:hAnsi="Calibri"/>
                <w:b w:val="0"/>
                <w:i w:val="0"/>
                <w:color w:val="000000"/>
                <w:sz w:val="18"/>
              </w:rPr>
              <w:t>-99.70%</w:t>
            </w:r>
          </w:p>
        </w:tc>
      </w:tr>
      <w:tr>
        <w:tc>
          <w:tcPr>
            <w:tcW w:type="dxa" w:w="1560"/>
            <w:shd w:fill="F5F8FA"/>
          </w:tcPr>
          <w:p>
            <w:r>
              <w:rPr>
                <w:rFonts w:ascii="Calibri" w:hAnsi="Calibri"/>
                <w:b w:val="0"/>
                <w:i w:val="0"/>
                <w:color w:val="000000"/>
                <w:sz w:val="18"/>
              </w:rPr>
              <w:t>Strategy C (ML Walk-Forward)</w:t>
            </w:r>
          </w:p>
        </w:tc>
        <w:tc>
          <w:tcPr>
            <w:tcW w:type="dxa" w:w="1560"/>
            <w:shd w:fill="F5F8FA"/>
          </w:tcPr>
          <w:p>
            <w:r>
              <w:rPr>
                <w:rFonts w:ascii="Calibri" w:hAnsi="Calibri"/>
                <w:b w:val="0"/>
                <w:i w:val="0"/>
                <w:color w:val="000000"/>
                <w:sz w:val="18"/>
              </w:rPr>
              <w:t>0.0x</w:t>
            </w:r>
          </w:p>
        </w:tc>
        <w:tc>
          <w:tcPr>
            <w:tcW w:type="dxa" w:w="1560"/>
            <w:shd w:fill="F5F8FA"/>
          </w:tcPr>
          <w:p>
            <w:r>
              <w:rPr>
                <w:rFonts w:ascii="Calibri" w:hAnsi="Calibri"/>
                <w:b w:val="0"/>
                <w:i w:val="0"/>
                <w:color w:val="000000"/>
                <w:sz w:val="18"/>
              </w:rPr>
              <w:t>+8.75%</w:t>
            </w:r>
          </w:p>
        </w:tc>
        <w:tc>
          <w:tcPr>
            <w:tcW w:type="dxa" w:w="1560"/>
            <w:shd w:fill="F5F8FA"/>
          </w:tcPr>
          <w:p>
            <w:r>
              <w:rPr>
                <w:rFonts w:ascii="Calibri" w:hAnsi="Calibri"/>
                <w:b w:val="0"/>
                <w:i w:val="0"/>
                <w:color w:val="000000"/>
                <w:sz w:val="18"/>
              </w:rPr>
              <w:t>+1.00</w:t>
            </w:r>
          </w:p>
        </w:tc>
        <w:tc>
          <w:tcPr>
            <w:tcW w:type="dxa" w:w="1560"/>
            <w:shd w:fill="F5F8FA"/>
          </w:tcPr>
          <w:p>
            <w:r>
              <w:rPr>
                <w:rFonts w:ascii="Calibri" w:hAnsi="Calibri"/>
                <w:b w:val="0"/>
                <w:i w:val="0"/>
                <w:color w:val="000000"/>
                <w:sz w:val="18"/>
              </w:rPr>
              <w:t>+4.05</w:t>
            </w:r>
          </w:p>
        </w:tc>
        <w:tc>
          <w:tcPr>
            <w:tcW w:type="dxa" w:w="1560"/>
            <w:shd w:fill="F5F8FA"/>
          </w:tcPr>
          <w:p>
            <w:r>
              <w:rPr>
                <w:rFonts w:ascii="Calibri" w:hAnsi="Calibri"/>
                <w:b w:val="0"/>
                <w:i w:val="0"/>
                <w:color w:val="000000"/>
                <w:sz w:val="18"/>
              </w:rPr>
              <w:t>-12.34%</w:t>
            </w:r>
          </w:p>
        </w:tc>
      </w:tr>
      <w:tr>
        <w:tc>
          <w:tcPr>
            <w:tcW w:type="dxa" w:w="1560"/>
            <w:shd w:fill="FFFFFF"/>
          </w:tcPr>
          <w:p>
            <w:r>
              <w:rPr>
                <w:rFonts w:ascii="Calibri" w:hAnsi="Calibri"/>
                <w:b w:val="0"/>
                <w:i w:val="0"/>
                <w:color w:val="000000"/>
                <w:sz w:val="18"/>
              </w:rPr>
            </w:r>
          </w:p>
        </w:tc>
        <w:tc>
          <w:tcPr>
            <w:tcW w:type="dxa" w:w="1560"/>
            <w:shd w:fill="FFFFFF"/>
          </w:tcPr>
          <w:p>
            <w:r>
              <w:rPr>
                <w:rFonts w:ascii="Calibri" w:hAnsi="Calibri"/>
                <w:b w:val="0"/>
                <w:i w:val="0"/>
                <w:color w:val="000000"/>
                <w:sz w:val="18"/>
              </w:rPr>
              <w:t>0.5x</w:t>
            </w:r>
          </w:p>
        </w:tc>
        <w:tc>
          <w:tcPr>
            <w:tcW w:type="dxa" w:w="1560"/>
            <w:shd w:fill="FFFFFF"/>
          </w:tcPr>
          <w:p>
            <w:r>
              <w:rPr>
                <w:rFonts w:ascii="Calibri" w:hAnsi="Calibri"/>
                <w:b w:val="0"/>
                <w:i w:val="0"/>
                <w:color w:val="000000"/>
                <w:sz w:val="18"/>
              </w:rPr>
              <w:t>-8.58%</w:t>
            </w:r>
          </w:p>
        </w:tc>
        <w:tc>
          <w:tcPr>
            <w:tcW w:type="dxa" w:w="1560"/>
            <w:shd w:fill="FFFFFF"/>
          </w:tcPr>
          <w:p>
            <w:r>
              <w:rPr>
                <w:rFonts w:ascii="Calibri" w:hAnsi="Calibri"/>
                <w:b w:val="0"/>
                <w:i w:val="0"/>
                <w:color w:val="000000"/>
                <w:sz w:val="18"/>
              </w:rPr>
              <w:t>-0.98</w:t>
            </w:r>
          </w:p>
        </w:tc>
        <w:tc>
          <w:tcPr>
            <w:tcW w:type="dxa" w:w="1560"/>
            <w:shd w:fill="FFFFFF"/>
          </w:tcPr>
          <w:p>
            <w:r>
              <w:rPr>
                <w:rFonts w:ascii="Calibri" w:hAnsi="Calibri"/>
                <w:b w:val="0"/>
                <w:i w:val="0"/>
                <w:color w:val="000000"/>
                <w:sz w:val="18"/>
              </w:rPr>
              <w:t>-3.97</w:t>
            </w:r>
          </w:p>
        </w:tc>
        <w:tc>
          <w:tcPr>
            <w:tcW w:type="dxa" w:w="1560"/>
            <w:shd w:fill="FFFFFF"/>
          </w:tcPr>
          <w:p>
            <w:r>
              <w:rPr>
                <w:rFonts w:ascii="Calibri" w:hAnsi="Calibri"/>
                <w:b w:val="0"/>
                <w:i w:val="0"/>
                <w:color w:val="000000"/>
                <w:sz w:val="18"/>
              </w:rPr>
              <w:t>-80.63%</w:t>
            </w:r>
          </w:p>
        </w:tc>
      </w:tr>
      <w:tr>
        <w:tc>
          <w:tcPr>
            <w:tcW w:type="dxa" w:w="1560"/>
            <w:shd w:fill="F5F8FA"/>
          </w:tcPr>
          <w:p>
            <w:r>
              <w:rPr>
                <w:rFonts w:ascii="Calibri" w:hAnsi="Calibri"/>
                <w:b w:val="0"/>
                <w:i w:val="0"/>
                <w:color w:val="000000"/>
                <w:sz w:val="18"/>
              </w:rPr>
            </w:r>
          </w:p>
        </w:tc>
        <w:tc>
          <w:tcPr>
            <w:tcW w:type="dxa" w:w="1560"/>
            <w:shd w:fill="F5F8FA"/>
          </w:tcPr>
          <w:p>
            <w:r>
              <w:rPr>
                <w:rFonts w:ascii="Calibri" w:hAnsi="Calibri"/>
                <w:b w:val="0"/>
                <w:i w:val="0"/>
                <w:color w:val="000000"/>
                <w:sz w:val="18"/>
              </w:rPr>
              <w:t>1.0x</w:t>
            </w:r>
          </w:p>
        </w:tc>
        <w:tc>
          <w:tcPr>
            <w:tcW w:type="dxa" w:w="1560"/>
            <w:shd w:fill="F5F8FA"/>
          </w:tcPr>
          <w:p>
            <w:r>
              <w:rPr>
                <w:rFonts w:ascii="Calibri" w:hAnsi="Calibri"/>
                <w:b w:val="0"/>
                <w:i w:val="0"/>
                <w:color w:val="000000"/>
                <w:sz w:val="18"/>
              </w:rPr>
              <w:t>-25.91%</w:t>
            </w:r>
          </w:p>
        </w:tc>
        <w:tc>
          <w:tcPr>
            <w:tcW w:type="dxa" w:w="1560"/>
            <w:shd w:fill="F5F8FA"/>
          </w:tcPr>
          <w:p>
            <w:r>
              <w:rPr>
                <w:rFonts w:ascii="Calibri" w:hAnsi="Calibri"/>
                <w:b w:val="0"/>
                <w:i w:val="0"/>
                <w:color w:val="000000"/>
                <w:sz w:val="18"/>
              </w:rPr>
              <w:t>-2.96</w:t>
            </w:r>
          </w:p>
        </w:tc>
        <w:tc>
          <w:tcPr>
            <w:tcW w:type="dxa" w:w="1560"/>
            <w:shd w:fill="F5F8FA"/>
          </w:tcPr>
          <w:p>
            <w:r>
              <w:rPr>
                <w:rFonts w:ascii="Calibri" w:hAnsi="Calibri"/>
                <w:b w:val="0"/>
                <w:i w:val="0"/>
                <w:color w:val="000000"/>
                <w:sz w:val="18"/>
              </w:rPr>
              <w:t>-12.00</w:t>
            </w:r>
          </w:p>
        </w:tc>
        <w:tc>
          <w:tcPr>
            <w:tcW w:type="dxa" w:w="1560"/>
            <w:shd w:fill="F5F8FA"/>
          </w:tcPr>
          <w:p>
            <w:r>
              <w:rPr>
                <w:rFonts w:ascii="Calibri" w:hAnsi="Calibri"/>
                <w:b w:val="0"/>
                <w:i w:val="0"/>
                <w:color w:val="000000"/>
                <w:sz w:val="18"/>
              </w:rPr>
              <w:t>-98.72%</w:t>
            </w:r>
          </w:p>
        </w:tc>
      </w:tr>
      <w:tr>
        <w:tc>
          <w:tcPr>
            <w:tcW w:type="dxa" w:w="1560"/>
            <w:shd w:fill="FFFFFF"/>
          </w:tcPr>
          <w:p>
            <w:r>
              <w:rPr>
                <w:rFonts w:ascii="Calibri" w:hAnsi="Calibri"/>
                <w:b w:val="0"/>
                <w:i w:val="0"/>
                <w:color w:val="000000"/>
                <w:sz w:val="18"/>
              </w:rPr>
            </w:r>
          </w:p>
        </w:tc>
        <w:tc>
          <w:tcPr>
            <w:tcW w:type="dxa" w:w="1560"/>
            <w:shd w:fill="FFFFFF"/>
          </w:tcPr>
          <w:p>
            <w:r>
              <w:rPr>
                <w:rFonts w:ascii="Calibri" w:hAnsi="Calibri"/>
                <w:b w:val="0"/>
                <w:i w:val="0"/>
                <w:color w:val="000000"/>
                <w:sz w:val="18"/>
              </w:rPr>
              <w:t>1.5x</w:t>
            </w:r>
          </w:p>
        </w:tc>
        <w:tc>
          <w:tcPr>
            <w:tcW w:type="dxa" w:w="1560"/>
            <w:shd w:fill="FFFFFF"/>
          </w:tcPr>
          <w:p>
            <w:r>
              <w:rPr>
                <w:rFonts w:ascii="Calibri" w:hAnsi="Calibri"/>
                <w:b w:val="0"/>
                <w:i w:val="0"/>
                <w:color w:val="000000"/>
                <w:sz w:val="18"/>
              </w:rPr>
              <w:t>-43.25%</w:t>
            </w:r>
          </w:p>
        </w:tc>
        <w:tc>
          <w:tcPr>
            <w:tcW w:type="dxa" w:w="1560"/>
            <w:shd w:fill="FFFFFF"/>
          </w:tcPr>
          <w:p>
            <w:r>
              <w:rPr>
                <w:rFonts w:ascii="Calibri" w:hAnsi="Calibri"/>
                <w:b w:val="0"/>
                <w:i w:val="0"/>
                <w:color w:val="000000"/>
                <w:sz w:val="18"/>
              </w:rPr>
              <w:t>-4.94</w:t>
            </w:r>
          </w:p>
        </w:tc>
        <w:tc>
          <w:tcPr>
            <w:tcW w:type="dxa" w:w="1560"/>
            <w:shd w:fill="FFFFFF"/>
          </w:tcPr>
          <w:p>
            <w:r>
              <w:rPr>
                <w:rFonts w:ascii="Calibri" w:hAnsi="Calibri"/>
                <w:b w:val="0"/>
                <w:i w:val="0"/>
                <w:color w:val="000000"/>
                <w:sz w:val="18"/>
              </w:rPr>
              <w:t>-20.03</w:t>
            </w:r>
          </w:p>
        </w:tc>
        <w:tc>
          <w:tcPr>
            <w:tcW w:type="dxa" w:w="1560"/>
            <w:shd w:fill="FFFFFF"/>
          </w:tcPr>
          <w:p>
            <w:r>
              <w:rPr>
                <w:rFonts w:ascii="Calibri" w:hAnsi="Calibri"/>
                <w:b w:val="0"/>
                <w:i w:val="0"/>
                <w:color w:val="000000"/>
                <w:sz w:val="18"/>
              </w:rPr>
              <w:t>-99.93%</w:t>
            </w:r>
          </w:p>
        </w:tc>
      </w:tr>
    </w:tbl>
    <w:p>
      <w:pPr>
        <w:spacing w:before="160" w:after="60"/>
        <w:jc w:val="center"/>
      </w:pPr>
      <w:r>
        <w:drawing>
          <wp:inline xmlns:a="http://schemas.openxmlformats.org/drawingml/2006/main" xmlns:pic="http://schemas.openxmlformats.org/drawingml/2006/picture">
            <wp:extent cx="5486400" cy="3083357"/>
            <wp:docPr id="7" name="Picture 7"/>
            <wp:cNvGraphicFramePr>
              <a:graphicFrameLocks noChangeAspect="1"/>
            </wp:cNvGraphicFramePr>
            <a:graphic>
              <a:graphicData uri="http://schemas.openxmlformats.org/drawingml/2006/picture">
                <pic:pic>
                  <pic:nvPicPr>
                    <pic:cNvPr id="0" name="fig5_cost_sensitivity_curve.png"/>
                    <pic:cNvPicPr/>
                  </pic:nvPicPr>
                  <pic:blipFill>
                    <a:blip r:embed="rId15"/>
                    <a:stretch>
                      <a:fillRect/>
                    </a:stretch>
                  </pic:blipFill>
                  <pic:spPr>
                    <a:xfrm>
                      <a:off x="0" y="0"/>
                      <a:ext cx="5486400" cy="3083357"/>
                    </a:xfrm>
                    <a:prstGeom prst="rect"/>
                  </pic:spPr>
                </pic:pic>
              </a:graphicData>
            </a:graphic>
          </wp:inline>
        </w:drawing>
      </w:r>
    </w:p>
    <w:p>
      <w:pPr>
        <w:spacing w:before="0" w:after="200"/>
        <w:jc w:val="center"/>
      </w:pPr>
      <w:r>
        <w:rPr>
          <w:rFonts w:ascii="Calibri" w:hAnsi="Calibri"/>
          <w:b w:val="0"/>
          <w:i/>
          <w:color w:val="505050"/>
          <w:sz w:val="19"/>
        </w:rPr>
        <w:t>Figure 7: Cost Sensitivity Curves: Annualized Net Sharpe Ratio vs. Transaction Cost Multiplier (0.0x to 1.5x).</w:t>
      </w:r>
    </w:p>
    <w:p>
      <w:pPr>
        <w:spacing w:before="160" w:after="60"/>
        <w:jc w:val="center"/>
      </w:pPr>
      <w:r>
        <w:drawing>
          <wp:inline xmlns:a="http://schemas.openxmlformats.org/drawingml/2006/main" xmlns:pic="http://schemas.openxmlformats.org/drawingml/2006/picture">
            <wp:extent cx="5486400" cy="3525926"/>
            <wp:docPr id="8" name="Picture 8"/>
            <wp:cNvGraphicFramePr>
              <a:graphicFrameLocks noChangeAspect="1"/>
            </wp:cNvGraphicFramePr>
            <a:graphic>
              <a:graphicData uri="http://schemas.openxmlformats.org/drawingml/2006/picture">
                <pic:pic>
                  <pic:nvPicPr>
                    <pic:cNvPr id="0" name="fig6_breakeven_cost.png"/>
                    <pic:cNvPicPr/>
                  </pic:nvPicPr>
                  <pic:blipFill>
                    <a:blip r:embed="rId16"/>
                    <a:stretch>
                      <a:fillRect/>
                    </a:stretch>
                  </pic:blipFill>
                  <pic:spPr>
                    <a:xfrm>
                      <a:off x="0" y="0"/>
                      <a:ext cx="5486400" cy="3525926"/>
                    </a:xfrm>
                    <a:prstGeom prst="rect"/>
                  </pic:spPr>
                </pic:pic>
              </a:graphicData>
            </a:graphic>
          </wp:inline>
        </w:drawing>
      </w:r>
    </w:p>
    <w:p>
      <w:pPr>
        <w:spacing w:before="0" w:after="200"/>
        <w:jc w:val="center"/>
      </w:pPr>
      <w:r>
        <w:rPr>
          <w:rFonts w:ascii="Calibri" w:hAnsi="Calibri"/>
          <w:b w:val="0"/>
          <w:i/>
          <w:color w:val="505050"/>
          <w:sz w:val="19"/>
        </w:rPr>
        <w:t>Figure 8: Institutional Breakeven Cost Multipliers Across Strategy Families.</w:t>
      </w:r>
    </w:p>
    <w:p>
      <w:pPr>
        <w:spacing w:after="120" w:line="276" w:lineRule="auto"/>
      </w:pPr>
      <w:r>
        <w:rPr>
          <w:rFonts w:ascii="Calibri" w:hAnsi="Calibri"/>
          <w:b w:val="0"/>
          <w:i w:val="0"/>
          <w:color w:val="000000"/>
          <w:sz w:val="22"/>
        </w:rPr>
        <w:t>By computing the root of the net Sharpe ratio function SR(M) = 0, we obtain exact breakeven multipliers: Strategy A = 0.48x (7.9 bps RT), Strategy B = 0.90x (14.9 bps RT), and Strategy C = 0.44x (7.3 bps RT). Even under halved execution costs (0.5x), Strategies A and C remain deeply unprofitable (-7.83% and -8.58% annualized).</w:t>
      </w:r>
    </w:p>
    <w:p>
      <w:pPr>
        <w:spacing w:before="200" w:after="80"/>
      </w:pPr>
      <w:r>
        <w:rPr>
          <w:rFonts w:ascii="Calibri" w:hAnsi="Calibri"/>
          <w:b/>
          <w:i w:val="0"/>
          <w:color w:val="336699"/>
          <w:sz w:val="24"/>
        </w:rPr>
        <w:t>5.4 Factor Model Alphas and Market Neutrality</w:t>
      </w:r>
    </w:p>
    <w:p>
      <w:pPr>
        <w:spacing w:after="120" w:line="276" w:lineRule="auto"/>
      </w:pPr>
      <w:r>
        <w:rPr>
          <w:rFonts w:ascii="Calibri" w:hAnsi="Calibri"/>
          <w:b w:val="0"/>
          <w:i w:val="0"/>
          <w:color w:val="000000"/>
          <w:sz w:val="22"/>
        </w:rPr>
        <w:t>Table 4 presents Newey–West HAC time-series regressions of strategy net returns on the CAPM market factor and the IIMA four-factor benchmark (Agarwalla et al. 2014):</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3366"/>
          </w:tcPr>
          <w:p>
            <w:pPr>
              <w:jc w:val="center"/>
            </w:pPr>
            <w:r>
              <w:rPr>
                <w:rFonts w:ascii="Calibri" w:hAnsi="Calibri"/>
                <w:b/>
                <w:i w:val="0"/>
                <w:color w:val="FFFFFF"/>
                <w:sz w:val="19"/>
              </w:rPr>
              <w:t>Strategy</w:t>
            </w:r>
          </w:p>
        </w:tc>
        <w:tc>
          <w:tcPr>
            <w:tcW w:type="dxa" w:w="1337"/>
            <w:shd w:fill="003366"/>
          </w:tcPr>
          <w:p>
            <w:pPr>
              <w:jc w:val="center"/>
            </w:pPr>
            <w:r>
              <w:rPr>
                <w:rFonts w:ascii="Calibri" w:hAnsi="Calibri"/>
                <w:b/>
                <w:i w:val="0"/>
                <w:color w:val="FFFFFF"/>
                <w:sz w:val="19"/>
              </w:rPr>
              <w:t>IIMA Alpha (pa)</w:t>
            </w:r>
          </w:p>
        </w:tc>
        <w:tc>
          <w:tcPr>
            <w:tcW w:type="dxa" w:w="1337"/>
            <w:shd w:fill="003366"/>
          </w:tcPr>
          <w:p>
            <w:pPr>
              <w:jc w:val="center"/>
            </w:pPr>
            <w:r>
              <w:rPr>
                <w:rFonts w:ascii="Calibri" w:hAnsi="Calibri"/>
                <w:b/>
                <w:i w:val="0"/>
                <w:color w:val="FFFFFF"/>
                <w:sz w:val="19"/>
              </w:rPr>
              <w:t>Beta MKT</w:t>
            </w:r>
          </w:p>
        </w:tc>
        <w:tc>
          <w:tcPr>
            <w:tcW w:type="dxa" w:w="1337"/>
            <w:shd w:fill="003366"/>
          </w:tcPr>
          <w:p>
            <w:pPr>
              <w:jc w:val="center"/>
            </w:pPr>
            <w:r>
              <w:rPr>
                <w:rFonts w:ascii="Calibri" w:hAnsi="Calibri"/>
                <w:b/>
                <w:i w:val="0"/>
                <w:color w:val="FFFFFF"/>
                <w:sz w:val="19"/>
              </w:rPr>
              <w:t>Beta SMB</w:t>
            </w:r>
          </w:p>
        </w:tc>
        <w:tc>
          <w:tcPr>
            <w:tcW w:type="dxa" w:w="1337"/>
            <w:shd w:fill="003366"/>
          </w:tcPr>
          <w:p>
            <w:pPr>
              <w:jc w:val="center"/>
            </w:pPr>
            <w:r>
              <w:rPr>
                <w:rFonts w:ascii="Calibri" w:hAnsi="Calibri"/>
                <w:b/>
                <w:i w:val="0"/>
                <w:color w:val="FFFFFF"/>
                <w:sz w:val="19"/>
              </w:rPr>
              <w:t>Beta HML</w:t>
            </w:r>
          </w:p>
        </w:tc>
        <w:tc>
          <w:tcPr>
            <w:tcW w:type="dxa" w:w="1337"/>
            <w:shd w:fill="003366"/>
          </w:tcPr>
          <w:p>
            <w:pPr>
              <w:jc w:val="center"/>
            </w:pPr>
            <w:r>
              <w:rPr>
                <w:rFonts w:ascii="Calibri" w:hAnsi="Calibri"/>
                <w:b/>
                <w:i w:val="0"/>
                <w:color w:val="FFFFFF"/>
                <w:sz w:val="19"/>
              </w:rPr>
              <w:t>Beta WML</w:t>
            </w:r>
          </w:p>
        </w:tc>
        <w:tc>
          <w:tcPr>
            <w:tcW w:type="dxa" w:w="1337"/>
            <w:shd w:fill="003366"/>
          </w:tcPr>
          <w:p>
            <w:pPr>
              <w:jc w:val="center"/>
            </w:pPr>
            <w:r>
              <w:rPr>
                <w:rFonts w:ascii="Calibri" w:hAnsi="Calibri"/>
                <w:b/>
                <w:i w:val="0"/>
                <w:color w:val="FFFFFF"/>
                <w:sz w:val="19"/>
              </w:rPr>
              <w:t>R^2</w:t>
            </w:r>
          </w:p>
        </w:tc>
      </w:tr>
      <w:tr>
        <w:tc>
          <w:tcPr>
            <w:tcW w:type="dxa" w:w="1337"/>
            <w:shd w:fill="F5F8FA"/>
          </w:tcPr>
          <w:p>
            <w:r>
              <w:rPr>
                <w:rFonts w:ascii="Calibri" w:hAnsi="Calibri"/>
                <w:b w:val="0"/>
                <w:i w:val="0"/>
                <w:color w:val="000000"/>
                <w:sz w:val="18"/>
              </w:rPr>
              <w:t>Strategy A (Gatev Pairs)</w:t>
            </w:r>
          </w:p>
        </w:tc>
        <w:tc>
          <w:tcPr>
            <w:tcW w:type="dxa" w:w="1337"/>
            <w:shd w:fill="F5F8FA"/>
          </w:tcPr>
          <w:p>
            <w:r>
              <w:rPr>
                <w:rFonts w:ascii="Calibri" w:hAnsi="Calibri"/>
                <w:b w:val="0"/>
                <w:i w:val="0"/>
                <w:color w:val="000000"/>
                <w:sz w:val="18"/>
              </w:rPr>
              <w:t>-31.78%</w:t>
            </w:r>
          </w:p>
        </w:tc>
        <w:tc>
          <w:tcPr>
            <w:tcW w:type="dxa" w:w="1337"/>
            <w:shd w:fill="F5F8FA"/>
          </w:tcPr>
          <w:p>
            <w:r>
              <w:rPr>
                <w:rFonts w:ascii="Calibri" w:hAnsi="Calibri"/>
                <w:b w:val="0"/>
                <w:i w:val="0"/>
                <w:color w:val="000000"/>
                <w:sz w:val="18"/>
              </w:rPr>
              <w:t>0.01</w:t>
            </w:r>
          </w:p>
        </w:tc>
        <w:tc>
          <w:tcPr>
            <w:tcW w:type="dxa" w:w="1337"/>
            <w:shd w:fill="F5F8FA"/>
          </w:tcPr>
          <w:p>
            <w:r>
              <w:rPr>
                <w:rFonts w:ascii="Calibri" w:hAnsi="Calibri"/>
                <w:b w:val="0"/>
                <w:i w:val="0"/>
                <w:color w:val="000000"/>
                <w:sz w:val="18"/>
              </w:rPr>
              <w:t>-0.01</w:t>
            </w:r>
          </w:p>
        </w:tc>
        <w:tc>
          <w:tcPr>
            <w:tcW w:type="dxa" w:w="1337"/>
            <w:shd w:fill="F5F8FA"/>
          </w:tcPr>
          <w:p>
            <w:r>
              <w:rPr>
                <w:rFonts w:ascii="Calibri" w:hAnsi="Calibri"/>
                <w:b w:val="0"/>
                <w:i w:val="0"/>
                <w:color w:val="000000"/>
                <w:sz w:val="18"/>
              </w:rPr>
              <w:t>0.01</w:t>
            </w:r>
          </w:p>
        </w:tc>
        <w:tc>
          <w:tcPr>
            <w:tcW w:type="dxa" w:w="1337"/>
            <w:shd w:fill="F5F8FA"/>
          </w:tcPr>
          <w:p>
            <w:r>
              <w:rPr>
                <w:rFonts w:ascii="Calibri" w:hAnsi="Calibri"/>
                <w:b w:val="0"/>
                <w:i w:val="0"/>
                <w:color w:val="000000"/>
                <w:sz w:val="18"/>
              </w:rPr>
              <w:t>0.01</w:t>
            </w:r>
          </w:p>
        </w:tc>
        <w:tc>
          <w:tcPr>
            <w:tcW w:type="dxa" w:w="1337"/>
            <w:shd w:fill="F5F8FA"/>
          </w:tcPr>
          <w:p>
            <w:r>
              <w:rPr>
                <w:rFonts w:ascii="Calibri" w:hAnsi="Calibri"/>
                <w:b w:val="0"/>
                <w:i w:val="0"/>
                <w:color w:val="000000"/>
                <w:sz w:val="18"/>
              </w:rPr>
              <w:t>0.000</w:t>
            </w:r>
          </w:p>
        </w:tc>
      </w:tr>
      <w:tr>
        <w:tc>
          <w:tcPr>
            <w:tcW w:type="dxa" w:w="1337"/>
            <w:shd w:fill="FFFFFF"/>
          </w:tcPr>
          <w:p>
            <w:r>
              <w:rPr>
                <w:rFonts w:ascii="Calibri" w:hAnsi="Calibri"/>
                <w:b w:val="0"/>
                <w:i w:val="0"/>
                <w:color w:val="000000"/>
                <w:sz w:val="18"/>
              </w:rPr>
              <w:t>Strategy B (PCA-OU Reversion)</w:t>
            </w:r>
          </w:p>
        </w:tc>
        <w:tc>
          <w:tcPr>
            <w:tcW w:type="dxa" w:w="1337"/>
            <w:shd w:fill="FFFFFF"/>
          </w:tcPr>
          <w:p>
            <w:r>
              <w:rPr>
                <w:rFonts w:ascii="Calibri" w:hAnsi="Calibri"/>
                <w:b w:val="0"/>
                <w:i w:val="0"/>
                <w:color w:val="000000"/>
                <w:sz w:val="18"/>
              </w:rPr>
              <w:t>-23.18%</w:t>
            </w:r>
          </w:p>
        </w:tc>
        <w:tc>
          <w:tcPr>
            <w:tcW w:type="dxa" w:w="1337"/>
            <w:shd w:fill="FFFFFF"/>
          </w:tcPr>
          <w:p>
            <w:r>
              <w:rPr>
                <w:rFonts w:ascii="Calibri" w:hAnsi="Calibri"/>
                <w:b w:val="0"/>
                <w:i w:val="0"/>
                <w:color w:val="000000"/>
                <w:sz w:val="18"/>
              </w:rPr>
              <w:t>0.01</w:t>
            </w:r>
          </w:p>
        </w:tc>
        <w:tc>
          <w:tcPr>
            <w:tcW w:type="dxa" w:w="1337"/>
            <w:shd w:fill="FFFFFF"/>
          </w:tcPr>
          <w:p>
            <w:r>
              <w:rPr>
                <w:rFonts w:ascii="Calibri" w:hAnsi="Calibri"/>
                <w:b w:val="0"/>
                <w:i w:val="0"/>
                <w:color w:val="000000"/>
                <w:sz w:val="18"/>
              </w:rPr>
              <w:t>0.04</w:t>
            </w:r>
          </w:p>
        </w:tc>
        <w:tc>
          <w:tcPr>
            <w:tcW w:type="dxa" w:w="1337"/>
            <w:shd w:fill="FFFFFF"/>
          </w:tcPr>
          <w:p>
            <w:r>
              <w:rPr>
                <w:rFonts w:ascii="Calibri" w:hAnsi="Calibri"/>
                <w:b w:val="0"/>
                <w:i w:val="0"/>
                <w:color w:val="000000"/>
                <w:sz w:val="18"/>
              </w:rPr>
              <w:t>-0.04</w:t>
            </w:r>
          </w:p>
        </w:tc>
        <w:tc>
          <w:tcPr>
            <w:tcW w:type="dxa" w:w="1337"/>
            <w:shd w:fill="FFFFFF"/>
          </w:tcPr>
          <w:p>
            <w:r>
              <w:rPr>
                <w:rFonts w:ascii="Calibri" w:hAnsi="Calibri"/>
                <w:b w:val="0"/>
                <w:i w:val="0"/>
                <w:color w:val="000000"/>
                <w:sz w:val="18"/>
              </w:rPr>
              <w:t>-0.01</w:t>
            </w:r>
          </w:p>
        </w:tc>
        <w:tc>
          <w:tcPr>
            <w:tcW w:type="dxa" w:w="1337"/>
            <w:shd w:fill="FFFFFF"/>
          </w:tcPr>
          <w:p>
            <w:r>
              <w:rPr>
                <w:rFonts w:ascii="Calibri" w:hAnsi="Calibri"/>
                <w:b w:val="0"/>
                <w:i w:val="0"/>
                <w:color w:val="000000"/>
                <w:sz w:val="18"/>
              </w:rPr>
              <w:t>0.003</w:t>
            </w:r>
          </w:p>
        </w:tc>
      </w:tr>
      <w:tr>
        <w:tc>
          <w:tcPr>
            <w:tcW w:type="dxa" w:w="1337"/>
            <w:shd w:fill="F5F8FA"/>
          </w:tcPr>
          <w:p>
            <w:r>
              <w:rPr>
                <w:rFonts w:ascii="Calibri" w:hAnsi="Calibri"/>
                <w:b w:val="0"/>
                <w:i w:val="0"/>
                <w:color w:val="000000"/>
                <w:sz w:val="18"/>
              </w:rPr>
              <w:t>Strategy C (ML Walk-Forward)</w:t>
            </w:r>
          </w:p>
        </w:tc>
        <w:tc>
          <w:tcPr>
            <w:tcW w:type="dxa" w:w="1337"/>
            <w:shd w:fill="F5F8FA"/>
          </w:tcPr>
          <w:p>
            <w:r>
              <w:rPr>
                <w:rFonts w:ascii="Calibri" w:hAnsi="Calibri"/>
                <w:b w:val="0"/>
                <w:i w:val="0"/>
                <w:color w:val="000000"/>
                <w:sz w:val="18"/>
              </w:rPr>
              <w:t>-32.46%</w:t>
            </w:r>
          </w:p>
        </w:tc>
        <w:tc>
          <w:tcPr>
            <w:tcW w:type="dxa" w:w="1337"/>
            <w:shd w:fill="F5F8FA"/>
          </w:tcPr>
          <w:p>
            <w:r>
              <w:rPr>
                <w:rFonts w:ascii="Calibri" w:hAnsi="Calibri"/>
                <w:b w:val="0"/>
                <w:i w:val="0"/>
                <w:color w:val="000000"/>
                <w:sz w:val="18"/>
              </w:rPr>
              <w:t>-0.00</w:t>
            </w:r>
          </w:p>
        </w:tc>
        <w:tc>
          <w:tcPr>
            <w:tcW w:type="dxa" w:w="1337"/>
            <w:shd w:fill="F5F8FA"/>
          </w:tcPr>
          <w:p>
            <w:r>
              <w:rPr>
                <w:rFonts w:ascii="Calibri" w:hAnsi="Calibri"/>
                <w:b w:val="0"/>
                <w:i w:val="0"/>
                <w:color w:val="000000"/>
                <w:sz w:val="18"/>
              </w:rPr>
              <w:t>0.01</w:t>
            </w:r>
          </w:p>
        </w:tc>
        <w:tc>
          <w:tcPr>
            <w:tcW w:type="dxa" w:w="1337"/>
            <w:shd w:fill="F5F8FA"/>
          </w:tcPr>
          <w:p>
            <w:r>
              <w:rPr>
                <w:rFonts w:ascii="Calibri" w:hAnsi="Calibri"/>
                <w:b w:val="0"/>
                <w:i w:val="0"/>
                <w:color w:val="000000"/>
                <w:sz w:val="18"/>
              </w:rPr>
              <w:t>-0.02</w:t>
            </w:r>
          </w:p>
        </w:tc>
        <w:tc>
          <w:tcPr>
            <w:tcW w:type="dxa" w:w="1337"/>
            <w:shd w:fill="F5F8FA"/>
          </w:tcPr>
          <w:p>
            <w:r>
              <w:rPr>
                <w:rFonts w:ascii="Calibri" w:hAnsi="Calibri"/>
                <w:b w:val="0"/>
                <w:i w:val="0"/>
                <w:color w:val="000000"/>
                <w:sz w:val="18"/>
              </w:rPr>
              <w:t>0.01</w:t>
            </w:r>
          </w:p>
        </w:tc>
        <w:tc>
          <w:tcPr>
            <w:tcW w:type="dxa" w:w="1337"/>
            <w:shd w:fill="F5F8FA"/>
          </w:tcPr>
          <w:p>
            <w:r>
              <w:rPr>
                <w:rFonts w:ascii="Calibri" w:hAnsi="Calibri"/>
                <w:b w:val="0"/>
                <w:i w:val="0"/>
                <w:color w:val="000000"/>
                <w:sz w:val="18"/>
              </w:rPr>
              <w:t>0.001</w:t>
            </w:r>
          </w:p>
        </w:tc>
      </w:tr>
    </w:tbl>
    <w:p>
      <w:pPr>
        <w:spacing w:after="120" w:line="276" w:lineRule="auto"/>
      </w:pPr>
      <w:r>
        <w:rPr>
          <w:rFonts w:ascii="Calibri" w:hAnsi="Calibri"/>
          <w:b w:val="0"/>
          <w:i w:val="0"/>
          <w:color w:val="000000"/>
          <w:sz w:val="22"/>
        </w:rPr>
        <w:t>Across all three frameworks, market beta is statistically zero (|beta| &lt;= 0.01) and R^2 values remain below 0.3%, proving that strategy losses represent pure transaction friction drag superimposed on a market-neutral baseline.</w:t>
      </w:r>
    </w:p>
    <w:p>
      <w:pPr>
        <w:spacing w:before="280" w:after="120"/>
      </w:pPr>
      <w:r>
        <w:rPr>
          <w:rFonts w:ascii="Calibri" w:hAnsi="Calibri"/>
          <w:b/>
          <w:i w:val="0"/>
          <w:color w:val="003366"/>
          <w:sz w:val="28"/>
        </w:rPr>
        <w:t>6. Robustness Specifications and Placebo Tests</w:t>
      </w:r>
    </w:p>
    <w:p>
      <w:pPr>
        <w:spacing w:after="120" w:line="276" w:lineRule="auto"/>
      </w:pPr>
      <w:r>
        <w:rPr>
          <w:rFonts w:ascii="Calibri" w:hAnsi="Calibri"/>
          <w:b w:val="0"/>
          <w:i w:val="0"/>
          <w:color w:val="000000"/>
          <w:sz w:val="22"/>
        </w:rPr>
        <w:t>To protect against backtest overfitting and data-snooping, our empirical design implements six pre-registered placebo diagnostic tests (Planted cointegration, Random walk placebo, No-lookahead invariant, ML target permutation, Bitwise SHA256 reproducibility, and Synthetic OU calibration), all of which passed successfully.</w:t>
      </w:r>
    </w:p>
    <w:p>
      <w:pPr>
        <w:spacing w:after="120" w:line="276" w:lineRule="auto"/>
      </w:pPr>
      <w:r>
        <w:rPr>
          <w:rFonts w:ascii="Calibri" w:hAnsi="Calibri"/>
          <w:b w:val="0"/>
          <w:i w:val="0"/>
          <w:color w:val="000000"/>
          <w:sz w:val="22"/>
        </w:rPr>
        <w:t>Table 5 summarizes all 12 pre-registered model specifications evaluated in trial_registry.csv:</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3366"/>
          </w:tcPr>
          <w:p>
            <w:pPr>
              <w:jc w:val="center"/>
            </w:pPr>
            <w:r>
              <w:rPr>
                <w:rFonts w:ascii="Calibri" w:hAnsi="Calibri"/>
                <w:b/>
                <w:i w:val="0"/>
                <w:color w:val="FFFFFF"/>
                <w:sz w:val="19"/>
              </w:rPr>
              <w:t>Trial ID</w:t>
            </w:r>
          </w:p>
        </w:tc>
        <w:tc>
          <w:tcPr>
            <w:tcW w:type="dxa" w:w="1560"/>
            <w:shd w:fill="003366"/>
          </w:tcPr>
          <w:p>
            <w:pPr>
              <w:jc w:val="center"/>
            </w:pPr>
            <w:r>
              <w:rPr>
                <w:rFonts w:ascii="Calibri" w:hAnsi="Calibri"/>
                <w:b/>
                <w:i w:val="0"/>
                <w:color w:val="FFFFFF"/>
                <w:sz w:val="19"/>
              </w:rPr>
              <w:t>Specification Description</w:t>
            </w:r>
          </w:p>
        </w:tc>
        <w:tc>
          <w:tcPr>
            <w:tcW w:type="dxa" w:w="1560"/>
            <w:shd w:fill="003366"/>
          </w:tcPr>
          <w:p>
            <w:pPr>
              <w:jc w:val="center"/>
            </w:pPr>
            <w:r>
              <w:rPr>
                <w:rFonts w:ascii="Calibri" w:hAnsi="Calibri"/>
                <w:b/>
                <w:i w:val="0"/>
                <w:color w:val="FFFFFF"/>
                <w:sz w:val="19"/>
              </w:rPr>
              <w:t>Gross Sharpe</w:t>
            </w:r>
          </w:p>
        </w:tc>
        <w:tc>
          <w:tcPr>
            <w:tcW w:type="dxa" w:w="1560"/>
            <w:shd w:fill="003366"/>
          </w:tcPr>
          <w:p>
            <w:pPr>
              <w:jc w:val="center"/>
            </w:pPr>
            <w:r>
              <w:rPr>
                <w:rFonts w:ascii="Calibri" w:hAnsi="Calibri"/>
                <w:b/>
                <w:i w:val="0"/>
                <w:color w:val="FFFFFF"/>
                <w:sz w:val="19"/>
              </w:rPr>
              <w:t>Net Sharpe</w:t>
            </w:r>
          </w:p>
        </w:tc>
        <w:tc>
          <w:tcPr>
            <w:tcW w:type="dxa" w:w="1560"/>
            <w:shd w:fill="003366"/>
          </w:tcPr>
          <w:p>
            <w:pPr>
              <w:jc w:val="center"/>
            </w:pPr>
            <w:r>
              <w:rPr>
                <w:rFonts w:ascii="Calibri" w:hAnsi="Calibri"/>
                <w:b/>
                <w:i w:val="0"/>
                <w:color w:val="FFFFFF"/>
                <w:sz w:val="19"/>
              </w:rPr>
              <w:t>DSR</w:t>
            </w:r>
          </w:p>
        </w:tc>
        <w:tc>
          <w:tcPr>
            <w:tcW w:type="dxa" w:w="1560"/>
            <w:shd w:fill="003366"/>
          </w:tcPr>
          <w:p>
            <w:pPr>
              <w:jc w:val="center"/>
            </w:pPr>
            <w:r>
              <w:rPr>
                <w:rFonts w:ascii="Calibri" w:hAnsi="Calibri"/>
                <w:b/>
                <w:i w:val="0"/>
                <w:color w:val="FFFFFF"/>
                <w:sz w:val="19"/>
              </w:rPr>
              <w:t>BH FDR Sig</w:t>
            </w:r>
          </w:p>
        </w:tc>
      </w:tr>
      <w:tr>
        <w:tc>
          <w:tcPr>
            <w:tcW w:type="dxa" w:w="1560"/>
            <w:shd w:fill="F5F8FA"/>
          </w:tcPr>
          <w:p>
            <w:r>
              <w:rPr>
                <w:rFonts w:ascii="Calibri" w:hAnsi="Calibri"/>
                <w:b w:val="0"/>
                <w:i w:val="0"/>
                <w:color w:val="000000"/>
                <w:sz w:val="18"/>
              </w:rPr>
              <w:t>Strategy_A_Main</w:t>
            </w:r>
          </w:p>
        </w:tc>
        <w:tc>
          <w:tcPr>
            <w:tcW w:type="dxa" w:w="1560"/>
            <w:shd w:fill="F5F8FA"/>
          </w:tcPr>
          <w:p>
            <w:r>
              <w:rPr>
                <w:rFonts w:ascii="Calibri" w:hAnsi="Calibri"/>
                <w:b w:val="0"/>
                <w:i w:val="0"/>
                <w:color w:val="000000"/>
                <w:sz w:val="18"/>
              </w:rPr>
              <w:t>Gatev Top 20 Pairs (Baseline)</w:t>
            </w:r>
          </w:p>
        </w:tc>
        <w:tc>
          <w:tcPr>
            <w:tcW w:type="dxa" w:w="1560"/>
            <w:shd w:fill="F5F8FA"/>
          </w:tcPr>
          <w:p>
            <w:r>
              <w:rPr>
                <w:rFonts w:ascii="Calibri" w:hAnsi="Calibri"/>
                <w:b w:val="0"/>
                <w:i w:val="0"/>
                <w:color w:val="000000"/>
                <w:sz w:val="18"/>
              </w:rPr>
              <w:t>+0.95</w:t>
            </w:r>
          </w:p>
        </w:tc>
        <w:tc>
          <w:tcPr>
            <w:tcW w:type="dxa" w:w="1560"/>
            <w:shd w:fill="F5F8FA"/>
          </w:tcPr>
          <w:p>
            <w:r>
              <w:rPr>
                <w:rFonts w:ascii="Calibri" w:hAnsi="Calibri"/>
                <w:b w:val="0"/>
                <w:i w:val="0"/>
                <w:color w:val="000000"/>
                <w:sz w:val="18"/>
              </w:rPr>
              <w:t>-2.50</w:t>
            </w:r>
          </w:p>
        </w:tc>
        <w:tc>
          <w:tcPr>
            <w:tcW w:type="dxa" w:w="1560"/>
            <w:shd w:fill="F5F8FA"/>
          </w:tcPr>
          <w:p>
            <w:r>
              <w:rPr>
                <w:rFonts w:ascii="Calibri" w:hAnsi="Calibri"/>
                <w:b w:val="0"/>
                <w:i w:val="0"/>
                <w:color w:val="000000"/>
                <w:sz w:val="18"/>
              </w:rPr>
              <w:t>0.000</w:t>
            </w:r>
          </w:p>
        </w:tc>
        <w:tc>
          <w:tcPr>
            <w:tcW w:type="dxa" w:w="1560"/>
            <w:shd w:fill="F5F8FA"/>
          </w:tcPr>
          <w:p>
            <w:r>
              <w:rPr>
                <w:rFonts w:ascii="Calibri" w:hAnsi="Calibri"/>
                <w:b w:val="0"/>
                <w:i w:val="0"/>
                <w:color w:val="000000"/>
                <w:sz w:val="18"/>
              </w:rPr>
              <w:t>No</w:t>
            </w:r>
          </w:p>
        </w:tc>
      </w:tr>
      <w:tr>
        <w:tc>
          <w:tcPr>
            <w:tcW w:type="dxa" w:w="1560"/>
            <w:shd w:fill="FFFFFF"/>
          </w:tcPr>
          <w:p>
            <w:r>
              <w:rPr>
                <w:rFonts w:ascii="Calibri" w:hAnsi="Calibri"/>
                <w:b w:val="0"/>
                <w:i w:val="0"/>
                <w:color w:val="000000"/>
                <w:sz w:val="18"/>
              </w:rPr>
              <w:t>Strategy_A_R1_Top5</w:t>
            </w:r>
          </w:p>
        </w:tc>
        <w:tc>
          <w:tcPr>
            <w:tcW w:type="dxa" w:w="1560"/>
            <w:shd w:fill="FFFFFF"/>
          </w:tcPr>
          <w:p>
            <w:r>
              <w:rPr>
                <w:rFonts w:ascii="Calibri" w:hAnsi="Calibri"/>
                <w:b w:val="0"/>
                <w:i w:val="0"/>
                <w:color w:val="000000"/>
                <w:sz w:val="18"/>
              </w:rPr>
              <w:t>Gatev Top 5 Concentrated Pairs</w:t>
            </w:r>
          </w:p>
        </w:tc>
        <w:tc>
          <w:tcPr>
            <w:tcW w:type="dxa" w:w="1560"/>
            <w:shd w:fill="FFFFFF"/>
          </w:tcPr>
          <w:p>
            <w:r>
              <w:rPr>
                <w:rFonts w:ascii="Calibri" w:hAnsi="Calibri"/>
                <w:b w:val="0"/>
                <w:i w:val="0"/>
                <w:color w:val="000000"/>
                <w:sz w:val="18"/>
              </w:rPr>
              <w:t>+0.88</w:t>
            </w:r>
          </w:p>
        </w:tc>
        <w:tc>
          <w:tcPr>
            <w:tcW w:type="dxa" w:w="1560"/>
            <w:shd w:fill="FFFFFF"/>
          </w:tcPr>
          <w:p>
            <w:r>
              <w:rPr>
                <w:rFonts w:ascii="Calibri" w:hAnsi="Calibri"/>
                <w:b w:val="0"/>
                <w:i w:val="0"/>
                <w:color w:val="000000"/>
                <w:sz w:val="18"/>
              </w:rPr>
              <w:t>-2.82</w:t>
            </w:r>
          </w:p>
        </w:tc>
        <w:tc>
          <w:tcPr>
            <w:tcW w:type="dxa" w:w="1560"/>
            <w:shd w:fill="FFFFFF"/>
          </w:tcPr>
          <w:p>
            <w:r>
              <w:rPr>
                <w:rFonts w:ascii="Calibri" w:hAnsi="Calibri"/>
                <w:b w:val="0"/>
                <w:i w:val="0"/>
                <w:color w:val="000000"/>
                <w:sz w:val="18"/>
              </w:rPr>
              <w:t>0.000</w:t>
            </w:r>
          </w:p>
        </w:tc>
        <w:tc>
          <w:tcPr>
            <w:tcW w:type="dxa" w:w="1560"/>
            <w:shd w:fill="FFFFFF"/>
          </w:tcPr>
          <w:p>
            <w:r>
              <w:rPr>
                <w:rFonts w:ascii="Calibri" w:hAnsi="Calibri"/>
                <w:b w:val="0"/>
                <w:i w:val="0"/>
                <w:color w:val="000000"/>
                <w:sz w:val="18"/>
              </w:rPr>
              <w:t>No</w:t>
            </w:r>
          </w:p>
        </w:tc>
      </w:tr>
      <w:tr>
        <w:tc>
          <w:tcPr>
            <w:tcW w:type="dxa" w:w="1560"/>
            <w:shd w:fill="F5F8FA"/>
          </w:tcPr>
          <w:p>
            <w:r>
              <w:rPr>
                <w:rFonts w:ascii="Calibri" w:hAnsi="Calibri"/>
                <w:b w:val="0"/>
                <w:i w:val="0"/>
                <w:color w:val="000000"/>
                <w:sz w:val="18"/>
              </w:rPr>
              <w:t>Strategy_A_R2_SameDay</w:t>
            </w:r>
          </w:p>
        </w:tc>
        <w:tc>
          <w:tcPr>
            <w:tcW w:type="dxa" w:w="1560"/>
            <w:shd w:fill="F5F8FA"/>
          </w:tcPr>
          <w:p>
            <w:r>
              <w:rPr>
                <w:rFonts w:ascii="Calibri" w:hAnsi="Calibri"/>
                <w:b w:val="0"/>
                <w:i w:val="0"/>
                <w:color w:val="000000"/>
                <w:sz w:val="18"/>
              </w:rPr>
              <w:t>Gatev Same-Day Execution</w:t>
            </w:r>
          </w:p>
        </w:tc>
        <w:tc>
          <w:tcPr>
            <w:tcW w:type="dxa" w:w="1560"/>
            <w:shd w:fill="F5F8FA"/>
          </w:tcPr>
          <w:p>
            <w:r>
              <w:rPr>
                <w:rFonts w:ascii="Calibri" w:hAnsi="Calibri"/>
                <w:b w:val="0"/>
                <w:i w:val="0"/>
                <w:color w:val="000000"/>
                <w:sz w:val="18"/>
              </w:rPr>
              <w:t>+1.42</w:t>
            </w:r>
          </w:p>
        </w:tc>
        <w:tc>
          <w:tcPr>
            <w:tcW w:type="dxa" w:w="1560"/>
            <w:shd w:fill="F5F8FA"/>
          </w:tcPr>
          <w:p>
            <w:r>
              <w:rPr>
                <w:rFonts w:ascii="Calibri" w:hAnsi="Calibri"/>
                <w:b w:val="0"/>
                <w:i w:val="0"/>
                <w:color w:val="000000"/>
                <w:sz w:val="18"/>
              </w:rPr>
              <w:t>-1.84</w:t>
            </w:r>
          </w:p>
        </w:tc>
        <w:tc>
          <w:tcPr>
            <w:tcW w:type="dxa" w:w="1560"/>
            <w:shd w:fill="F5F8FA"/>
          </w:tcPr>
          <w:p>
            <w:r>
              <w:rPr>
                <w:rFonts w:ascii="Calibri" w:hAnsi="Calibri"/>
                <w:b w:val="0"/>
                <w:i w:val="0"/>
                <w:color w:val="000000"/>
                <w:sz w:val="18"/>
              </w:rPr>
              <w:t>0.000</w:t>
            </w:r>
          </w:p>
        </w:tc>
        <w:tc>
          <w:tcPr>
            <w:tcW w:type="dxa" w:w="1560"/>
            <w:shd w:fill="F5F8FA"/>
          </w:tcPr>
          <w:p>
            <w:r>
              <w:rPr>
                <w:rFonts w:ascii="Calibri" w:hAnsi="Calibri"/>
                <w:b w:val="0"/>
                <w:i w:val="0"/>
                <w:color w:val="000000"/>
                <w:sz w:val="18"/>
              </w:rPr>
              <w:t>No</w:t>
            </w:r>
          </w:p>
        </w:tc>
      </w:tr>
      <w:tr>
        <w:tc>
          <w:tcPr>
            <w:tcW w:type="dxa" w:w="1560"/>
            <w:shd w:fill="FFFFFF"/>
          </w:tcPr>
          <w:p>
            <w:r>
              <w:rPr>
                <w:rFonts w:ascii="Calibri" w:hAnsi="Calibri"/>
                <w:b w:val="0"/>
                <w:i w:val="0"/>
                <w:color w:val="000000"/>
                <w:sz w:val="18"/>
              </w:rPr>
              <w:t>Strategy_A_R3_Sector</w:t>
            </w:r>
          </w:p>
        </w:tc>
        <w:tc>
          <w:tcPr>
            <w:tcW w:type="dxa" w:w="1560"/>
            <w:shd w:fill="FFFFFF"/>
          </w:tcPr>
          <w:p>
            <w:r>
              <w:rPr>
                <w:rFonts w:ascii="Calibri" w:hAnsi="Calibri"/>
                <w:b w:val="0"/>
                <w:i w:val="0"/>
                <w:color w:val="000000"/>
                <w:sz w:val="18"/>
              </w:rPr>
              <w:t>Gatev Within-Sector Pairs Only</w:t>
            </w:r>
          </w:p>
        </w:tc>
        <w:tc>
          <w:tcPr>
            <w:tcW w:type="dxa" w:w="1560"/>
            <w:shd w:fill="FFFFFF"/>
          </w:tcPr>
          <w:p>
            <w:r>
              <w:rPr>
                <w:rFonts w:ascii="Calibri" w:hAnsi="Calibri"/>
                <w:b w:val="0"/>
                <w:i w:val="0"/>
                <w:color w:val="000000"/>
                <w:sz w:val="18"/>
              </w:rPr>
              <w:t>+0.76</w:t>
            </w:r>
          </w:p>
        </w:tc>
        <w:tc>
          <w:tcPr>
            <w:tcW w:type="dxa" w:w="1560"/>
            <w:shd w:fill="FFFFFF"/>
          </w:tcPr>
          <w:p>
            <w:r>
              <w:rPr>
                <w:rFonts w:ascii="Calibri" w:hAnsi="Calibri"/>
                <w:b w:val="0"/>
                <w:i w:val="0"/>
                <w:color w:val="000000"/>
                <w:sz w:val="18"/>
              </w:rPr>
              <w:t>-2.94</w:t>
            </w:r>
          </w:p>
        </w:tc>
        <w:tc>
          <w:tcPr>
            <w:tcW w:type="dxa" w:w="1560"/>
            <w:shd w:fill="FFFFFF"/>
          </w:tcPr>
          <w:p>
            <w:r>
              <w:rPr>
                <w:rFonts w:ascii="Calibri" w:hAnsi="Calibri"/>
                <w:b w:val="0"/>
                <w:i w:val="0"/>
                <w:color w:val="000000"/>
                <w:sz w:val="18"/>
              </w:rPr>
              <w:t>0.000</w:t>
            </w:r>
          </w:p>
        </w:tc>
        <w:tc>
          <w:tcPr>
            <w:tcW w:type="dxa" w:w="1560"/>
            <w:shd w:fill="FFFFFF"/>
          </w:tcPr>
          <w:p>
            <w:r>
              <w:rPr>
                <w:rFonts w:ascii="Calibri" w:hAnsi="Calibri"/>
                <w:b w:val="0"/>
                <w:i w:val="0"/>
                <w:color w:val="000000"/>
                <w:sz w:val="18"/>
              </w:rPr>
              <w:t>No</w:t>
            </w:r>
          </w:p>
        </w:tc>
      </w:tr>
      <w:tr>
        <w:tc>
          <w:tcPr>
            <w:tcW w:type="dxa" w:w="1560"/>
            <w:shd w:fill="F5F8FA"/>
          </w:tcPr>
          <w:p>
            <w:r>
              <w:rPr>
                <w:rFonts w:ascii="Calibri" w:hAnsi="Calibri"/>
                <w:b w:val="0"/>
                <w:i w:val="0"/>
                <w:color w:val="000000"/>
                <w:sz w:val="18"/>
              </w:rPr>
              <w:t>Strategy_B_Main</w:t>
            </w:r>
          </w:p>
        </w:tc>
        <w:tc>
          <w:tcPr>
            <w:tcW w:type="dxa" w:w="1560"/>
            <w:shd w:fill="F5F8FA"/>
          </w:tcPr>
          <w:p>
            <w:r>
              <w:rPr>
                <w:rFonts w:ascii="Calibri" w:hAnsi="Calibri"/>
                <w:b w:val="0"/>
                <w:i w:val="0"/>
                <w:color w:val="000000"/>
                <w:sz w:val="18"/>
              </w:rPr>
              <w:t>PCA-OU k=5 Factors (Baseline)</w:t>
            </w:r>
          </w:p>
        </w:tc>
        <w:tc>
          <w:tcPr>
            <w:tcW w:type="dxa" w:w="1560"/>
            <w:shd w:fill="F5F8FA"/>
          </w:tcPr>
          <w:p>
            <w:r>
              <w:rPr>
                <w:rFonts w:ascii="Calibri" w:hAnsi="Calibri"/>
                <w:b w:val="0"/>
                <w:i w:val="0"/>
                <w:color w:val="000000"/>
                <w:sz w:val="18"/>
              </w:rPr>
              <w:t>+1.28</w:t>
            </w:r>
          </w:p>
        </w:tc>
        <w:tc>
          <w:tcPr>
            <w:tcW w:type="dxa" w:w="1560"/>
            <w:shd w:fill="F5F8FA"/>
          </w:tcPr>
          <w:p>
            <w:r>
              <w:rPr>
                <w:rFonts w:ascii="Calibri" w:hAnsi="Calibri"/>
                <w:b w:val="0"/>
                <w:i w:val="0"/>
                <w:color w:val="000000"/>
                <w:sz w:val="18"/>
              </w:rPr>
              <w:t>-1.62</w:t>
            </w:r>
          </w:p>
        </w:tc>
        <w:tc>
          <w:tcPr>
            <w:tcW w:type="dxa" w:w="1560"/>
            <w:shd w:fill="F5F8FA"/>
          </w:tcPr>
          <w:p>
            <w:r>
              <w:rPr>
                <w:rFonts w:ascii="Calibri" w:hAnsi="Calibri"/>
                <w:b w:val="0"/>
                <w:i w:val="0"/>
                <w:color w:val="000000"/>
                <w:sz w:val="18"/>
              </w:rPr>
              <w:t>0.000</w:t>
            </w:r>
          </w:p>
        </w:tc>
        <w:tc>
          <w:tcPr>
            <w:tcW w:type="dxa" w:w="1560"/>
            <w:shd w:fill="F5F8FA"/>
          </w:tcPr>
          <w:p>
            <w:r>
              <w:rPr>
                <w:rFonts w:ascii="Calibri" w:hAnsi="Calibri"/>
                <w:b w:val="0"/>
                <w:i w:val="0"/>
                <w:color w:val="000000"/>
                <w:sz w:val="18"/>
              </w:rPr>
              <w:t>No</w:t>
            </w:r>
          </w:p>
        </w:tc>
      </w:tr>
      <w:tr>
        <w:tc>
          <w:tcPr>
            <w:tcW w:type="dxa" w:w="1560"/>
            <w:shd w:fill="FFFFFF"/>
          </w:tcPr>
          <w:p>
            <w:r>
              <w:rPr>
                <w:rFonts w:ascii="Calibri" w:hAnsi="Calibri"/>
                <w:b w:val="0"/>
                <w:i w:val="0"/>
                <w:color w:val="000000"/>
                <w:sz w:val="18"/>
              </w:rPr>
              <w:t>Strategy_B_R4_k3</w:t>
            </w:r>
          </w:p>
        </w:tc>
        <w:tc>
          <w:tcPr>
            <w:tcW w:type="dxa" w:w="1560"/>
            <w:shd w:fill="FFFFFF"/>
          </w:tcPr>
          <w:p>
            <w:r>
              <w:rPr>
                <w:rFonts w:ascii="Calibri" w:hAnsi="Calibri"/>
                <w:b w:val="0"/>
                <w:i w:val="0"/>
                <w:color w:val="000000"/>
                <w:sz w:val="18"/>
              </w:rPr>
              <w:t>PCA-OU k=3 Factors</w:t>
            </w:r>
          </w:p>
        </w:tc>
        <w:tc>
          <w:tcPr>
            <w:tcW w:type="dxa" w:w="1560"/>
            <w:shd w:fill="FFFFFF"/>
          </w:tcPr>
          <w:p>
            <w:r>
              <w:rPr>
                <w:rFonts w:ascii="Calibri" w:hAnsi="Calibri"/>
                <w:b w:val="0"/>
                <w:i w:val="0"/>
                <w:color w:val="000000"/>
                <w:sz w:val="18"/>
              </w:rPr>
              <w:t>+1.15</w:t>
            </w:r>
          </w:p>
        </w:tc>
        <w:tc>
          <w:tcPr>
            <w:tcW w:type="dxa" w:w="1560"/>
            <w:shd w:fill="FFFFFF"/>
          </w:tcPr>
          <w:p>
            <w:r>
              <w:rPr>
                <w:rFonts w:ascii="Calibri" w:hAnsi="Calibri"/>
                <w:b w:val="0"/>
                <w:i w:val="0"/>
                <w:color w:val="000000"/>
                <w:sz w:val="18"/>
              </w:rPr>
              <w:t>-1.78</w:t>
            </w:r>
          </w:p>
        </w:tc>
        <w:tc>
          <w:tcPr>
            <w:tcW w:type="dxa" w:w="1560"/>
            <w:shd w:fill="FFFFFF"/>
          </w:tcPr>
          <w:p>
            <w:r>
              <w:rPr>
                <w:rFonts w:ascii="Calibri" w:hAnsi="Calibri"/>
                <w:b w:val="0"/>
                <w:i w:val="0"/>
                <w:color w:val="000000"/>
                <w:sz w:val="18"/>
              </w:rPr>
              <w:t>0.000</w:t>
            </w:r>
          </w:p>
        </w:tc>
        <w:tc>
          <w:tcPr>
            <w:tcW w:type="dxa" w:w="1560"/>
            <w:shd w:fill="FFFFFF"/>
          </w:tcPr>
          <w:p>
            <w:r>
              <w:rPr>
                <w:rFonts w:ascii="Calibri" w:hAnsi="Calibri"/>
                <w:b w:val="0"/>
                <w:i w:val="0"/>
                <w:color w:val="000000"/>
                <w:sz w:val="18"/>
              </w:rPr>
              <w:t>No</w:t>
            </w:r>
          </w:p>
        </w:tc>
      </w:tr>
      <w:tr>
        <w:tc>
          <w:tcPr>
            <w:tcW w:type="dxa" w:w="1560"/>
            <w:shd w:fill="F5F8FA"/>
          </w:tcPr>
          <w:p>
            <w:r>
              <w:rPr>
                <w:rFonts w:ascii="Calibri" w:hAnsi="Calibri"/>
                <w:b w:val="0"/>
                <w:i w:val="0"/>
                <w:color w:val="000000"/>
                <w:sz w:val="18"/>
              </w:rPr>
              <w:t>Strategy_B_R5_k8</w:t>
            </w:r>
          </w:p>
        </w:tc>
        <w:tc>
          <w:tcPr>
            <w:tcW w:type="dxa" w:w="1560"/>
            <w:shd w:fill="F5F8FA"/>
          </w:tcPr>
          <w:p>
            <w:r>
              <w:rPr>
                <w:rFonts w:ascii="Calibri" w:hAnsi="Calibri"/>
                <w:b w:val="0"/>
                <w:i w:val="0"/>
                <w:color w:val="000000"/>
                <w:sz w:val="18"/>
              </w:rPr>
              <w:t>PCA-OU k=8 Factors</w:t>
            </w:r>
          </w:p>
        </w:tc>
        <w:tc>
          <w:tcPr>
            <w:tcW w:type="dxa" w:w="1560"/>
            <w:shd w:fill="F5F8FA"/>
          </w:tcPr>
          <w:p>
            <w:r>
              <w:rPr>
                <w:rFonts w:ascii="Calibri" w:hAnsi="Calibri"/>
                <w:b w:val="0"/>
                <w:i w:val="0"/>
                <w:color w:val="000000"/>
                <w:sz w:val="18"/>
              </w:rPr>
              <w:t>+1.34</w:t>
            </w:r>
          </w:p>
        </w:tc>
        <w:tc>
          <w:tcPr>
            <w:tcW w:type="dxa" w:w="1560"/>
            <w:shd w:fill="F5F8FA"/>
          </w:tcPr>
          <w:p>
            <w:r>
              <w:rPr>
                <w:rFonts w:ascii="Calibri" w:hAnsi="Calibri"/>
                <w:b w:val="0"/>
                <w:i w:val="0"/>
                <w:color w:val="000000"/>
                <w:sz w:val="18"/>
              </w:rPr>
              <w:t>-1.55</w:t>
            </w:r>
          </w:p>
        </w:tc>
        <w:tc>
          <w:tcPr>
            <w:tcW w:type="dxa" w:w="1560"/>
            <w:shd w:fill="F5F8FA"/>
          </w:tcPr>
          <w:p>
            <w:r>
              <w:rPr>
                <w:rFonts w:ascii="Calibri" w:hAnsi="Calibri"/>
                <w:b w:val="0"/>
                <w:i w:val="0"/>
                <w:color w:val="000000"/>
                <w:sz w:val="18"/>
              </w:rPr>
              <w:t>0.000</w:t>
            </w:r>
          </w:p>
        </w:tc>
        <w:tc>
          <w:tcPr>
            <w:tcW w:type="dxa" w:w="1560"/>
            <w:shd w:fill="F5F8FA"/>
          </w:tcPr>
          <w:p>
            <w:r>
              <w:rPr>
                <w:rFonts w:ascii="Calibri" w:hAnsi="Calibri"/>
                <w:b w:val="0"/>
                <w:i w:val="0"/>
                <w:color w:val="000000"/>
                <w:sz w:val="18"/>
              </w:rPr>
              <w:t>No</w:t>
            </w:r>
          </w:p>
        </w:tc>
      </w:tr>
      <w:tr>
        <w:tc>
          <w:tcPr>
            <w:tcW w:type="dxa" w:w="1560"/>
            <w:shd w:fill="FFFFFF"/>
          </w:tcPr>
          <w:p>
            <w:r>
              <w:rPr>
                <w:rFonts w:ascii="Calibri" w:hAnsi="Calibri"/>
                <w:b w:val="0"/>
                <w:i w:val="0"/>
                <w:color w:val="000000"/>
                <w:sz w:val="18"/>
              </w:rPr>
              <w:t>Strategy_B_R6_Thresh20</w:t>
            </w:r>
          </w:p>
        </w:tc>
        <w:tc>
          <w:tcPr>
            <w:tcW w:type="dxa" w:w="1560"/>
            <w:shd w:fill="FFFFFF"/>
          </w:tcPr>
          <w:p>
            <w:r>
              <w:rPr>
                <w:rFonts w:ascii="Calibri" w:hAnsi="Calibri"/>
                <w:b w:val="0"/>
                <w:i w:val="0"/>
                <w:color w:val="000000"/>
                <w:sz w:val="18"/>
              </w:rPr>
              <w:t>PCA-OU Entry Threshold s=2.0</w:t>
            </w:r>
          </w:p>
        </w:tc>
        <w:tc>
          <w:tcPr>
            <w:tcW w:type="dxa" w:w="1560"/>
            <w:shd w:fill="FFFFFF"/>
          </w:tcPr>
          <w:p>
            <w:r>
              <w:rPr>
                <w:rFonts w:ascii="Calibri" w:hAnsi="Calibri"/>
                <w:b w:val="0"/>
                <w:i w:val="0"/>
                <w:color w:val="000000"/>
                <w:sz w:val="18"/>
              </w:rPr>
              <w:t>+1.02</w:t>
            </w:r>
          </w:p>
        </w:tc>
        <w:tc>
          <w:tcPr>
            <w:tcW w:type="dxa" w:w="1560"/>
            <w:shd w:fill="FFFFFF"/>
          </w:tcPr>
          <w:p>
            <w:r>
              <w:rPr>
                <w:rFonts w:ascii="Calibri" w:hAnsi="Calibri"/>
                <w:b w:val="0"/>
                <w:i w:val="0"/>
                <w:color w:val="000000"/>
                <w:sz w:val="18"/>
              </w:rPr>
              <w:t>-1.91</w:t>
            </w:r>
          </w:p>
        </w:tc>
        <w:tc>
          <w:tcPr>
            <w:tcW w:type="dxa" w:w="1560"/>
            <w:shd w:fill="FFFFFF"/>
          </w:tcPr>
          <w:p>
            <w:r>
              <w:rPr>
                <w:rFonts w:ascii="Calibri" w:hAnsi="Calibri"/>
                <w:b w:val="0"/>
                <w:i w:val="0"/>
                <w:color w:val="000000"/>
                <w:sz w:val="18"/>
              </w:rPr>
              <w:t>0.000</w:t>
            </w:r>
          </w:p>
        </w:tc>
        <w:tc>
          <w:tcPr>
            <w:tcW w:type="dxa" w:w="1560"/>
            <w:shd w:fill="FFFFFF"/>
          </w:tcPr>
          <w:p>
            <w:r>
              <w:rPr>
                <w:rFonts w:ascii="Calibri" w:hAnsi="Calibri"/>
                <w:b w:val="0"/>
                <w:i w:val="0"/>
                <w:color w:val="000000"/>
                <w:sz w:val="18"/>
              </w:rPr>
              <w:t>No</w:t>
            </w:r>
          </w:p>
        </w:tc>
      </w:tr>
      <w:tr>
        <w:tc>
          <w:tcPr>
            <w:tcW w:type="dxa" w:w="1560"/>
            <w:shd w:fill="F5F8FA"/>
          </w:tcPr>
          <w:p>
            <w:r>
              <w:rPr>
                <w:rFonts w:ascii="Calibri" w:hAnsi="Calibri"/>
                <w:b w:val="0"/>
                <w:i w:val="0"/>
                <w:color w:val="000000"/>
                <w:sz w:val="18"/>
              </w:rPr>
              <w:t>Strategy_C_Ridge_Main</w:t>
            </w:r>
          </w:p>
        </w:tc>
        <w:tc>
          <w:tcPr>
            <w:tcW w:type="dxa" w:w="1560"/>
            <w:shd w:fill="F5F8FA"/>
          </w:tcPr>
          <w:p>
            <w:r>
              <w:rPr>
                <w:rFonts w:ascii="Calibri" w:hAnsi="Calibri"/>
                <w:b w:val="0"/>
                <w:i w:val="0"/>
                <w:color w:val="000000"/>
                <w:sz w:val="18"/>
              </w:rPr>
              <w:t>ML Walk-Forward Ridge (Baseline)</w:t>
            </w:r>
          </w:p>
        </w:tc>
        <w:tc>
          <w:tcPr>
            <w:tcW w:type="dxa" w:w="1560"/>
            <w:shd w:fill="F5F8FA"/>
          </w:tcPr>
          <w:p>
            <w:r>
              <w:rPr>
                <w:rFonts w:ascii="Calibri" w:hAnsi="Calibri"/>
                <w:b w:val="0"/>
                <w:i w:val="0"/>
                <w:color w:val="000000"/>
                <w:sz w:val="18"/>
              </w:rPr>
              <w:t>+1.54</w:t>
            </w:r>
          </w:p>
        </w:tc>
        <w:tc>
          <w:tcPr>
            <w:tcW w:type="dxa" w:w="1560"/>
            <w:shd w:fill="F5F8FA"/>
          </w:tcPr>
          <w:p>
            <w:r>
              <w:rPr>
                <w:rFonts w:ascii="Calibri" w:hAnsi="Calibri"/>
                <w:b w:val="0"/>
                <w:i w:val="0"/>
                <w:color w:val="000000"/>
                <w:sz w:val="18"/>
              </w:rPr>
              <w:t>-2.96</w:t>
            </w:r>
          </w:p>
        </w:tc>
        <w:tc>
          <w:tcPr>
            <w:tcW w:type="dxa" w:w="1560"/>
            <w:shd w:fill="F5F8FA"/>
          </w:tcPr>
          <w:p>
            <w:r>
              <w:rPr>
                <w:rFonts w:ascii="Calibri" w:hAnsi="Calibri"/>
                <w:b w:val="0"/>
                <w:i w:val="0"/>
                <w:color w:val="000000"/>
                <w:sz w:val="18"/>
              </w:rPr>
              <w:t>0.000</w:t>
            </w:r>
          </w:p>
        </w:tc>
        <w:tc>
          <w:tcPr>
            <w:tcW w:type="dxa" w:w="1560"/>
            <w:shd w:fill="F5F8FA"/>
          </w:tcPr>
          <w:p>
            <w:r>
              <w:rPr>
                <w:rFonts w:ascii="Calibri" w:hAnsi="Calibri"/>
                <w:b w:val="0"/>
                <w:i w:val="0"/>
                <w:color w:val="000000"/>
                <w:sz w:val="18"/>
              </w:rPr>
              <w:t>No</w:t>
            </w:r>
          </w:p>
        </w:tc>
      </w:tr>
      <w:tr>
        <w:tc>
          <w:tcPr>
            <w:tcW w:type="dxa" w:w="1560"/>
            <w:shd w:fill="FFFFFF"/>
          </w:tcPr>
          <w:p>
            <w:r>
              <w:rPr>
                <w:rFonts w:ascii="Calibri" w:hAnsi="Calibri"/>
                <w:b w:val="0"/>
                <w:i w:val="0"/>
                <w:color w:val="000000"/>
                <w:sz w:val="18"/>
              </w:rPr>
              <w:t>Strategy_C_R7_GBM</w:t>
            </w:r>
          </w:p>
        </w:tc>
        <w:tc>
          <w:tcPr>
            <w:tcW w:type="dxa" w:w="1560"/>
            <w:shd w:fill="FFFFFF"/>
          </w:tcPr>
          <w:p>
            <w:r>
              <w:rPr>
                <w:rFonts w:ascii="Calibri" w:hAnsi="Calibri"/>
                <w:b w:val="0"/>
                <w:i w:val="0"/>
                <w:color w:val="000000"/>
                <w:sz w:val="18"/>
              </w:rPr>
              <w:t>ML HistGBM Non-Linear Trees</w:t>
            </w:r>
          </w:p>
        </w:tc>
        <w:tc>
          <w:tcPr>
            <w:tcW w:type="dxa" w:w="1560"/>
            <w:shd w:fill="FFFFFF"/>
          </w:tcPr>
          <w:p>
            <w:r>
              <w:rPr>
                <w:rFonts w:ascii="Calibri" w:hAnsi="Calibri"/>
                <w:b w:val="0"/>
                <w:i w:val="0"/>
                <w:color w:val="000000"/>
                <w:sz w:val="18"/>
              </w:rPr>
              <w:t>+1.48</w:t>
            </w:r>
          </w:p>
        </w:tc>
        <w:tc>
          <w:tcPr>
            <w:tcW w:type="dxa" w:w="1560"/>
            <w:shd w:fill="FFFFFF"/>
          </w:tcPr>
          <w:p>
            <w:r>
              <w:rPr>
                <w:rFonts w:ascii="Calibri" w:hAnsi="Calibri"/>
                <w:b w:val="0"/>
                <w:i w:val="0"/>
                <w:color w:val="000000"/>
                <w:sz w:val="18"/>
              </w:rPr>
              <w:t>-3.42</w:t>
            </w:r>
          </w:p>
        </w:tc>
        <w:tc>
          <w:tcPr>
            <w:tcW w:type="dxa" w:w="1560"/>
            <w:shd w:fill="FFFFFF"/>
          </w:tcPr>
          <w:p>
            <w:r>
              <w:rPr>
                <w:rFonts w:ascii="Calibri" w:hAnsi="Calibri"/>
                <w:b w:val="0"/>
                <w:i w:val="0"/>
                <w:color w:val="000000"/>
                <w:sz w:val="18"/>
              </w:rPr>
              <w:t>0.000</w:t>
            </w:r>
          </w:p>
        </w:tc>
        <w:tc>
          <w:tcPr>
            <w:tcW w:type="dxa" w:w="1560"/>
            <w:shd w:fill="FFFFFF"/>
          </w:tcPr>
          <w:p>
            <w:r>
              <w:rPr>
                <w:rFonts w:ascii="Calibri" w:hAnsi="Calibri"/>
                <w:b w:val="0"/>
                <w:i w:val="0"/>
                <w:color w:val="000000"/>
                <w:sz w:val="18"/>
              </w:rPr>
              <w:t>No</w:t>
            </w:r>
          </w:p>
        </w:tc>
      </w:tr>
      <w:tr>
        <w:tc>
          <w:tcPr>
            <w:tcW w:type="dxa" w:w="1560"/>
            <w:shd w:fill="F5F8FA"/>
          </w:tcPr>
          <w:p>
            <w:r>
              <w:rPr>
                <w:rFonts w:ascii="Calibri" w:hAnsi="Calibri"/>
                <w:b w:val="0"/>
                <w:i w:val="0"/>
                <w:color w:val="000000"/>
                <w:sz w:val="18"/>
              </w:rPr>
              <w:t>Strategy_C_R8_MLP</w:t>
            </w:r>
          </w:p>
        </w:tc>
        <w:tc>
          <w:tcPr>
            <w:tcW w:type="dxa" w:w="1560"/>
            <w:shd w:fill="F5F8FA"/>
          </w:tcPr>
          <w:p>
            <w:r>
              <w:rPr>
                <w:rFonts w:ascii="Calibri" w:hAnsi="Calibri"/>
                <w:b w:val="0"/>
                <w:i w:val="0"/>
                <w:color w:val="000000"/>
                <w:sz w:val="18"/>
              </w:rPr>
              <w:t>ML Neural Network (MLP)</w:t>
            </w:r>
          </w:p>
        </w:tc>
        <w:tc>
          <w:tcPr>
            <w:tcW w:type="dxa" w:w="1560"/>
            <w:shd w:fill="F5F8FA"/>
          </w:tcPr>
          <w:p>
            <w:r>
              <w:rPr>
                <w:rFonts w:ascii="Calibri" w:hAnsi="Calibri"/>
                <w:b w:val="0"/>
                <w:i w:val="0"/>
                <w:color w:val="000000"/>
                <w:sz w:val="18"/>
              </w:rPr>
              <w:t>+1.39</w:t>
            </w:r>
          </w:p>
        </w:tc>
        <w:tc>
          <w:tcPr>
            <w:tcW w:type="dxa" w:w="1560"/>
            <w:shd w:fill="F5F8FA"/>
          </w:tcPr>
          <w:p>
            <w:r>
              <w:rPr>
                <w:rFonts w:ascii="Calibri" w:hAnsi="Calibri"/>
                <w:b w:val="0"/>
                <w:i w:val="0"/>
                <w:color w:val="000000"/>
                <w:sz w:val="18"/>
              </w:rPr>
              <w:t>-3.65</w:t>
            </w:r>
          </w:p>
        </w:tc>
        <w:tc>
          <w:tcPr>
            <w:tcW w:type="dxa" w:w="1560"/>
            <w:shd w:fill="F5F8FA"/>
          </w:tcPr>
          <w:p>
            <w:r>
              <w:rPr>
                <w:rFonts w:ascii="Calibri" w:hAnsi="Calibri"/>
                <w:b w:val="0"/>
                <w:i w:val="0"/>
                <w:color w:val="000000"/>
                <w:sz w:val="18"/>
              </w:rPr>
              <w:t>0.000</w:t>
            </w:r>
          </w:p>
        </w:tc>
        <w:tc>
          <w:tcPr>
            <w:tcW w:type="dxa" w:w="1560"/>
            <w:shd w:fill="F5F8FA"/>
          </w:tcPr>
          <w:p>
            <w:r>
              <w:rPr>
                <w:rFonts w:ascii="Calibri" w:hAnsi="Calibri"/>
                <w:b w:val="0"/>
                <w:i w:val="0"/>
                <w:color w:val="000000"/>
                <w:sz w:val="18"/>
              </w:rPr>
              <w:t>No</w:t>
            </w:r>
          </w:p>
        </w:tc>
      </w:tr>
      <w:tr>
        <w:tc>
          <w:tcPr>
            <w:tcW w:type="dxa" w:w="1560"/>
            <w:shd w:fill="FFFFFF"/>
          </w:tcPr>
          <w:p>
            <w:r>
              <w:rPr>
                <w:rFonts w:ascii="Calibri" w:hAnsi="Calibri"/>
                <w:b w:val="0"/>
                <w:i w:val="0"/>
                <w:color w:val="000000"/>
                <w:sz w:val="18"/>
              </w:rPr>
              <w:t>Strategy_C_R11_1Day</w:t>
            </w:r>
          </w:p>
        </w:tc>
        <w:tc>
          <w:tcPr>
            <w:tcW w:type="dxa" w:w="1560"/>
            <w:shd w:fill="FFFFFF"/>
          </w:tcPr>
          <w:p>
            <w:r>
              <w:rPr>
                <w:rFonts w:ascii="Calibri" w:hAnsi="Calibri"/>
                <w:b w:val="0"/>
                <w:i w:val="0"/>
                <w:color w:val="000000"/>
                <w:sz w:val="18"/>
              </w:rPr>
              <w:t>ML 1-Day Rapid Rebalance</w:t>
            </w:r>
          </w:p>
        </w:tc>
        <w:tc>
          <w:tcPr>
            <w:tcW w:type="dxa" w:w="1560"/>
            <w:shd w:fill="FFFFFF"/>
          </w:tcPr>
          <w:p>
            <w:r>
              <w:rPr>
                <w:rFonts w:ascii="Calibri" w:hAnsi="Calibri"/>
                <w:b w:val="0"/>
                <w:i w:val="0"/>
                <w:color w:val="000000"/>
                <w:sz w:val="18"/>
              </w:rPr>
              <w:t>+1.61</w:t>
            </w:r>
          </w:p>
        </w:tc>
        <w:tc>
          <w:tcPr>
            <w:tcW w:type="dxa" w:w="1560"/>
            <w:shd w:fill="FFFFFF"/>
          </w:tcPr>
          <w:p>
            <w:r>
              <w:rPr>
                <w:rFonts w:ascii="Calibri" w:hAnsi="Calibri"/>
                <w:b w:val="0"/>
                <w:i w:val="0"/>
                <w:color w:val="000000"/>
                <w:sz w:val="18"/>
              </w:rPr>
              <w:t>-4.88</w:t>
            </w:r>
          </w:p>
        </w:tc>
        <w:tc>
          <w:tcPr>
            <w:tcW w:type="dxa" w:w="1560"/>
            <w:shd w:fill="FFFFFF"/>
          </w:tcPr>
          <w:p>
            <w:r>
              <w:rPr>
                <w:rFonts w:ascii="Calibri" w:hAnsi="Calibri"/>
                <w:b w:val="0"/>
                <w:i w:val="0"/>
                <w:color w:val="000000"/>
                <w:sz w:val="18"/>
              </w:rPr>
              <w:t>0.000</w:t>
            </w:r>
          </w:p>
        </w:tc>
        <w:tc>
          <w:tcPr>
            <w:tcW w:type="dxa" w:w="1560"/>
            <w:shd w:fill="FFFFFF"/>
          </w:tcPr>
          <w:p>
            <w:r>
              <w:rPr>
                <w:rFonts w:ascii="Calibri" w:hAnsi="Calibri"/>
                <w:b w:val="0"/>
                <w:i w:val="0"/>
                <w:color w:val="000000"/>
                <w:sz w:val="18"/>
              </w:rPr>
              <w:t>No</w:t>
            </w:r>
          </w:p>
        </w:tc>
      </w:tr>
    </w:tbl>
    <w:p>
      <w:pPr>
        <w:spacing w:after="120" w:line="276" w:lineRule="auto"/>
      </w:pPr>
      <w:r>
        <w:rPr>
          <w:rFonts w:ascii="Calibri" w:hAnsi="Calibri"/>
          <w:b w:val="0"/>
          <w:i w:val="0"/>
          <w:color w:val="000000"/>
          <w:sz w:val="22"/>
        </w:rPr>
        <w:t>Accounting for the number of tested trials (N=12), the negative skewness of net returns, and return variance (Bailey &amp; Lopez de Prado 2014), the Deflated Sharpe Ratio (DSR) for net returns across all 12 variations is 0.000. Under the Benjamini &amp; Hochberg (1995) FDR threshold at alpha=0.05, zero specifications survive.</w:t>
      </w:r>
    </w:p>
    <w:p>
      <w:pPr>
        <w:spacing w:before="280" w:after="120"/>
      </w:pPr>
      <w:r>
        <w:rPr>
          <w:rFonts w:ascii="Calibri" w:hAnsi="Calibri"/>
          <w:b/>
          <w:i w:val="0"/>
          <w:color w:val="003366"/>
          <w:sz w:val="28"/>
        </w:rPr>
        <w:t>7. Conclusion and Practical Implications</w:t>
      </w:r>
    </w:p>
    <w:p>
      <w:pPr>
        <w:spacing w:after="120" w:line="276" w:lineRule="auto"/>
      </w:pPr>
      <w:r>
        <w:rPr>
          <w:rFonts w:ascii="Calibri" w:hAnsi="Calibri"/>
          <w:b w:val="0"/>
          <w:i w:val="0"/>
          <w:color w:val="000000"/>
          <w:sz w:val="22"/>
        </w:rPr>
        <w:t>This study provides the first comprehensive, long-horizon (2010–2025) empirical analysis of statistical arbitrage in Indian single-stock F&amp;O markets across classical distance pairs, PCA factor residual models, and walk-forward machine learning architectures. Our investigation yields four primary insights:</w:t>
      </w:r>
    </w:p>
    <w:p>
      <w:pPr>
        <w:spacing w:after="80" w:line="276" w:lineRule="auto"/>
        <w:ind w:left="360"/>
      </w:pPr>
      <w:r>
        <w:rPr>
          <w:rFonts w:ascii="Calibri" w:hAnsi="Calibri"/>
          <w:b/>
          <w:i w:val="0"/>
          <w:color w:val="000000"/>
          <w:sz w:val="22"/>
        </w:rPr>
        <w:t xml:space="preserve">1. </w:t>
      </w:r>
      <w:r>
        <w:rPr>
          <w:rFonts w:ascii="Calibri" w:hAnsi="Calibri"/>
          <w:b/>
          <w:i w:val="0"/>
          <w:color w:val="000000"/>
          <w:sz w:val="22"/>
        </w:rPr>
        <w:t xml:space="preserve">Statistical vs. Economic Significance: </w:t>
      </w:r>
      <w:r>
        <w:rPr>
          <w:rFonts w:ascii="Calibri" w:hAnsi="Calibri"/>
          <w:b w:val="0"/>
          <w:i w:val="0"/>
          <w:color w:val="000000"/>
          <w:sz w:val="22"/>
        </w:rPr>
        <w:t>Econometric tests confirm that mean-reversion anomalies exist in Indian equities with overwhelming statistical significance in frictionless returns (t-stats &gt; 4.0). However, the economic rent generated by these signals is insufficient to overcome Indian market microstructure friction.</w:t>
      </w:r>
    </w:p>
    <w:p>
      <w:pPr>
        <w:spacing w:after="80" w:line="276" w:lineRule="auto"/>
        <w:ind w:left="360"/>
      </w:pPr>
      <w:r>
        <w:rPr>
          <w:rFonts w:ascii="Calibri" w:hAnsi="Calibri"/>
          <w:b/>
          <w:i w:val="0"/>
          <w:color w:val="000000"/>
          <w:sz w:val="22"/>
        </w:rPr>
        <w:t xml:space="preserve">2. </w:t>
      </w:r>
      <w:r>
        <w:rPr>
          <w:rFonts w:ascii="Calibri" w:hAnsi="Calibri"/>
          <w:b/>
          <w:i w:val="0"/>
          <w:color w:val="000000"/>
          <w:sz w:val="22"/>
        </w:rPr>
        <w:t xml:space="preserve">The Microstructure Tax Wedge: </w:t>
      </w:r>
      <w:r>
        <w:rPr>
          <w:rFonts w:ascii="Calibri" w:hAnsi="Calibri"/>
          <w:b w:val="0"/>
          <w:i w:val="0"/>
          <w:color w:val="000000"/>
          <w:sz w:val="22"/>
        </w:rPr>
        <w:t>Unlike US markets where transactional frictions are measured in single basis points, statutory Indian levies (STT, Stamp Duty, GST, exchange fees) combined with real-world bid-ask slippage impose 12.0 to 18.5 basis points of friction per round trip. Across high-turnover mean-reversion strategies, this friction creates an annualized performance drag exceeding 18%, turning double-digit gross gains into consistent net capital depletion.</w:t>
      </w:r>
    </w:p>
    <w:p>
      <w:pPr>
        <w:spacing w:after="80" w:line="276" w:lineRule="auto"/>
        <w:ind w:left="360"/>
      </w:pPr>
      <w:r>
        <w:rPr>
          <w:rFonts w:ascii="Calibri" w:hAnsi="Calibri"/>
          <w:b/>
          <w:i w:val="0"/>
          <w:color w:val="000000"/>
          <w:sz w:val="22"/>
        </w:rPr>
        <w:t xml:space="preserve">3. </w:t>
      </w:r>
      <w:r>
        <w:rPr>
          <w:rFonts w:ascii="Calibri" w:hAnsi="Calibri"/>
          <w:b/>
          <w:i w:val="0"/>
          <w:color w:val="000000"/>
          <w:sz w:val="22"/>
        </w:rPr>
        <w:t xml:space="preserve">The Limits of Machine Learning: </w:t>
      </w:r>
      <w:r>
        <w:rPr>
          <w:rFonts w:ascii="Calibri" w:hAnsi="Calibri"/>
          <w:b w:val="0"/>
          <w:i w:val="0"/>
          <w:color w:val="000000"/>
          <w:sz w:val="22"/>
        </w:rPr>
        <w:t>Advanced machine learning models succeed in raising gross Sharpe ratios from +1.28 to +1.54. However, because non-linear models identify shorter-lived mispricings, they increase portfolio turnover by 34%, resulting in even steeper net losses. Machine learning cannot compensate for execution friction when the friction scales linearly with portfolio turnover (Novy-Marx &amp; Velikov 2016).</w:t>
      </w:r>
    </w:p>
    <w:p>
      <w:pPr>
        <w:spacing w:after="80" w:line="276" w:lineRule="auto"/>
        <w:ind w:left="360"/>
      </w:pPr>
      <w:r>
        <w:rPr>
          <w:rFonts w:ascii="Calibri" w:hAnsi="Calibri"/>
          <w:b/>
          <w:i w:val="0"/>
          <w:color w:val="000000"/>
          <w:sz w:val="22"/>
        </w:rPr>
        <w:t xml:space="preserve">4. </w:t>
      </w:r>
      <w:r>
        <w:rPr>
          <w:rFonts w:ascii="Calibri" w:hAnsi="Calibri"/>
          <w:b/>
          <w:i w:val="0"/>
          <w:color w:val="000000"/>
          <w:sz w:val="22"/>
        </w:rPr>
        <w:t xml:space="preserve">Repurposing as Execution Alpha: </w:t>
      </w:r>
      <w:r>
        <w:rPr>
          <w:rFonts w:ascii="Calibri" w:hAnsi="Calibri"/>
          <w:b w:val="0"/>
          <w:i w:val="0"/>
          <w:color w:val="000000"/>
          <w:sz w:val="22"/>
        </w:rPr>
        <w:t>While standalone daily statistical arbitrage is unviable in Indian single-stock F&amp;O, the residual signals retain immense commercial utility when repurposed as an execution timing tool. Fundamental and momentum portfolio managers can harvest 20 to 40 basis points in execution savings by delaying or accelerating planned trades based on Ornstein-Uhlenbeck residual displacement.</w:t>
      </w:r>
    </w:p>
    <w:p>
      <w:pPr>
        <w:spacing w:after="120" w:line="276" w:lineRule="auto"/>
      </w:pPr>
      <w:r>
        <w:rPr>
          <w:rFonts w:ascii="Calibri" w:hAnsi="Calibri"/>
          <w:b w:val="0"/>
          <w:i w:val="0"/>
          <w:color w:val="000000"/>
          <w:sz w:val="22"/>
        </w:rPr>
        <w:t>Finally, from a regulatory perspective, the October 1, 2024 increase in Securities Transaction Tax further elevates the barrier to liquidity provision. As statutory taxes rise, quantitative market-neutral capital withdraws from single-stock arbitrage, reducing price efficiency in the cross-section of Indian equities.</w:t>
      </w:r>
    </w:p>
    <w:p>
      <w:pPr>
        <w:spacing w:before="280" w:after="120"/>
      </w:pPr>
      <w:r>
        <w:rPr>
          <w:rFonts w:ascii="Calibri" w:hAnsi="Calibri"/>
          <w:b/>
          <w:i w:val="0"/>
          <w:color w:val="003366"/>
          <w:sz w:val="28"/>
        </w:rPr>
        <w:t>References</w:t>
      </w:r>
    </w:p>
    <w:p>
      <w:pPr>
        <w:spacing w:after="80" w:line="276" w:lineRule="auto"/>
        <w:ind w:left="360"/>
      </w:pPr>
      <w:r>
        <w:rPr>
          <w:rFonts w:ascii="Calibri" w:hAnsi="Calibri"/>
          <w:b w:val="0"/>
          <w:i w:val="0"/>
          <w:color w:val="000000"/>
          <w:sz w:val="19"/>
        </w:rPr>
        <w:t>Agarwalla, S. K., Jacob, J., &amp; Varma, J. R. (2014). Four factor model in Indian equities market. SSRN Electronic Journal, 2337777.</w:t>
      </w:r>
    </w:p>
    <w:p>
      <w:pPr>
        <w:spacing w:after="80" w:line="276" w:lineRule="auto"/>
        <w:ind w:left="360"/>
      </w:pPr>
      <w:r>
        <w:rPr>
          <w:rFonts w:ascii="Calibri" w:hAnsi="Calibri"/>
          <w:b w:val="0"/>
          <w:i w:val="0"/>
          <w:color w:val="000000"/>
          <w:sz w:val="19"/>
        </w:rPr>
        <w:t>Amihud, Y. (2002). Illiquidity and stock returns: cross-section and time-series effects. Journal of Financial Markets, 5(1), 31-56.</w:t>
      </w:r>
    </w:p>
    <w:p>
      <w:pPr>
        <w:spacing w:after="80" w:line="276" w:lineRule="auto"/>
        <w:ind w:left="360"/>
      </w:pPr>
      <w:r>
        <w:rPr>
          <w:rFonts w:ascii="Calibri" w:hAnsi="Calibri"/>
          <w:b w:val="0"/>
          <w:i w:val="0"/>
          <w:color w:val="000000"/>
          <w:sz w:val="19"/>
        </w:rPr>
        <w:t>Avellaneda, M., &amp; Lee, J.-H. (2010). Statistical arbitrage in the US equities market. Quantitative Finance, 10(7), 761-782.</w:t>
      </w:r>
    </w:p>
    <w:p>
      <w:pPr>
        <w:spacing w:after="80" w:line="276" w:lineRule="auto"/>
        <w:ind w:left="360"/>
      </w:pPr>
      <w:r>
        <w:rPr>
          <w:rFonts w:ascii="Calibri" w:hAnsi="Calibri"/>
          <w:b w:val="0"/>
          <w:i w:val="0"/>
          <w:color w:val="000000"/>
          <w:sz w:val="19"/>
        </w:rPr>
        <w:t>Bailey, D. H., &amp; Lopez de Prado, M. (2014). The deflated Sharpe ratio: correcting for selection bias, backtest overfitting and non-normality. Journal of Portfolio Management, 40(5), 94-107.</w:t>
      </w:r>
    </w:p>
    <w:p>
      <w:pPr>
        <w:spacing w:after="80" w:line="276" w:lineRule="auto"/>
        <w:ind w:left="360"/>
      </w:pPr>
      <w:r>
        <w:rPr>
          <w:rFonts w:ascii="Calibri" w:hAnsi="Calibri"/>
          <w:b w:val="0"/>
          <w:i w:val="0"/>
          <w:color w:val="000000"/>
          <w:sz w:val="19"/>
        </w:rPr>
        <w:t>Benjamini, Y., &amp; Hochberg, Y. (1995). Controlling the false discovery rate: a practical and powerful approach to multiple testing. Journal of the Royal Statistical Society: Series B, 57(1), 289-300.</w:t>
      </w:r>
    </w:p>
    <w:p>
      <w:pPr>
        <w:spacing w:after="80" w:line="276" w:lineRule="auto"/>
        <w:ind w:left="360"/>
      </w:pPr>
      <w:r>
        <w:rPr>
          <w:rFonts w:ascii="Calibri" w:hAnsi="Calibri"/>
          <w:b w:val="0"/>
          <w:i w:val="0"/>
          <w:color w:val="000000"/>
          <w:sz w:val="19"/>
        </w:rPr>
        <w:t>Bose, S. (2007). The securities transaction tax: history and assessment. Money &amp; Finance, 3(2), 25-50.</w:t>
      </w:r>
    </w:p>
    <w:p>
      <w:pPr>
        <w:spacing w:after="80" w:line="276" w:lineRule="auto"/>
        <w:ind w:left="360"/>
      </w:pPr>
      <w:r>
        <w:rPr>
          <w:rFonts w:ascii="Calibri" w:hAnsi="Calibri"/>
          <w:b w:val="0"/>
          <w:i w:val="0"/>
          <w:color w:val="000000"/>
          <w:sz w:val="19"/>
        </w:rPr>
        <w:t>Carhart, M. M. (1997). On persistence in mutual fund performance. Journal of Finance, 52(1), 57-82.</w:t>
      </w:r>
    </w:p>
    <w:p>
      <w:pPr>
        <w:spacing w:after="80" w:line="276" w:lineRule="auto"/>
        <w:ind w:left="360"/>
      </w:pPr>
      <w:r>
        <w:rPr>
          <w:rFonts w:ascii="Calibri" w:hAnsi="Calibri"/>
          <w:b w:val="0"/>
          <w:i w:val="0"/>
          <w:color w:val="000000"/>
          <w:sz w:val="19"/>
        </w:rPr>
        <w:t>Do, B., &amp; Faff, R. (2010). Does pairs trading work anymore? Electronic Journal of Applied Statistical Analysis: Decision Support Systems, 1(1), 60-70.</w:t>
      </w:r>
    </w:p>
    <w:p>
      <w:pPr>
        <w:spacing w:after="80" w:line="276" w:lineRule="auto"/>
        <w:ind w:left="360"/>
      </w:pPr>
      <w:r>
        <w:rPr>
          <w:rFonts w:ascii="Calibri" w:hAnsi="Calibri"/>
          <w:b w:val="0"/>
          <w:i w:val="0"/>
          <w:color w:val="000000"/>
          <w:sz w:val="19"/>
        </w:rPr>
        <w:t>Do, B., &amp; Faff, R. (2012). Are pairs trading profits robust to trading costs? Journal of Financial Research, 35(2), 261-287.</w:t>
      </w:r>
    </w:p>
    <w:p>
      <w:pPr>
        <w:spacing w:after="80" w:line="276" w:lineRule="auto"/>
        <w:ind w:left="360"/>
      </w:pPr>
      <w:r>
        <w:rPr>
          <w:rFonts w:ascii="Calibri" w:hAnsi="Calibri"/>
          <w:b w:val="0"/>
          <w:i w:val="0"/>
          <w:color w:val="000000"/>
          <w:sz w:val="19"/>
        </w:rPr>
        <w:t>Fama, E. F., &amp; French, K. R. (1993). Common risk factors in the returns on stocks and bonds. Journal of Financial Economics, 33(1), 3-56.</w:t>
      </w:r>
    </w:p>
    <w:p>
      <w:pPr>
        <w:spacing w:after="80" w:line="276" w:lineRule="auto"/>
        <w:ind w:left="360"/>
      </w:pPr>
      <w:r>
        <w:rPr>
          <w:rFonts w:ascii="Calibri" w:hAnsi="Calibri"/>
          <w:b w:val="0"/>
          <w:i w:val="0"/>
          <w:color w:val="000000"/>
          <w:sz w:val="19"/>
        </w:rPr>
        <w:t>Frazzini, A., Israel, R., &amp; Moskowitz, T. J. (2018). Trading costs. SSRN Electronic Journal, 3229719.</w:t>
      </w:r>
    </w:p>
    <w:p>
      <w:pPr>
        <w:spacing w:after="80" w:line="276" w:lineRule="auto"/>
        <w:ind w:left="360"/>
      </w:pPr>
      <w:r>
        <w:rPr>
          <w:rFonts w:ascii="Calibri" w:hAnsi="Calibri"/>
          <w:b w:val="0"/>
          <w:i w:val="0"/>
          <w:color w:val="000000"/>
          <w:sz w:val="19"/>
        </w:rPr>
        <w:t>Gatev, E., Goetzmann, W. N., &amp; Rouwenhorst, K. G. (2006). Pairs trading: Performance of a relative-value arbitrage rule. Review of Financial Studies, 19(3), 797-827.</w:t>
      </w:r>
    </w:p>
    <w:p>
      <w:pPr>
        <w:spacing w:after="80" w:line="276" w:lineRule="auto"/>
        <w:ind w:left="360"/>
      </w:pPr>
      <w:r>
        <w:rPr>
          <w:rFonts w:ascii="Calibri" w:hAnsi="Calibri"/>
          <w:b w:val="0"/>
          <w:i w:val="0"/>
          <w:color w:val="000000"/>
          <w:sz w:val="19"/>
        </w:rPr>
        <w:t>Gu, S., Kelly, B., &amp; Xiu, D. (2020). Empirical asset pricing via machine learning. Review of Financial Studies, 33(5), 2223-2273.</w:t>
      </w:r>
    </w:p>
    <w:p>
      <w:pPr>
        <w:spacing w:after="80" w:line="276" w:lineRule="auto"/>
        <w:ind w:left="360"/>
      </w:pPr>
      <w:r>
        <w:rPr>
          <w:rFonts w:ascii="Calibri" w:hAnsi="Calibri"/>
          <w:b w:val="0"/>
          <w:i w:val="0"/>
          <w:color w:val="000000"/>
          <w:sz w:val="19"/>
        </w:rPr>
        <w:t>Guijarro-Ordonez, J., Pelger, M., &amp; Gregori, G. (2021). Deep learning statistical arbitrage. arXiv preprint arXiv:2106.00128.</w:t>
      </w:r>
    </w:p>
    <w:p>
      <w:pPr>
        <w:spacing w:after="80" w:line="276" w:lineRule="auto"/>
        <w:ind w:left="360"/>
      </w:pPr>
      <w:r>
        <w:rPr>
          <w:rFonts w:ascii="Calibri" w:hAnsi="Calibri"/>
          <w:b w:val="0"/>
          <w:i w:val="0"/>
          <w:color w:val="000000"/>
          <w:sz w:val="19"/>
        </w:rPr>
        <w:t>Harvey, C. R., Liu, Y., &amp; Zhu, H. (2016). ... and the cross-section of expected returns. Review of Financial Studies, 29(1), 5-68.</w:t>
      </w:r>
    </w:p>
    <w:p>
      <w:pPr>
        <w:spacing w:after="80" w:line="276" w:lineRule="auto"/>
        <w:ind w:left="360"/>
      </w:pPr>
      <w:r>
        <w:rPr>
          <w:rFonts w:ascii="Calibri" w:hAnsi="Calibri"/>
          <w:b w:val="0"/>
          <w:i w:val="0"/>
          <w:color w:val="000000"/>
          <w:sz w:val="19"/>
        </w:rPr>
        <w:t>Hou, K., Xue, C., &amp; Zhang, L. (2020). Replicating anomalies. Review of Financial Studies, 33(5), 2019-2133.</w:t>
      </w:r>
    </w:p>
    <w:p>
      <w:pPr>
        <w:spacing w:after="80" w:line="276" w:lineRule="auto"/>
        <w:ind w:left="360"/>
      </w:pPr>
      <w:r>
        <w:rPr>
          <w:rFonts w:ascii="Calibri" w:hAnsi="Calibri"/>
          <w:b w:val="0"/>
          <w:i w:val="0"/>
          <w:color w:val="000000"/>
          <w:sz w:val="19"/>
        </w:rPr>
        <w:t>Huck, N., &amp; Afawubo, K. (2015). Pairs trading and selection methods: is co-integration superior? Applied Economics, 47(6), 599-613.</w:t>
      </w:r>
    </w:p>
    <w:p>
      <w:pPr>
        <w:spacing w:after="80" w:line="276" w:lineRule="auto"/>
        <w:ind w:left="360"/>
      </w:pPr>
      <w:r>
        <w:rPr>
          <w:rFonts w:ascii="Calibri" w:hAnsi="Calibri"/>
          <w:b w:val="0"/>
          <w:i w:val="0"/>
          <w:color w:val="000000"/>
          <w:sz w:val="19"/>
        </w:rPr>
        <w:t>Jacobs, H., &amp; Weber, M. (2015). On the determinants of pairs trading profitability. Journal of Financial Markets, 23, 39-57.</w:t>
      </w:r>
    </w:p>
    <w:p>
      <w:pPr>
        <w:spacing w:after="80" w:line="276" w:lineRule="auto"/>
        <w:ind w:left="360"/>
      </w:pPr>
      <w:r>
        <w:rPr>
          <w:rFonts w:ascii="Calibri" w:hAnsi="Calibri"/>
          <w:b w:val="0"/>
          <w:i w:val="0"/>
          <w:color w:val="000000"/>
          <w:sz w:val="19"/>
        </w:rPr>
        <w:t>Krauss, C. (2017). Statistical arbitrage pairs trading strategies: Review and outlook. Journal of Economic Surveys, 31(2), 513-545.</w:t>
      </w:r>
    </w:p>
    <w:p>
      <w:pPr>
        <w:spacing w:after="80" w:line="276" w:lineRule="auto"/>
        <w:ind w:left="360"/>
      </w:pPr>
      <w:r>
        <w:rPr>
          <w:rFonts w:ascii="Calibri" w:hAnsi="Calibri"/>
          <w:b w:val="0"/>
          <w:i w:val="0"/>
          <w:color w:val="000000"/>
          <w:sz w:val="19"/>
        </w:rPr>
        <w:t>Lesmond, D. A., Ogden, J. P., &amp; Trzcinka, C. A. (1999). A new measure of transaction costs. Review of Financial Studies, 12(5), 1113-1141.</w:t>
      </w:r>
    </w:p>
    <w:p>
      <w:pPr>
        <w:spacing w:after="80" w:line="276" w:lineRule="auto"/>
        <w:ind w:left="360"/>
      </w:pPr>
      <w:r>
        <w:rPr>
          <w:rFonts w:ascii="Calibri" w:hAnsi="Calibri"/>
          <w:b w:val="0"/>
          <w:i w:val="0"/>
          <w:color w:val="000000"/>
          <w:sz w:val="19"/>
        </w:rPr>
        <w:t>Lopez de Prado, M. (2018). Advances in Financial Machine Learning. John Wiley &amp; Sons.</w:t>
      </w:r>
    </w:p>
    <w:p>
      <w:pPr>
        <w:spacing w:after="80" w:line="276" w:lineRule="auto"/>
        <w:ind w:left="360"/>
      </w:pPr>
      <w:r>
        <w:rPr>
          <w:rFonts w:ascii="Calibri" w:hAnsi="Calibri"/>
          <w:b w:val="0"/>
          <w:i w:val="0"/>
          <w:color w:val="000000"/>
          <w:sz w:val="19"/>
        </w:rPr>
        <w:t>McLean, R. D., &amp; Pontiff, J. (2016). Does academic research destroy stock return predictability? Journal of Finance, 71(1), 5-32.</w:t>
      </w:r>
    </w:p>
    <w:p>
      <w:pPr>
        <w:spacing w:after="80" w:line="276" w:lineRule="auto"/>
        <w:ind w:left="360"/>
      </w:pPr>
      <w:r>
        <w:rPr>
          <w:rFonts w:ascii="Calibri" w:hAnsi="Calibri"/>
          <w:b w:val="0"/>
          <w:i w:val="0"/>
          <w:color w:val="000000"/>
          <w:sz w:val="19"/>
        </w:rPr>
        <w:t>Newey, W. K., &amp; West, K. D. (1987). A simple, positive semi-definite, heteroskedasticity and autocorrelation consistent covariance matrix. Econometrica, 55(3), 703-708.</w:t>
      </w:r>
    </w:p>
    <w:p>
      <w:pPr>
        <w:spacing w:after="80" w:line="276" w:lineRule="auto"/>
        <w:ind w:left="360"/>
      </w:pPr>
      <w:r>
        <w:rPr>
          <w:rFonts w:ascii="Calibri" w:hAnsi="Calibri"/>
          <w:b w:val="0"/>
          <w:i w:val="0"/>
          <w:color w:val="000000"/>
          <w:sz w:val="19"/>
        </w:rPr>
        <w:t>Novy-Marx, R., &amp; Velikov, M. (2016). A taxonomy of anomalies and their trading costs. Review of Financial Studies, 29(1), 104-147.</w:t>
      </w:r>
    </w:p>
    <w:p>
      <w:pPr>
        <w:spacing w:after="80" w:line="276" w:lineRule="auto"/>
        <w:ind w:left="360"/>
      </w:pPr>
      <w:r>
        <w:rPr>
          <w:rFonts w:ascii="Calibri" w:hAnsi="Calibri"/>
          <w:b w:val="0"/>
          <w:i w:val="0"/>
          <w:color w:val="000000"/>
          <w:sz w:val="19"/>
        </w:rPr>
        <w:t>Politis, D. N., &amp; Romano, J. P. (1994). The stationary bootstrap. Journal of the American Statistical Association, 89(428), 1303-1313.</w:t>
      </w:r>
    </w:p>
    <w:p>
      <w:pPr>
        <w:spacing w:after="80" w:line="276" w:lineRule="auto"/>
        <w:ind w:left="360"/>
      </w:pPr>
      <w:r>
        <w:rPr>
          <w:rFonts w:ascii="Calibri" w:hAnsi="Calibri"/>
          <w:b w:val="0"/>
          <w:i w:val="0"/>
          <w:color w:val="000000"/>
          <w:sz w:val="19"/>
        </w:rPr>
        <w:t>Roll, R. (1984). A simple implicit measure of the effective bid-ask spread in an efficient market. Journal of Finance, 39(4), 1127-1139.</w:t>
      </w:r>
    </w:p>
    <w:p>
      <w:pPr>
        <w:spacing w:after="80" w:line="276" w:lineRule="auto"/>
        <w:ind w:left="360"/>
      </w:pPr>
      <w:r>
        <w:rPr>
          <w:rFonts w:ascii="Calibri" w:hAnsi="Calibri"/>
          <w:b w:val="0"/>
          <w:i w:val="0"/>
          <w:color w:val="000000"/>
          <w:sz w:val="19"/>
        </w:rPr>
        <w:t>Vidyamurthy, G. (2004). Pairs Trading: Quantitative Methods and Analysis. John Wiley &amp; Sons.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