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80"/>
        <w:jc w:val="center"/>
      </w:pPr>
      <w:r>
        <w:rPr>
          <w:rFonts w:ascii="Times New Roman" w:hAnsi="Times New Roman"/>
          <w:b/>
          <w:sz w:val="30"/>
        </w:rPr>
        <w:t>A PROJECT REPORT ON</w:t>
        <w:br/>
      </w:r>
      <w:r>
        <w:rPr>
          <w:rFonts w:ascii="Times New Roman" w:hAnsi="Times New Roman"/>
          <w:b/>
          <w:color w:val="0F2942"/>
          <w:sz w:val="36"/>
        </w:rPr>
        <w:t>“GLOBAL TRADE ANALYTICS AND PREDICTIVE INTELLIGENCE PLATFORM”</w:t>
        <w:br/>
      </w:r>
    </w:p>
    <w:p>
      <w:pPr>
        <w:spacing w:after="320"/>
        <w:jc w:val="center"/>
      </w:pPr>
      <w:r>
        <w:rPr>
          <w:rFonts w:ascii="Times New Roman" w:hAnsi="Times New Roman"/>
          <w:b/>
          <w:sz w:val="24"/>
        </w:rPr>
        <w:t>SUBMITTED TO</w:t>
        <w:br/>
        <w:t>SHIVAJI UNIVERSITY, KOLHAPUR</w:t>
        <w:br/>
        <w:t>IN PARTIAL FULFILLMENT OF THE REQUIREMENTS</w:t>
        <w:br/>
        <w:t>FOR THE AWARD OF THE DEGREE OF</w:t>
        <w:br/>
        <w:t>BACHELOR OF TECHNOLOGY IN COMPUTER SCIENCE AND ENGINEERING</w:t>
        <w:br/>
      </w:r>
    </w:p>
    <w:p>
      <w:pPr>
        <w:spacing w:after="280"/>
        <w:jc w:val="center"/>
      </w:pPr>
      <w:r>
        <w:rPr>
          <w:rFonts w:ascii="Times New Roman" w:hAnsi="Times New Roman"/>
          <w:b/>
          <w:sz w:val="24"/>
        </w:rPr>
        <w:t>SUBMITTED BY:</w:t>
        <w:br/>
      </w:r>
    </w:p>
    <w:tbl>
      <w:tblPr>
        <w:tblW w:type="auto" w:w="0"/>
        <w:jc w:val="center"/>
        <w:tblLook w:firstColumn="1" w:firstRow="1" w:lastColumn="0" w:lastRow="0" w:noHBand="0" w:noVBand="1" w:val="04A0"/>
      </w:tblPr>
      <w:tblGrid>
        <w:gridCol w:w="3120"/>
        <w:gridCol w:w="3120"/>
        <w:gridCol w:w="3120"/>
      </w:tblGrid>
      <w:tr>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Title</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Name of Student</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PRN No.</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DHAIRYASHEEL GAIKWAD</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2103001</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PRATIK PATIL</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2103014</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MISS.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SANIKA KULKARNI</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2103028</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MISS.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ANANYA JOSHI</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2103042</w:t>
            </w:r>
          </w:p>
        </w:tc>
      </w:tr>
    </w:tbl>
    <w:p>
      <w:pPr>
        <w:spacing w:before="320" w:after="400"/>
        <w:jc w:val="center"/>
      </w:pPr>
      <w:r>
        <w:rPr>
          <w:rFonts w:ascii="Times New Roman" w:hAnsi="Times New Roman"/>
          <w:b/>
          <w:sz w:val="24"/>
        </w:rPr>
        <w:t>UNDER THE GUIDANCE OF</w:t>
        <w:br/>
      </w:r>
      <w:r>
        <w:rPr>
          <w:rFonts w:ascii="Times New Roman" w:hAnsi="Times New Roman"/>
          <w:b/>
          <w:color w:val="0F2942"/>
          <w:sz w:val="26"/>
        </w:rPr>
        <w:t>DR. P. M. GAVALI</w:t>
        <w:br/>
        <w:t>(Associate Professor, Dept. of CSE)</w:t>
      </w:r>
    </w:p>
    <w:p>
      <w:pPr>
        <w:spacing w:before="280" w:after="0"/>
        <w:jc w:val="center"/>
      </w:pPr>
      <w:r>
        <w:rPr>
          <w:rFonts w:ascii="Times New Roman" w:hAnsi="Times New Roman"/>
          <w:b/>
          <w:sz w:val="24"/>
        </w:rPr>
        <w:t>DEPARTMENT OF COMPUTER SCIENCE AND ENGINEERING</w:t>
        <w:br/>
        <w:t>DKTE SOCIETY’S TEXTILE AND ENGINEERING INSTITUTE, ICHALKARANJI</w:t>
        <w:br/>
        <w:t>(AN AUTONOMOUS INSTITUTE - NAAC ACCREDITED WITH 'A+' GRADE)</w:t>
        <w:br/>
        <w:t>2026-2027</w:t>
      </w:r>
    </w:p>
    <w:p>
      <w:r>
        <w:br w:type="page"/>
      </w:r>
    </w:p>
    <w:p>
      <w:pPr>
        <w:jc w:val="center"/>
      </w:pPr>
      <w:r>
        <w:rPr>
          <w:rFonts w:ascii="Times New Roman" w:hAnsi="Times New Roman"/>
          <w:b/>
          <w:sz w:val="26"/>
        </w:rPr>
        <w:t>D.K.T.E. SOCIETY’S</w:t>
        <w:br/>
        <w:t>TEXTILE AND ENGINEERING INSTITUTE, ICHALKARANJI</w:t>
        <w:br/>
        <w:t>(AN AUTONOMOUS INSTITUTE)</w:t>
        <w:br/>
        <w:t>DEPARTMENT OF COMPUTER SCIENCE &amp; ENGINEERING</w:t>
        <w:br/>
        <w:br/>
      </w:r>
      <w:r>
        <w:rPr>
          <w:rFonts w:ascii="Times New Roman" w:hAnsi="Times New Roman"/>
          <w:b/>
          <w:color w:val="0F2942"/>
          <w:sz w:val="36"/>
        </w:rPr>
        <w:t>CERTIFICATE</w:t>
        <w:br/>
      </w:r>
    </w:p>
    <w:p>
      <w:pPr>
        <w:spacing w:line="312" w:lineRule="auto" w:after="280"/>
      </w:pPr>
      <w:r>
        <w:rPr>
          <w:rFonts w:ascii="Times New Roman" w:hAnsi="Times New Roman"/>
          <w:sz w:val="24"/>
        </w:rPr>
        <w:t>This is to certify that the project work entitled “GLOBAL TRADE ANALYTICS AND PREDICTIVE INTELLIGENCE PLATFORM” is a bonafide record of project work carried out in this institute by:</w:t>
        <w:br/>
      </w:r>
    </w:p>
    <w:tbl>
      <w:tblPr>
        <w:tblW w:type="auto" w:w="0"/>
        <w:jc w:val="center"/>
        <w:tblLook w:firstColumn="1" w:firstRow="1" w:lastColumn="0" w:lastRow="0" w:noHBand="0" w:noVBand="1" w:val="04A0"/>
      </w:tblPr>
      <w:tblGrid>
        <w:gridCol w:w="3120"/>
        <w:gridCol w:w="3120"/>
        <w:gridCol w:w="3120"/>
      </w:tblGrid>
      <w:tr>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Title</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Name of Student</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PRN No.</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DHAIRYASHEEL GAIKWAD</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2103001</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PRATIK PATIL</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2103014</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MISS.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SANIKA KULKARNI</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2103028</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MISS.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ANANYA JOSHI</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2103042</w:t>
            </w:r>
          </w:p>
        </w:tc>
      </w:tr>
    </w:tbl>
    <w:p>
      <w:pPr>
        <w:spacing w:before="280" w:line="312" w:lineRule="auto"/>
      </w:pPr>
      <w:r>
        <w:rPr>
          <w:rFonts w:ascii="Times New Roman" w:hAnsi="Times New Roman"/>
          <w:sz w:val="24"/>
        </w:rPr>
        <w:t>in partial fulfillment of the requirements for the award of the degree of Bachelor of Technology in Computer Science &amp; Engineering prescribed by Shivaji University, Kolhapur for the academic year 2026-2027.</w:t>
      </w:r>
    </w:p>
    <w:p>
      <w:pPr>
        <w:spacing w:before="600" w:after="400"/>
      </w:pPr>
      <w:r>
        <w:rPr>
          <w:rFonts w:ascii="Times New Roman" w:hAnsi="Times New Roman"/>
          <w:b/>
          <w:sz w:val="22"/>
        </w:rPr>
        <w:t>DR. P. M. GAVALI                    PROF. (DR.) D. V. KODAVADE</w:t>
        <w:br/>
        <w:t>(Project Guide)                     (Head, Dept. of CSE)</w:t>
        <w:br/>
        <w:br/>
        <w:br/>
        <w:t>PROF. (DR.) L. S. ADMUTHE           EXAMINERS:</w:t>
        <w:br/>
        <w:t>(Director, DKTE TEI)                1. _______________________</w:t>
        <w:br/>
        <w:t xml:space="preserve">                                    2. _______________________</w:t>
      </w:r>
    </w:p>
    <w:p>
      <w:r>
        <w:br w:type="page"/>
      </w:r>
    </w:p>
    <w:p>
      <w:pPr>
        <w:keepNext/>
        <w:spacing w:before="360" w:after="160"/>
      </w:pPr>
      <w:r>
        <w:rPr>
          <w:rFonts w:ascii="Times New Roman" w:hAnsi="Times New Roman"/>
          <w:b/>
          <w:color w:val="0F2942"/>
          <w:sz w:val="32"/>
        </w:rPr>
        <w:t>DECLARATION</w:t>
      </w:r>
    </w:p>
    <w:p>
      <w:pPr>
        <w:spacing w:after="120" w:line="276" w:lineRule="auto"/>
      </w:pPr>
      <w:r>
        <w:rPr>
          <w:rFonts w:ascii="Times New Roman" w:hAnsi="Times New Roman"/>
          <w:i w:val="0"/>
          <w:sz w:val="24"/>
        </w:rPr>
        <w:t>We hereby declare that the project work report entitled “GLOBAL TRADE ANALYTICS AND PREDICTIVE INTELLIGENCE PLATFORM”, which is being submitted to D.K.T.E. Society’s Textile and Engineering Institute, Ichalkaranji, affiliated to Shivaji University, Kolhapur, is in partial fulfillment of the degree of Bachelor of Technology in Computer Science and Engineering. It is a bonafide report of the work carried out by us.</w:t>
        <w:br/>
        <w:br/>
        <w:t>The material contained in this report has not been submitted to any other university or institution for the award of any degree. Further, we declare that we have not violated any of the provisions under the Copyright and Piracy / Cyber / IPR Acts amended from time to time.</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Title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Name of Student</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PRN No.</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Signature</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DHAIRYASHEEL GAIKWAD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2103001</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_________________</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MR.</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PRATIK PATIL</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2103014</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_________________</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MISS.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SANIKA KULKARNI</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2103028</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_________________</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MISS.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ANANYA JOSHI</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2103042</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_________________</w:t>
            </w:r>
          </w:p>
        </w:tc>
      </w:tr>
    </w:tbl>
    <w:p>
      <w:r>
        <w:br w:type="page"/>
      </w:r>
    </w:p>
    <w:p>
      <w:pPr>
        <w:keepNext/>
        <w:spacing w:before="360" w:after="160"/>
      </w:pPr>
      <w:r>
        <w:rPr>
          <w:rFonts w:ascii="Times New Roman" w:hAnsi="Times New Roman"/>
          <w:b/>
          <w:color w:val="0F2942"/>
          <w:sz w:val="32"/>
        </w:rPr>
        <w:t>ACKNOWLEDGEMENT</w:t>
      </w:r>
    </w:p>
    <w:p>
      <w:pPr>
        <w:spacing w:after="120" w:line="276" w:lineRule="auto"/>
      </w:pPr>
      <w:r>
        <w:rPr>
          <w:rFonts w:ascii="Times New Roman" w:hAnsi="Times New Roman"/>
          <w:i w:val="0"/>
          <w:sz w:val="24"/>
        </w:rPr>
        <w:t>With great pleasure, we wish to express our deep sense of gratitude to our project guide Dr. P. M. Gavali for his invaluable guidance, support, critical reviews, and encouragement throughout the completion of this project report.</w:t>
      </w:r>
    </w:p>
    <w:p>
      <w:pPr>
        <w:spacing w:after="120" w:line="276" w:lineRule="auto"/>
      </w:pPr>
      <w:r>
        <w:rPr>
          <w:rFonts w:ascii="Times New Roman" w:hAnsi="Times New Roman"/>
          <w:i w:val="0"/>
          <w:sz w:val="24"/>
        </w:rPr>
        <w:t>We would also like to take the opportunity to thank our Head of Department, Prof. (Dr.) D. V. Kodavade, for providing state-of-the-art infrastructural facilities and encouraging research excellence within the department.</w:t>
      </w:r>
    </w:p>
    <w:p>
      <w:pPr>
        <w:spacing w:after="120" w:line="276" w:lineRule="auto"/>
      </w:pPr>
      <w:r>
        <w:rPr>
          <w:rFonts w:ascii="Times New Roman" w:hAnsi="Times New Roman"/>
          <w:i w:val="0"/>
          <w:sz w:val="24"/>
        </w:rPr>
        <w:t>We also express our sincere gratitude to our respected Director, Prof. (Dr.) L. S. Admuthe, for maintaining an empowering academic environment across the autonomous institute.</w:t>
      </w:r>
    </w:p>
    <w:p>
      <w:pPr>
        <w:spacing w:after="120" w:line="276" w:lineRule="auto"/>
      </w:pPr>
      <w:r>
        <w:rPr>
          <w:rFonts w:ascii="Times New Roman" w:hAnsi="Times New Roman"/>
          <w:i w:val="0"/>
          <w:sz w:val="24"/>
        </w:rPr>
        <w:t>We feel gratified to record our cordial thanks to other faculty members, laboratory instructors, and administrative staff of the Computer Science and Engineering Department for their continuous cooperation, assistance, and guidance.</w:t>
      </w:r>
    </w:p>
    <w:p>
      <w:pPr>
        <w:spacing w:before="400"/>
      </w:pPr>
      <w:r>
        <w:rPr>
          <w:rFonts w:ascii="Times New Roman" w:hAnsi="Times New Roman"/>
        </w:rPr>
        <w:t>Thank you,</w:t>
        <w:br/>
        <w:t>MR. DHAIRYASHEEL GAIKWAD (PRN: 2103001)</w:t>
        <w:br/>
        <w:t>MR. PRATIK PATIL (PRN: 2103014)</w:t>
        <w:br/>
        <w:t>MISS. SANIKA KULKARNI (PRN: 2103028)</w:t>
        <w:br/>
        <w:t>MISS. ANANYA JOSHI (PRN: 2103042)</w:t>
      </w:r>
    </w:p>
    <w:p>
      <w:r>
        <w:br w:type="page"/>
      </w:r>
    </w:p>
    <w:p>
      <w:pPr>
        <w:keepNext/>
        <w:spacing w:before="360" w:after="160"/>
      </w:pPr>
      <w:r>
        <w:rPr>
          <w:rFonts w:ascii="Times New Roman" w:hAnsi="Times New Roman"/>
          <w:b/>
          <w:color w:val="0F2942"/>
          <w:sz w:val="32"/>
        </w:rPr>
        <w:t>ABSTRACT</w:t>
      </w:r>
    </w:p>
    <w:p>
      <w:pPr>
        <w:spacing w:after="120" w:line="276" w:lineRule="auto"/>
      </w:pPr>
      <w:r>
        <w:rPr>
          <w:rFonts w:ascii="Times New Roman" w:hAnsi="Times New Roman"/>
          <w:i w:val="0"/>
          <w:sz w:val="24"/>
        </w:rPr>
        <w:t>Global cross-border merchandise trade accounts for over $25 Trillion in annual commercial transactions, serving as the backbone of sovereign balance of payments, macroeconomic stability, and enterprise supply chain continuity. Despite the extensive data collected by the United Nations Statistics Division (UN Comtrade), existing analytical tools suffer from severe fragmentation: empirical figures remain confined to static CSV archives, generic dashboards lack formalized international trade metrics, policymakers cannot run interactive counterfactual 'what-if' tariff simulations, and machine learning forecasting models often suffer from lookahead temporal data leakage.</w:t>
      </w:r>
    </w:p>
    <w:p>
      <w:pPr>
        <w:spacing w:after="120" w:line="276" w:lineRule="auto"/>
      </w:pPr>
      <w:r>
        <w:rPr>
          <w:rFonts w:ascii="Times New Roman" w:hAnsi="Times New Roman"/>
          <w:i w:val="0"/>
          <w:sz w:val="24"/>
        </w:rPr>
        <w:t>To resolve these structural deficiencies, this project presents the Global Trade Analytics and Predictive Intelligence Platform—an enterprise full-stack software system built with FastAPI (Python 3.12), React 19, SQLite with Write-Ahead Logging (WAL), and Nginx. The system delivers four primary technological breakthroughs:</w:t>
      </w:r>
    </w:p>
    <w:p>
      <w:pPr>
        <w:pStyle w:val="ListBullet"/>
        <w:spacing w:after="80" w:line="276" w:lineRule="auto"/>
      </w:pPr>
      <w:r>
        <w:rPr>
          <w:rFonts w:ascii="Times New Roman" w:hAnsi="Times New Roman"/>
          <w:b/>
          <w:sz w:val="24"/>
        </w:rPr>
        <w:t xml:space="preserve">1. Data Engineering: </w:t>
      </w:r>
      <w:r>
        <w:rPr>
          <w:rFonts w:ascii="Times New Roman" w:hAnsi="Times New Roman"/>
          <w:sz w:val="24"/>
        </w:rPr>
        <w:t>Automated UN Comtrade Data Pipeline: Composite deduplication index (refYear, reporterISO, partnerISO, flowCode, cmdCode), null coercion, and asynchronous background sync.</w:t>
      </w:r>
    </w:p>
    <w:p>
      <w:pPr>
        <w:pStyle w:val="ListBullet"/>
        <w:spacing w:after="80" w:line="276" w:lineRule="auto"/>
      </w:pPr>
      <w:r>
        <w:rPr>
          <w:rFonts w:ascii="Times New Roman" w:hAnsi="Times New Roman"/>
          <w:b/>
          <w:sz w:val="24"/>
        </w:rPr>
        <w:t xml:space="preserve">2. Economic Modeling: </w:t>
      </w:r>
      <w:r>
        <w:rPr>
          <w:rFonts w:ascii="Times New Roman" w:hAnsi="Times New Roman"/>
          <w:sz w:val="24"/>
        </w:rPr>
        <w:t>Specialized International Trade Indices: Real-time calculation of Lafay Trade Balance Index (TBI) [-100, +100], Balassa Revealed Comparative Advantage (RTA), Grubel-Lloyd Intra-Industry Overlap (GLI), and Hirschman-Herfindahl Concentration Index (HHI) across 190 countries.</w:t>
      </w:r>
    </w:p>
    <w:p>
      <w:pPr>
        <w:pStyle w:val="ListBullet"/>
        <w:spacing w:after="80" w:line="276" w:lineRule="auto"/>
      </w:pPr>
      <w:r>
        <w:rPr>
          <w:rFonts w:ascii="Times New Roman" w:hAnsi="Times New Roman"/>
          <w:b/>
          <w:sz w:val="24"/>
        </w:rPr>
        <w:t xml:space="preserve">3. Predictive Arena: </w:t>
      </w:r>
      <w:r>
        <w:rPr>
          <w:rFonts w:ascii="Times New Roman" w:hAnsi="Times New Roman"/>
          <w:sz w:val="24"/>
        </w:rPr>
        <w:t>4-Model Machine Learning Forecasting Arena (2026–2030): Side-by-side benchmarking of Linear Regression (OLS), 50-tree Random Forest, ARIMA (p,d,q) Box-Jenkins with automated AIC minimization, and Holt-Winters Exponential Smoothing (ETS) against an empirical historical mean baseline with compounding 95% confidence intervals.</w:t>
      </w:r>
    </w:p>
    <w:p>
      <w:pPr>
        <w:pStyle w:val="ListBullet"/>
        <w:spacing w:after="80" w:line="276" w:lineRule="auto"/>
      </w:pPr>
      <w:r>
        <w:rPr>
          <w:rFonts w:ascii="Times New Roman" w:hAnsi="Times New Roman"/>
          <w:b/>
          <w:sz w:val="24"/>
        </w:rPr>
        <w:t xml:space="preserve">4. Policy Simulation: </w:t>
      </w:r>
      <w:r>
        <w:rPr>
          <w:rFonts w:ascii="Times New Roman" w:hAnsi="Times New Roman"/>
          <w:sz w:val="24"/>
        </w:rPr>
        <w:t>Armington Counterfactual Policy Simulator: Simulates ad-valorem tariff adjustments (-30% to +75%), computing consumer price pass-through, demand contraction, customs revenues, and third-party trade diversion.</w:t>
      </w:r>
    </w:p>
    <w:p>
      <w:pPr>
        <w:pStyle w:val="ListBullet"/>
        <w:spacing w:after="80" w:line="276" w:lineRule="auto"/>
      </w:pPr>
      <w:r>
        <w:rPr>
          <w:rFonts w:ascii="Times New Roman" w:hAnsi="Times New Roman"/>
          <w:b/>
          <w:sz w:val="24"/>
        </w:rPr>
        <w:t xml:space="preserve">5. Executive Reporting: </w:t>
      </w:r>
      <w:r>
        <w:rPr>
          <w:rFonts w:ascii="Times New Roman" w:hAnsi="Times New Roman"/>
          <w:sz w:val="24"/>
        </w:rPr>
        <w:t>Automated Executive PDF Dossiers &amp; Anomaly Alerts: Multi-page ReportLab PDF generation, OpenPyXL Excel models, and stateful anomaly detection with deduplicated SMTP notifications.</w:t>
      </w:r>
    </w:p>
    <w:p>
      <w:pPr>
        <w:spacing w:after="120" w:line="276" w:lineRule="auto"/>
      </w:pPr>
      <w:r>
        <w:rPr>
          <w:rFonts w:ascii="Times New Roman" w:hAnsi="Times New Roman"/>
          <w:i w:val="0"/>
          <w:sz w:val="24"/>
        </w:rPr>
        <w:t>The complete multi-tier system is fully containerized using multi-stage Docker builds (&lt; 30 MB Nginx frontend runtime, non-root Python execution) deployable via a single command. The architecture is verified through 168 automated tests achieving a 100% pass rate in ~65 seconds.</w:t>
      </w:r>
    </w:p>
    <w:p>
      <w:r>
        <w:br w:type="page"/>
      </w:r>
    </w:p>
    <w:p>
      <w:pPr>
        <w:keepNext/>
        <w:spacing w:before="360" w:after="160"/>
      </w:pPr>
      <w:r>
        <w:rPr>
          <w:rFonts w:ascii="Times New Roman" w:hAnsi="Times New Roman"/>
          <w:b/>
          <w:color w:val="0F2942"/>
          <w:sz w:val="32"/>
        </w:rPr>
        <w:t>INDEX</w:t>
      </w:r>
    </w:p>
    <w:tbl>
      <w:tblPr>
        <w:tblW w:type="auto" w:w="0"/>
        <w:jc w:val="center"/>
        <w:tblLook w:firstColumn="1" w:firstRow="1" w:lastColumn="0" w:lastRow="0" w:noHBand="0" w:noVBand="1" w:val="04A0"/>
      </w:tblPr>
      <w:tblGrid>
        <w:gridCol w:w="3120"/>
        <w:gridCol w:w="3120"/>
        <w:gridCol w:w="3120"/>
      </w:tblGrid>
      <w:tr>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Sr. No.</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Chapter / Section Name</w:t>
            </w:r>
          </w:p>
        </w:tc>
        <w:tc>
          <w:tcPr>
            <w:tcW w:type="dxa" w:w="3120"/>
            <w:shd w:fill="1E3A5F"/>
            <w:tcMar>
              <w:top w:w="100" w:type="dxa"/>
              <w:bottom w:w="100" w:type="dxa"/>
              <w:left w:w="150" w:type="dxa"/>
              <w:right w:w="150" w:type="dxa"/>
            </w:tcMar>
          </w:tcPr>
          <w:p>
            <w:pPr>
              <w:spacing w:after="40" w:line="264" w:lineRule="auto"/>
            </w:pPr>
            <w:r>
              <w:rPr>
                <w:rFonts w:ascii="Times New Roman" w:hAnsi="Times New Roman"/>
                <w:b/>
                <w:color w:val="FFFFFF"/>
                <w:sz w:val="21"/>
              </w:rPr>
              <w:t>Page No.</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Introduction</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1.1 Introduction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1.2 Problem Statement</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1.3 Objectives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4</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1.4 Scope of the Project</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5</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1.5 Timeline of the Project</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6</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1.6 Project Cost &amp; Resource Analysis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7</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Literature Review</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9</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2.1 Literature Overview</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9</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2.2 Comparative Study of Existing Solutions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12</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2.3 Research Gap Identified</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14</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Requirement Analysis</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16</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3.1 Requirement Gathering</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16</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3.2 Requirement Specification (Functional &amp; Non-Functional)</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17</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3.3 Use Case Diagram &amp; Actor Descriptions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20</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4</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System Design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23</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4.1 Architectural Design</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23</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4.2 User Interface Design</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26</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4.3 System Modeling (DFD, Sequence, Activity, Component, Deployment)</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28</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4.4 Algorithmic Description of Each Module</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39</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5</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Implementation</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45</w:t>
            </w:r>
          </w:p>
        </w:tc>
      </w:tr>
      <w:tr>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6</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Integration and Testing</w:t>
            </w:r>
          </w:p>
        </w:tc>
        <w:tc>
          <w:tcPr>
            <w:tcW w:type="dxa" w:w="3120"/>
            <w:shd w:fill="FFFFFF"/>
            <w:tcMar>
              <w:top w:w="100" w:type="dxa"/>
              <w:bottom w:w="100" w:type="dxa"/>
              <w:left w:w="150" w:type="dxa"/>
              <w:right w:w="150" w:type="dxa"/>
            </w:tcMar>
          </w:tcPr>
          <w:p>
            <w:pPr>
              <w:spacing w:after="40" w:line="264" w:lineRule="auto"/>
            </w:pPr>
            <w:r>
              <w:rPr>
                <w:rFonts w:ascii="Times New Roman" w:hAnsi="Times New Roman"/>
                <w:color w:val="1E293B"/>
                <w:sz w:val="20"/>
              </w:rPr>
              <w:t>55</w:t>
            </w:r>
          </w:p>
        </w:tc>
      </w:tr>
      <w:tr>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7</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Future Scope &amp; Applications</w:t>
            </w:r>
          </w:p>
        </w:tc>
        <w:tc>
          <w:tcPr>
            <w:tcW w:type="dxa" w:w="3120"/>
            <w:shd w:fill="F8FAFC"/>
            <w:tcMar>
              <w:top w:w="100" w:type="dxa"/>
              <w:bottom w:w="100" w:type="dxa"/>
              <w:left w:w="150" w:type="dxa"/>
              <w:right w:w="150" w:type="dxa"/>
            </w:tcMar>
          </w:tcPr>
          <w:p>
            <w:pPr>
              <w:spacing w:after="40" w:line="264" w:lineRule="auto"/>
            </w:pPr>
            <w:r>
              <w:rPr>
                <w:rFonts w:ascii="Times New Roman" w:hAnsi="Times New Roman"/>
                <w:color w:val="1E293B"/>
                <w:sz w:val="20"/>
              </w:rPr>
              <w:t>64</w:t>
            </w:r>
          </w:p>
        </w:tc>
      </w:tr>
    </w:tbl>
    <w:p>
      <w:r>
        <w:br w:type="page"/>
      </w:r>
    </w:p>
    <w:p>
      <w:pPr>
        <w:keepNext/>
        <w:spacing w:before="360" w:after="160"/>
      </w:pPr>
      <w:r>
        <w:rPr>
          <w:rFonts w:ascii="Times New Roman" w:hAnsi="Times New Roman"/>
          <w:b/>
          <w:color w:val="0F2942"/>
          <w:sz w:val="32"/>
        </w:rPr>
        <w:t>Chapter 1: Introduction</w:t>
      </w:r>
    </w:p>
    <w:p>
      <w:pPr>
        <w:keepNext/>
        <w:spacing w:before="280" w:after="120"/>
      </w:pPr>
      <w:r>
        <w:rPr>
          <w:rFonts w:ascii="Times New Roman" w:hAnsi="Times New Roman"/>
          <w:b/>
          <w:color w:val="1E3A8A"/>
          <w:sz w:val="28"/>
        </w:rPr>
        <w:t>1.1 Introduction</w:t>
      </w:r>
    </w:p>
    <w:p>
      <w:pPr>
        <w:spacing w:after="120" w:line="276" w:lineRule="auto"/>
      </w:pPr>
      <w:r>
        <w:rPr>
          <w:rFonts w:ascii="Times New Roman" w:hAnsi="Times New Roman"/>
          <w:i w:val="0"/>
          <w:sz w:val="24"/>
        </w:rPr>
        <w:t>In the contemporary globalized economy, merchandise trade constitutes the primary driver of national economic expansion, industrial manufacturing employment, and foreign exchange reserves. Sovereign commerce ministries, international organizations (WTO, World Bank, IMF), commercial investment banks, and multinational logistics operators make multi-billion dollar capital allocation and hedging decisions based on trade volumes, bilateral balance discrepancies, and tariff barriers.</w:t>
      </w:r>
    </w:p>
    <w:p>
      <w:pPr>
        <w:spacing w:after="120" w:line="276" w:lineRule="auto"/>
      </w:pPr>
      <w:r>
        <w:rPr>
          <w:rFonts w:ascii="Times New Roman" w:hAnsi="Times New Roman"/>
          <w:i w:val="0"/>
          <w:sz w:val="24"/>
        </w:rPr>
        <w:t>The primary repository of global merchandise trade statistics is the United Nations Statistics Division (UNSD) Comtrade database, which aggregates customs data from 190 sovereign nations and territories. While UN Comtrade provides comprehensive historical coverage, analyzing these records presents severe software engineering challenges: datasets are massive, multidimensional, noisy, and subject to valuation asymmetries (FOB exports vs. CIF imports).</w:t>
      </w:r>
    </w:p>
    <w:p>
      <w:pPr>
        <w:keepNext/>
        <w:spacing w:before="280" w:after="120"/>
      </w:pPr>
      <w:r>
        <w:rPr>
          <w:rFonts w:ascii="Times New Roman" w:hAnsi="Times New Roman"/>
          <w:b/>
          <w:color w:val="1E3A8A"/>
          <w:sz w:val="28"/>
        </w:rPr>
        <w:t>1.2 Problem Statement</w:t>
      </w:r>
    </w:p>
    <w:p>
      <w:pPr>
        <w:spacing w:after="120" w:line="276" w:lineRule="auto"/>
      </w:pPr>
      <w:r>
        <w:rPr>
          <w:rFonts w:ascii="Times New Roman" w:hAnsi="Times New Roman"/>
          <w:i w:val="0"/>
          <w:sz w:val="24"/>
        </w:rPr>
        <w:t>Decision-makers face three fundamental obstacles when attempting to extract strategic intelligence from international trade data:</w:t>
      </w:r>
    </w:p>
    <w:p>
      <w:pPr>
        <w:pStyle w:val="ListBullet"/>
        <w:spacing w:after="80" w:line="276" w:lineRule="auto"/>
      </w:pPr>
      <w:r>
        <w:rPr>
          <w:rFonts w:ascii="Times New Roman" w:hAnsi="Times New Roman"/>
          <w:b/>
          <w:sz w:val="24"/>
        </w:rPr>
        <w:t xml:space="preserve">1. Analytical Fragmentation: </w:t>
      </w:r>
      <w:r>
        <w:rPr>
          <w:rFonts w:ascii="Times New Roman" w:hAnsi="Times New Roman"/>
          <w:sz w:val="24"/>
        </w:rPr>
        <w:t>Lack of unified platforms providing formalized macroeconomic indices such as Lafay TBI, Balassa RTA, Grubel-Lloyd GLI, and HHI.</w:t>
      </w:r>
    </w:p>
    <w:p>
      <w:pPr>
        <w:pStyle w:val="ListBullet"/>
        <w:spacing w:after="80" w:line="276" w:lineRule="auto"/>
      </w:pPr>
      <w:r>
        <w:rPr>
          <w:rFonts w:ascii="Times New Roman" w:hAnsi="Times New Roman"/>
          <w:b/>
          <w:sz w:val="24"/>
        </w:rPr>
        <w:t xml:space="preserve">2. Absence of Policy Simulation: </w:t>
      </w:r>
      <w:r>
        <w:rPr>
          <w:rFonts w:ascii="Times New Roman" w:hAnsi="Times New Roman"/>
          <w:sz w:val="24"/>
        </w:rPr>
        <w:t>Inability to simulate the quantitative impact of bilateral tariff escalations, price pass-through, and third-party trade diversion before policy enactment.</w:t>
      </w:r>
    </w:p>
    <w:p>
      <w:pPr>
        <w:pStyle w:val="ListBullet"/>
        <w:spacing w:after="80" w:line="276" w:lineRule="auto"/>
      </w:pPr>
      <w:r>
        <w:rPr>
          <w:rFonts w:ascii="Times New Roman" w:hAnsi="Times New Roman"/>
          <w:b/>
          <w:sz w:val="24"/>
        </w:rPr>
        <w:t xml:space="preserve">3. Flawed Forecasting Methodologies: </w:t>
      </w:r>
      <w:r>
        <w:rPr>
          <w:rFonts w:ascii="Times New Roman" w:hAnsi="Times New Roman"/>
          <w:sz w:val="24"/>
        </w:rPr>
        <w:t>Widespread prevalence of temporal data leakage in predictive models, coupled with an absence of multi-model benchmarking arenas that evaluate parsimony (AIC/BIC).</w:t>
      </w:r>
    </w:p>
    <w:p>
      <w:pPr>
        <w:keepNext/>
        <w:spacing w:before="280" w:after="120"/>
      </w:pPr>
      <w:r>
        <w:rPr>
          <w:rFonts w:ascii="Times New Roman" w:hAnsi="Times New Roman"/>
          <w:b/>
          <w:color w:val="1E3A8A"/>
          <w:sz w:val="28"/>
        </w:rPr>
        <w:t>1.3 Objectives</w:t>
      </w:r>
    </w:p>
    <w:p>
      <w:pPr>
        <w:pStyle w:val="ListBullet"/>
        <w:spacing w:after="80" w:line="276" w:lineRule="auto"/>
      </w:pPr>
      <w:r>
        <w:rPr>
          <w:rFonts w:ascii="Times New Roman" w:hAnsi="Times New Roman"/>
          <w:b/>
          <w:sz w:val="24"/>
        </w:rPr>
        <w:t xml:space="preserve">Objective 1: </w:t>
      </w:r>
      <w:r>
        <w:rPr>
          <w:rFonts w:ascii="Times New Roman" w:hAnsi="Times New Roman"/>
          <w:sz w:val="24"/>
        </w:rPr>
        <w:t>Build an automated ingestion pipeline with composite deduplication and live UN Comtrade REST API synchronization.</w:t>
      </w:r>
    </w:p>
    <w:p>
      <w:pPr>
        <w:pStyle w:val="ListBullet"/>
        <w:spacing w:after="80" w:line="276" w:lineRule="auto"/>
      </w:pPr>
      <w:r>
        <w:rPr>
          <w:rFonts w:ascii="Times New Roman" w:hAnsi="Times New Roman"/>
          <w:b/>
          <w:sz w:val="24"/>
        </w:rPr>
        <w:t xml:space="preserve">Objective 2: </w:t>
      </w:r>
      <w:r>
        <w:rPr>
          <w:rFonts w:ascii="Times New Roman" w:hAnsi="Times New Roman"/>
          <w:sz w:val="24"/>
        </w:rPr>
        <w:t>Implement peer-reviewed international economic indices (Lafay TBI, Balassa RTA, Grubel-Lloyd GLI, HHI).</w:t>
      </w:r>
    </w:p>
    <w:p>
      <w:pPr>
        <w:pStyle w:val="ListBullet"/>
        <w:spacing w:after="80" w:line="276" w:lineRule="auto"/>
      </w:pPr>
      <w:r>
        <w:rPr>
          <w:rFonts w:ascii="Times New Roman" w:hAnsi="Times New Roman"/>
          <w:b/>
          <w:sz w:val="24"/>
        </w:rPr>
        <w:t xml:space="preserve">Objective 3: </w:t>
      </w:r>
      <w:r>
        <w:rPr>
          <w:rFonts w:ascii="Times New Roman" w:hAnsi="Times New Roman"/>
          <w:sz w:val="24"/>
        </w:rPr>
        <w:t>Construct a 4-Model Machine Learning Forecasting Arena (OLS, Random Forest, ARIMA Box-Jenkins, Holt-Winters ETS) with 2026–2030 projections and compounding 95% confidence intervals.</w:t>
      </w:r>
    </w:p>
    <w:p>
      <w:pPr>
        <w:pStyle w:val="ListBullet"/>
        <w:spacing w:after="80" w:line="276" w:lineRule="auto"/>
      </w:pPr>
      <w:r>
        <w:rPr>
          <w:rFonts w:ascii="Times New Roman" w:hAnsi="Times New Roman"/>
          <w:b/>
          <w:sz w:val="24"/>
        </w:rPr>
        <w:t xml:space="preserve">Objective 4: </w:t>
      </w:r>
      <w:r>
        <w:rPr>
          <w:rFonts w:ascii="Times New Roman" w:hAnsi="Times New Roman"/>
          <w:sz w:val="24"/>
        </w:rPr>
        <w:t>Implement an Armington elasticity policy simulator modeling tariff shocks, price pass-through, and trade diversion.</w:t>
      </w:r>
    </w:p>
    <w:p>
      <w:pPr>
        <w:pStyle w:val="ListBullet"/>
        <w:spacing w:after="80" w:line="276" w:lineRule="auto"/>
      </w:pPr>
      <w:r>
        <w:rPr>
          <w:rFonts w:ascii="Times New Roman" w:hAnsi="Times New Roman"/>
          <w:b/>
          <w:sz w:val="24"/>
        </w:rPr>
        <w:t xml:space="preserve">Objective 5: </w:t>
      </w:r>
      <w:r>
        <w:rPr>
          <w:rFonts w:ascii="Times New Roman" w:hAnsi="Times New Roman"/>
          <w:sz w:val="24"/>
        </w:rPr>
        <w:t>Develop automated executive PDF (ReportLab) and Excel (OpenPyXL) report generation alongside anomaly alert threshold monitoring.</w:t>
      </w:r>
    </w:p>
    <w:p>
      <w:pPr>
        <w:pStyle w:val="ListBullet"/>
        <w:spacing w:after="80" w:line="276" w:lineRule="auto"/>
      </w:pPr>
      <w:r>
        <w:rPr>
          <w:rFonts w:ascii="Times New Roman" w:hAnsi="Times New Roman"/>
          <w:b/>
          <w:sz w:val="24"/>
        </w:rPr>
        <w:t xml:space="preserve">Objective 6: </w:t>
      </w:r>
      <w:r>
        <w:rPr>
          <w:rFonts w:ascii="Times New Roman" w:hAnsi="Times New Roman"/>
          <w:sz w:val="24"/>
        </w:rPr>
        <w:t>Package the system into multi-stage Docker containers with Nginx reverse proxying and achieve 100% test pass rate across 168 tests.</w:t>
      </w:r>
    </w:p>
    <w:p>
      <w:pPr>
        <w:keepNext/>
        <w:spacing w:before="280" w:after="120"/>
      </w:pPr>
      <w:r>
        <w:rPr>
          <w:rFonts w:ascii="Times New Roman" w:hAnsi="Times New Roman"/>
          <w:b/>
          <w:color w:val="1E3A8A"/>
          <w:sz w:val="28"/>
        </w:rPr>
        <w:t>1.4 Scope of the Project</w:t>
      </w:r>
    </w:p>
    <w:p>
      <w:pPr>
        <w:spacing w:after="120" w:line="276" w:lineRule="auto"/>
      </w:pPr>
      <w:r>
        <w:rPr>
          <w:rFonts w:ascii="Times New Roman" w:hAnsi="Times New Roman"/>
          <w:i w:val="0"/>
          <w:sz w:val="24"/>
        </w:rPr>
        <w:t>The scope spans 190 sovereign states, historical data from 2014–2025 (4,877 verified tuples), and 5-year forecast horizons (2026–2030). The platform includes 11 full-stack interactive module pages, stateless JWT security, and 1-command Docker orchestration.</w:t>
      </w:r>
    </w:p>
    <w:p>
      <w:pPr>
        <w:keepNext/>
        <w:spacing w:before="280" w:after="120"/>
      </w:pPr>
      <w:r>
        <w:rPr>
          <w:rFonts w:ascii="Times New Roman" w:hAnsi="Times New Roman"/>
          <w:b/>
          <w:color w:val="1E3A8A"/>
          <w:sz w:val="28"/>
        </w:rPr>
        <w:t>1.5 Timeline of the Project</w:t>
      </w:r>
    </w:p>
    <w:p>
      <w:pPr>
        <w:spacing w:after="120" w:line="276" w:lineRule="auto"/>
      </w:pPr>
      <w:r>
        <w:rPr>
          <w:rFonts w:ascii="Times New Roman" w:hAnsi="Times New Roman"/>
          <w:i w:val="0"/>
          <w:sz w:val="24"/>
        </w:rPr>
        <w:t>The project was executed across 14 development phases from August 2026 to April 2027, covering dataset engineering, backend microservices, React visualization, machine learning integration, policy simulation, executive reporting, automated alerting, and Docker deployment.</w:t>
      </w:r>
    </w:p>
    <w:p>
      <w:pPr>
        <w:keepNext/>
        <w:spacing w:before="280" w:after="120"/>
      </w:pPr>
      <w:r>
        <w:rPr>
          <w:rFonts w:ascii="Times New Roman" w:hAnsi="Times New Roman"/>
          <w:b/>
          <w:color w:val="1E3A8A"/>
          <w:sz w:val="28"/>
        </w:rPr>
        <w:t>1.6 Project Cost &amp; Resource Analysis</w:t>
      </w:r>
    </w:p>
    <w:p>
      <w:pPr>
        <w:spacing w:after="120" w:line="276" w:lineRule="auto"/>
      </w:pPr>
      <w:r>
        <w:rPr>
          <w:rFonts w:ascii="Times New Roman" w:hAnsi="Times New Roman"/>
          <w:i w:val="0"/>
          <w:sz w:val="24"/>
        </w:rPr>
        <w:t>By utilizing modern open-source technologies (FastAPI, React 19, SQLite WAL, Scikit-learn, ReportLab, Docker), the platform achieves zero software licensing costs, compared to commercial terminals (Bloomberg/Refinitiv costing $25,000+/year) or proprietary BI stacks.</w:t>
      </w:r>
    </w:p>
    <w:p>
      <w:r>
        <w:br w:type="page"/>
      </w:r>
    </w:p>
    <w:p>
      <w:pPr>
        <w:keepNext/>
        <w:spacing w:before="360" w:after="160"/>
      </w:pPr>
      <w:r>
        <w:rPr>
          <w:rFonts w:ascii="Times New Roman" w:hAnsi="Times New Roman"/>
          <w:b/>
          <w:color w:val="0F2942"/>
          <w:sz w:val="32"/>
        </w:rPr>
        <w:t>Chapter 2: Literature Review</w:t>
      </w:r>
    </w:p>
    <w:p>
      <w:pPr>
        <w:keepNext/>
        <w:spacing w:before="280" w:after="120"/>
      </w:pPr>
      <w:r>
        <w:rPr>
          <w:rFonts w:ascii="Times New Roman" w:hAnsi="Times New Roman"/>
          <w:b/>
          <w:color w:val="1E3A8A"/>
          <w:sz w:val="28"/>
        </w:rPr>
        <w:t>2.1 Literature Overview</w:t>
      </w:r>
    </w:p>
    <w:p>
      <w:pPr>
        <w:spacing w:after="120" w:line="276" w:lineRule="auto"/>
      </w:pPr>
      <w:r>
        <w:rPr>
          <w:rFonts w:ascii="Times New Roman" w:hAnsi="Times New Roman"/>
          <w:i w:val="0"/>
          <w:sz w:val="24"/>
        </w:rPr>
        <w:t>The project integrates six foundational theoretical frameworks across trade economics and predictive data science:</w:t>
      </w:r>
    </w:p>
    <w:p>
      <w:pPr>
        <w:pStyle w:val="ListBullet"/>
        <w:spacing w:after="80" w:line="276" w:lineRule="auto"/>
      </w:pPr>
      <w:r>
        <w:rPr>
          <w:rFonts w:ascii="Times New Roman" w:hAnsi="Times New Roman"/>
          <w:b/>
          <w:sz w:val="24"/>
        </w:rPr>
        <w:t xml:space="preserve">1. Armington Elasticity Framework (Armington, 1969): </w:t>
      </w:r>
      <w:r>
        <w:rPr>
          <w:rFonts w:ascii="Times New Roman" w:hAnsi="Times New Roman"/>
          <w:sz w:val="24"/>
        </w:rPr>
        <w:t>Products differentiated by country of origin. Models import demand contraction (%ΔQ = ε_d * ΔP) and third-party trade diversion.</w:t>
      </w:r>
    </w:p>
    <w:p>
      <w:pPr>
        <w:pStyle w:val="ListBullet"/>
        <w:spacing w:after="80" w:line="276" w:lineRule="auto"/>
      </w:pPr>
      <w:r>
        <w:rPr>
          <w:rFonts w:ascii="Times New Roman" w:hAnsi="Times New Roman"/>
          <w:b/>
          <w:sz w:val="24"/>
        </w:rPr>
        <w:t xml:space="preserve">2. Revealed Comparative Advantage (Balassa, 1965): </w:t>
      </w:r>
      <w:r>
        <w:rPr>
          <w:rFonts w:ascii="Times New Roman" w:hAnsi="Times New Roman"/>
          <w:sz w:val="24"/>
        </w:rPr>
        <w:t>Evaluates sovereign export specialization without requiring unobservable cost data: RCA_ik = (X_ik / ΣX_ik) / (ΣX_ik / ΣΣX_ik).</w:t>
      </w:r>
    </w:p>
    <w:p>
      <w:pPr>
        <w:pStyle w:val="ListBullet"/>
        <w:spacing w:after="80" w:line="276" w:lineRule="auto"/>
      </w:pPr>
      <w:r>
        <w:rPr>
          <w:rFonts w:ascii="Times New Roman" w:hAnsi="Times New Roman"/>
          <w:b/>
          <w:sz w:val="24"/>
        </w:rPr>
        <w:t xml:space="preserve">3. Lafay Trade Balance Index (Lafay, 1992): </w:t>
      </w:r>
      <w:r>
        <w:rPr>
          <w:rFonts w:ascii="Times New Roman" w:hAnsi="Times New Roman"/>
          <w:sz w:val="24"/>
        </w:rPr>
        <w:t>Normalized scale-invariant trade balance: TBI_ij = ((X_ij - M_ij) / (X_ij + M_ij)) * 100 in [-100, +100].</w:t>
      </w:r>
    </w:p>
    <w:p>
      <w:pPr>
        <w:pStyle w:val="ListBullet"/>
        <w:spacing w:after="80" w:line="276" w:lineRule="auto"/>
      </w:pPr>
      <w:r>
        <w:rPr>
          <w:rFonts w:ascii="Times New Roman" w:hAnsi="Times New Roman"/>
          <w:b/>
          <w:sz w:val="24"/>
        </w:rPr>
        <w:t xml:space="preserve">4. Grubel-Lloyd Index (Grubel &amp; Lloyd, 1975): </w:t>
      </w:r>
      <w:r>
        <w:rPr>
          <w:rFonts w:ascii="Times New Roman" w:hAnsi="Times New Roman"/>
          <w:sz w:val="24"/>
        </w:rPr>
        <w:t>Quantifies intra-industry macro trade overlap: GLI_ik = 1 - (|X_ik - M_ik| / (X_ik + M_ik)) in [0.0, 1.0].</w:t>
      </w:r>
    </w:p>
    <w:p>
      <w:pPr>
        <w:pStyle w:val="ListBullet"/>
        <w:spacing w:after="80" w:line="276" w:lineRule="auto"/>
      </w:pPr>
      <w:r>
        <w:rPr>
          <w:rFonts w:ascii="Times New Roman" w:hAnsi="Times New Roman"/>
          <w:b/>
          <w:sz w:val="24"/>
        </w:rPr>
        <w:t xml:space="preserve">5. Hirschman-Herfindahl Concentration Index (1950): </w:t>
      </w:r>
      <w:r>
        <w:rPr>
          <w:rFonts w:ascii="Times New Roman" w:hAnsi="Times New Roman"/>
          <w:sz w:val="24"/>
        </w:rPr>
        <w:t>Evaluates market concentration and export vulnerability: HHI_i = Σ (s_ij)^2.</w:t>
      </w:r>
    </w:p>
    <w:p>
      <w:pPr>
        <w:pStyle w:val="ListBullet"/>
        <w:spacing w:after="80" w:line="276" w:lineRule="auto"/>
      </w:pPr>
      <w:r>
        <w:rPr>
          <w:rFonts w:ascii="Times New Roman" w:hAnsi="Times New Roman"/>
          <w:b/>
          <w:sz w:val="24"/>
        </w:rPr>
        <w:t xml:space="preserve">6. Box-Jenkins ARIMA Modeling (1970): </w:t>
      </w:r>
      <w:r>
        <w:rPr>
          <w:rFonts w:ascii="Times New Roman" w:hAnsi="Times New Roman"/>
          <w:sz w:val="24"/>
        </w:rPr>
        <w:t>Univariate time series state-space models with automated AIC parsimony search: AIC = 2k - 2ln(L).</w:t>
      </w:r>
    </w:p>
    <w:p>
      <w:pPr>
        <w:keepNext/>
        <w:spacing w:before="280" w:after="120"/>
      </w:pPr>
      <w:r>
        <w:rPr>
          <w:rFonts w:ascii="Times New Roman" w:hAnsi="Times New Roman"/>
          <w:b/>
          <w:color w:val="1E3A8A"/>
          <w:sz w:val="28"/>
        </w:rPr>
        <w:t>2.2 Comparative Study of Existing Solutions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Feature / Criterion</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UN Comtrade Portal</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World Bank WITS</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Generic BI (Tableau)</w:t>
            </w:r>
          </w:p>
        </w:tc>
        <w:tc>
          <w:tcPr>
            <w:tcW w:type="dxa" w:w="1872"/>
            <w:shd w:fill="1E3A5F"/>
            <w:tcMar>
              <w:top w:w="100" w:type="dxa"/>
              <w:bottom w:w="100" w:type="dxa"/>
              <w:left w:w="150" w:type="dxa"/>
              <w:right w:w="150" w:type="dxa"/>
            </w:tcMar>
          </w:tcPr>
          <w:p>
            <w:pPr>
              <w:spacing w:after="40" w:line="264" w:lineRule="auto"/>
            </w:pPr>
            <w:r>
              <w:rPr>
                <w:rFonts w:ascii="Times New Roman" w:hAnsi="Times New Roman"/>
                <w:b/>
                <w:color w:val="FFFFFF"/>
                <w:sz w:val="21"/>
              </w:rPr>
              <w:t>Our Platform</w:t>
            </w:r>
          </w:p>
        </w:tc>
      </w:tr>
      <w:tr>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Automated Live Sync</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Manual CSV download</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Static queries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Pre-aggregated sync</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Async REST Worker</w:t>
            </w:r>
          </w:p>
        </w:tc>
      </w:tr>
      <w:tr>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Interactive Vector Map</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None (Tables)</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Static SVG</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Requires custom GIS</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Offline TopoJSON Map</w:t>
            </w:r>
          </w:p>
        </w:tc>
      </w:tr>
      <w:tr>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Trade Indices (TBI/RTA)</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None</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Delayed RTA</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Manual formulas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Built-in Real-Time</w:t>
            </w:r>
          </w:p>
        </w:tc>
      </w:tr>
      <w:tr>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Forecasting Arena</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None</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None</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Linear trendline only</w:t>
            </w:r>
          </w:p>
        </w:tc>
        <w:tc>
          <w:tcPr>
            <w:tcW w:type="dxa" w:w="1872"/>
            <w:shd w:fill="FFFFFF"/>
            <w:tcMar>
              <w:top w:w="100" w:type="dxa"/>
              <w:bottom w:w="100" w:type="dxa"/>
              <w:left w:w="150" w:type="dxa"/>
              <w:right w:w="150" w:type="dxa"/>
            </w:tcMar>
          </w:tcPr>
          <w:p>
            <w:pPr>
              <w:spacing w:after="40" w:line="264" w:lineRule="auto"/>
            </w:pPr>
            <w:r>
              <w:rPr>
                <w:rFonts w:ascii="Times New Roman" w:hAnsi="Times New Roman"/>
                <w:color w:val="1E293B"/>
                <w:sz w:val="20"/>
              </w:rPr>
              <w:t>4 Models + AIC/BIC</w:t>
            </w:r>
          </w:p>
        </w:tc>
      </w:tr>
      <w:tr>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Policy Tariff Simulation</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None</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Static CGE models</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None</w:t>
            </w:r>
          </w:p>
        </w:tc>
        <w:tc>
          <w:tcPr>
            <w:tcW w:type="dxa" w:w="1872"/>
            <w:shd w:fill="F8FAFC"/>
            <w:tcMar>
              <w:top w:w="100" w:type="dxa"/>
              <w:bottom w:w="100" w:type="dxa"/>
              <w:left w:w="150" w:type="dxa"/>
              <w:right w:w="150" w:type="dxa"/>
            </w:tcMar>
          </w:tcPr>
          <w:p>
            <w:pPr>
              <w:spacing w:after="40" w:line="264" w:lineRule="auto"/>
            </w:pPr>
            <w:r>
              <w:rPr>
                <w:rFonts w:ascii="Times New Roman" w:hAnsi="Times New Roman"/>
                <w:color w:val="1E293B"/>
                <w:sz w:val="20"/>
              </w:rPr>
              <w:t>Armington Simulator</w:t>
            </w:r>
          </w:p>
        </w:tc>
      </w:tr>
    </w:tbl>
    <w:p>
      <w:pPr>
        <w:keepNext/>
        <w:spacing w:before="280" w:after="120"/>
      </w:pPr>
      <w:r>
        <w:rPr>
          <w:rFonts w:ascii="Times New Roman" w:hAnsi="Times New Roman"/>
          <w:b/>
          <w:color w:val="1E3A8A"/>
          <w:sz w:val="28"/>
        </w:rPr>
        <w:t>2.3 Research Gap Identified</w:t>
      </w:r>
    </w:p>
    <w:p>
      <w:pPr>
        <w:spacing w:after="120" w:line="276" w:lineRule="auto"/>
      </w:pPr>
      <w:r>
        <w:rPr>
          <w:rFonts w:ascii="Times New Roman" w:hAnsi="Times New Roman"/>
          <w:i w:val="0"/>
          <w:sz w:val="24"/>
        </w:rPr>
        <w:t>Existing systems fail to provide lightweight, interactive counterfactual tariff simulation tools. Furthermore, machine learning studies in international trade frequently commit lookahead temporal data leakage by using unshifted rolling averages or random cross-validation. This project bridges these gaps by enforcing strict chronological validation, automated AIC/BIC benchmarking, and instant PDF reporting.</w:t>
      </w:r>
    </w:p>
    <w:p>
      <w:r>
        <w:br w:type="page"/>
      </w:r>
    </w:p>
    <w:p>
      <w:pPr>
        <w:keepNext/>
        <w:spacing w:before="360" w:after="160"/>
      </w:pPr>
      <w:r>
        <w:rPr>
          <w:rFonts w:ascii="Times New Roman" w:hAnsi="Times New Roman"/>
          <w:b/>
          <w:color w:val="0F2942"/>
          <w:sz w:val="32"/>
        </w:rPr>
        <w:t>Chapter 3: Requirement Analysis</w:t>
      </w:r>
    </w:p>
    <w:p>
      <w:pPr>
        <w:keepNext/>
        <w:spacing w:before="280" w:after="120"/>
      </w:pPr>
      <w:r>
        <w:rPr>
          <w:rFonts w:ascii="Times New Roman" w:hAnsi="Times New Roman"/>
          <w:b/>
          <w:color w:val="1E3A8A"/>
          <w:sz w:val="28"/>
        </w:rPr>
        <w:t>3.1 Requirement Gathering</w:t>
      </w:r>
    </w:p>
    <w:p>
      <w:pPr>
        <w:spacing w:after="120" w:line="276" w:lineRule="auto"/>
      </w:pPr>
      <w:r>
        <w:rPr>
          <w:rFonts w:ascii="Times New Roman" w:hAnsi="Times New Roman"/>
          <w:i w:val="0"/>
          <w:sz w:val="24"/>
        </w:rPr>
        <w:t>Requirements were synthesized through structured interviews with trade policy researchers, corporate supply chain risk managers, and quantitative macro analysts. Stakeholders requested real-time spatial visualization, 2026–2030 projections with confidence intervals, and automated executive PDF briefings.</w:t>
      </w:r>
    </w:p>
    <w:p>
      <w:pPr>
        <w:keepNext/>
        <w:spacing w:before="280" w:after="120"/>
      </w:pPr>
      <w:r>
        <w:rPr>
          <w:rFonts w:ascii="Times New Roman" w:hAnsi="Times New Roman"/>
          <w:b/>
          <w:color w:val="1E3A8A"/>
          <w:sz w:val="28"/>
        </w:rPr>
        <w:t>3.2 Requirement Specification</w:t>
      </w:r>
    </w:p>
    <w:p>
      <w:pPr>
        <w:pStyle w:val="ListBullet"/>
        <w:spacing w:after="80" w:line="276" w:lineRule="auto"/>
      </w:pPr>
      <w:r>
        <w:rPr>
          <w:rFonts w:ascii="Times New Roman" w:hAnsi="Times New Roman"/>
          <w:b/>
          <w:sz w:val="24"/>
        </w:rPr>
        <w:t xml:space="preserve">FR1: </w:t>
      </w:r>
      <w:r>
        <w:rPr>
          <w:rFonts w:ascii="Times New Roman" w:hAnsi="Times New Roman"/>
          <w:sz w:val="24"/>
        </w:rPr>
        <w:t>Ingest and sanitize UN Comtrade data; enforce 5-tuple composite key (refYear, reporterISO, partnerISO, flowCode, cmdCode).</w:t>
      </w:r>
    </w:p>
    <w:p>
      <w:pPr>
        <w:pStyle w:val="ListBullet"/>
        <w:spacing w:after="80" w:line="276" w:lineRule="auto"/>
      </w:pPr>
      <w:r>
        <w:rPr>
          <w:rFonts w:ascii="Times New Roman" w:hAnsi="Times New Roman"/>
          <w:b/>
          <w:sz w:val="24"/>
        </w:rPr>
        <w:t xml:space="preserve">FR2: </w:t>
      </w:r>
      <w:r>
        <w:rPr>
          <w:rFonts w:ascii="Times New Roman" w:hAnsi="Times New Roman"/>
          <w:sz w:val="24"/>
        </w:rPr>
        <w:t>Multi-dimensional temporal, reporter, partner, and commodity filtering.</w:t>
      </w:r>
    </w:p>
    <w:p>
      <w:pPr>
        <w:pStyle w:val="ListBullet"/>
        <w:spacing w:after="80" w:line="276" w:lineRule="auto"/>
      </w:pPr>
      <w:r>
        <w:rPr>
          <w:rFonts w:ascii="Times New Roman" w:hAnsi="Times New Roman"/>
          <w:b/>
          <w:sz w:val="24"/>
        </w:rPr>
        <w:t xml:space="preserve">FR3: </w:t>
      </w:r>
      <w:r>
        <w:rPr>
          <w:rFonts w:ascii="Times New Roman" w:hAnsi="Times New Roman"/>
          <w:sz w:val="24"/>
        </w:rPr>
        <w:t>Offline TopoJSON vector choropleth map with slide-out country dossier drawers.</w:t>
      </w:r>
    </w:p>
    <w:p>
      <w:pPr>
        <w:pStyle w:val="ListBullet"/>
        <w:spacing w:after="80" w:line="276" w:lineRule="auto"/>
      </w:pPr>
      <w:r>
        <w:rPr>
          <w:rFonts w:ascii="Times New Roman" w:hAnsi="Times New Roman"/>
          <w:b/>
          <w:sz w:val="24"/>
        </w:rPr>
        <w:t xml:space="preserve">FR4: </w:t>
      </w:r>
      <w:r>
        <w:rPr>
          <w:rFonts w:ascii="Times New Roman" w:hAnsi="Times New Roman"/>
          <w:sz w:val="24"/>
        </w:rPr>
        <w:t>Compute Lafay TBI, Balassa RTA, Grubel-Lloyd GLI, and HHI with zero-division guards.</w:t>
      </w:r>
    </w:p>
    <w:p>
      <w:pPr>
        <w:pStyle w:val="ListBullet"/>
        <w:spacing w:after="80" w:line="276" w:lineRule="auto"/>
      </w:pPr>
      <w:r>
        <w:rPr>
          <w:rFonts w:ascii="Times New Roman" w:hAnsi="Times New Roman"/>
          <w:b/>
          <w:sz w:val="24"/>
        </w:rPr>
        <w:t xml:space="preserve">FR5: </w:t>
      </w:r>
      <w:r>
        <w:rPr>
          <w:rFonts w:ascii="Times New Roman" w:hAnsi="Times New Roman"/>
          <w:sz w:val="24"/>
        </w:rPr>
        <w:t>Benchmark OLS, Random Forest, ARIMA, and Holt-Winters ETS in an interactive arena with AIC/BIC.</w:t>
      </w:r>
    </w:p>
    <w:p>
      <w:pPr>
        <w:pStyle w:val="ListBullet"/>
        <w:spacing w:after="80" w:line="276" w:lineRule="auto"/>
      </w:pPr>
      <w:r>
        <w:rPr>
          <w:rFonts w:ascii="Times New Roman" w:hAnsi="Times New Roman"/>
          <w:b/>
          <w:sz w:val="24"/>
        </w:rPr>
        <w:t xml:space="preserve">FR6: </w:t>
      </w:r>
      <w:r>
        <w:rPr>
          <w:rFonts w:ascii="Times New Roman" w:hAnsi="Times New Roman"/>
          <w:sz w:val="24"/>
        </w:rPr>
        <w:t>Execute counterfactual Armington tariff shock simulations modeling diversion and customs revenue.</w:t>
      </w:r>
    </w:p>
    <w:p>
      <w:pPr>
        <w:pStyle w:val="ListBullet"/>
        <w:spacing w:after="80" w:line="276" w:lineRule="auto"/>
      </w:pPr>
      <w:r>
        <w:rPr>
          <w:rFonts w:ascii="Times New Roman" w:hAnsi="Times New Roman"/>
          <w:b/>
          <w:sz w:val="24"/>
        </w:rPr>
        <w:t xml:space="preserve">FR7: </w:t>
      </w:r>
      <w:r>
        <w:rPr>
          <w:rFonts w:ascii="Times New Roman" w:hAnsi="Times New Roman"/>
          <w:sz w:val="24"/>
        </w:rPr>
        <w:t>Programmatic compilation of ReportLab PDF dossiers and OpenPyXL Excel models.</w:t>
      </w:r>
    </w:p>
    <w:p>
      <w:pPr>
        <w:pStyle w:val="ListBullet"/>
        <w:spacing w:after="80" w:line="276" w:lineRule="auto"/>
      </w:pPr>
      <w:r>
        <w:rPr>
          <w:rFonts w:ascii="Times New Roman" w:hAnsi="Times New Roman"/>
          <w:b/>
          <w:sz w:val="24"/>
        </w:rPr>
        <w:t xml:space="preserve">FR8: </w:t>
      </w:r>
      <w:r>
        <w:rPr>
          <w:rFonts w:ascii="Times New Roman" w:hAnsi="Times New Roman"/>
          <w:sz w:val="24"/>
        </w:rPr>
        <w:t>Anomaly rule engine monitoring YoY deficit spikes and contractions with deduplicated SMTP notifications.</w:t>
      </w:r>
    </w:p>
    <w:p>
      <w:pPr>
        <w:pStyle w:val="ListBullet"/>
        <w:spacing w:after="80" w:line="276" w:lineRule="auto"/>
      </w:pPr>
      <w:r>
        <w:rPr>
          <w:rFonts w:ascii="Times New Roman" w:hAnsi="Times New Roman"/>
          <w:b/>
          <w:sz w:val="24"/>
        </w:rPr>
        <w:t xml:space="preserve">FR9: </w:t>
      </w:r>
      <w:r>
        <w:rPr>
          <w:rFonts w:ascii="Times New Roman" w:hAnsi="Times New Roman"/>
          <w:sz w:val="24"/>
        </w:rPr>
        <w:t>Stateless JWT authentication (HS256) with role-based access control (ADMIN vs USER).</w:t>
      </w:r>
    </w:p>
    <w:p>
      <w:pPr>
        <w:pStyle w:val="ListBullet"/>
        <w:spacing w:after="80" w:line="276" w:lineRule="auto"/>
      </w:pPr>
      <w:r>
        <w:rPr>
          <w:rFonts w:ascii="Times New Roman" w:hAnsi="Times New Roman"/>
          <w:b/>
          <w:sz w:val="24"/>
        </w:rPr>
        <w:t xml:space="preserve">FR10: </w:t>
      </w:r>
      <w:r>
        <w:rPr>
          <w:rFonts w:ascii="Times New Roman" w:hAnsi="Times New Roman"/>
          <w:sz w:val="24"/>
        </w:rPr>
        <w:t>Production Docker containerization with Nginx reverse proxy and sub-30 MB runtime.</w:t>
      </w:r>
    </w:p>
    <w:p>
      <w:pPr>
        <w:keepNext/>
        <w:spacing w:before="280" w:after="120"/>
      </w:pPr>
      <w:r>
        <w:rPr>
          <w:rFonts w:ascii="Times New Roman" w:hAnsi="Times New Roman"/>
          <w:b/>
          <w:color w:val="1E3A8A"/>
          <w:sz w:val="28"/>
        </w:rPr>
        <w:t>3.3 Use Case Modeling</w:t>
      </w:r>
    </w:p>
    <w:p>
      <w:pPr>
        <w:spacing w:after="120" w:line="276" w:lineRule="auto"/>
      </w:pPr>
      <w:r>
        <w:rPr>
          <w:rFonts w:ascii="Times New Roman" w:hAnsi="Times New Roman"/>
          <w:i w:val="0"/>
          <w:sz w:val="24"/>
        </w:rPr>
        <w:t>The system coordinates three primary actors: System Administrator (data upload, live sync, user management), Trade Analyst (forecasting, policy simulation, report exports, anomaly alerts), and Background System Worker (automated sync &amp; email dispatch).</w:t>
      </w:r>
    </w:p>
    <w:p>
      <w:r>
        <w:br w:type="page"/>
      </w:r>
    </w:p>
    <w:p>
      <w:pPr>
        <w:keepNext/>
        <w:spacing w:before="360" w:after="160"/>
      </w:pPr>
      <w:r>
        <w:rPr>
          <w:rFonts w:ascii="Times New Roman" w:hAnsi="Times New Roman"/>
          <w:b/>
          <w:color w:val="0F2942"/>
          <w:sz w:val="32"/>
        </w:rPr>
        <w:t>Chapter 4: System Design</w:t>
      </w:r>
    </w:p>
    <w:p>
      <w:pPr>
        <w:keepNext/>
        <w:spacing w:before="280" w:after="120"/>
      </w:pPr>
      <w:r>
        <w:rPr>
          <w:rFonts w:ascii="Times New Roman" w:hAnsi="Times New Roman"/>
          <w:b/>
          <w:color w:val="1E3A8A"/>
          <w:sz w:val="28"/>
        </w:rPr>
        <w:t>4.1 Architectural Design</w:t>
      </w:r>
    </w:p>
    <w:p>
      <w:pPr>
        <w:spacing w:after="120" w:line="276" w:lineRule="auto"/>
      </w:pPr>
      <w:r>
        <w:rPr>
          <w:rFonts w:ascii="Times New Roman" w:hAnsi="Times New Roman"/>
          <w:i w:val="0"/>
          <w:sz w:val="24"/>
        </w:rPr>
        <w:t>The system utilizes a 3-tier decoupled architecture: React 19 Single Page Application in the presentation tier, FastAPI with 18 modular APIRouters in the application tier, and SQLite (WAL mode) with SQLAlchemy ORM in the data tier. An Nginx reverse proxy bridges ports 80/5173 to backend port 8000, eliminating CORS issues and handling SPA client routing.</w:t>
      </w:r>
    </w:p>
    <w:p>
      <w:pPr>
        <w:keepNext/>
        <w:spacing w:before="280" w:after="120"/>
      </w:pPr>
      <w:r>
        <w:rPr>
          <w:rFonts w:ascii="Times New Roman" w:hAnsi="Times New Roman"/>
          <w:b/>
          <w:color w:val="1E3A8A"/>
          <w:sz w:val="28"/>
        </w:rPr>
        <w:t>4.2 User Interface Design</w:t>
      </w:r>
    </w:p>
    <w:p>
      <w:pPr>
        <w:spacing w:after="120" w:line="276" w:lineRule="auto"/>
      </w:pPr>
      <w:r>
        <w:rPr>
          <w:rFonts w:ascii="Times New Roman" w:hAnsi="Times New Roman"/>
          <w:i w:val="0"/>
          <w:sz w:val="24"/>
        </w:rPr>
        <w:t>The UI follows a dark-mode glassmorphism design system (#0b1120 background, #111827 card containers, #1e293b border slate) featuring persistent sidebar navigation, executive KPI scorecards, interactive Recharts visualizations, and TopoJSON vector mapping.</w:t>
      </w:r>
    </w:p>
    <w:p>
      <w:pPr>
        <w:spacing w:before="16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global_map_desktop.png"/>
                    <pic:cNvPicPr/>
                  </pic:nvPicPr>
                  <pic:blipFill>
                    <a:blip r:embed="rId9"/>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75569"/>
          <w:sz w:val="20"/>
        </w:rPr>
        <w:t>Figure 4.1: Interactive TopoJSON Geospatial Vector Map with Country Dossier Drawer</w:t>
      </w:r>
    </w:p>
    <w:p>
      <w:pPr>
        <w:spacing w:before="160" w:after="80"/>
        <w:jc w:val="center"/>
      </w:pPr>
      <w:r>
        <w:drawing>
          <wp:inline xmlns:a="http://schemas.openxmlformats.org/drawingml/2006/main" xmlns:pic="http://schemas.openxmlformats.org/drawingml/2006/picture">
            <wp:extent cx="5303520" cy="3535680"/>
            <wp:docPr id="2" name="Picture 2"/>
            <wp:cNvGraphicFramePr>
              <a:graphicFrameLocks noChangeAspect="1"/>
            </wp:cNvGraphicFramePr>
            <a:graphic>
              <a:graphicData uri="http://schemas.openxmlformats.org/drawingml/2006/picture">
                <pic:pic>
                  <pic:nvPicPr>
                    <pic:cNvPr id="0" name="ml_comparison_arena_overview.png"/>
                    <pic:cNvPicPr/>
                  </pic:nvPicPr>
                  <pic:blipFill>
                    <a:blip r:embed="rId10"/>
                    <a:stretch>
                      <a:fillRect/>
                    </a:stretch>
                  </pic:blipFill>
                  <pic:spPr>
                    <a:xfrm>
                      <a:off x="0" y="0"/>
                      <a:ext cx="5303520" cy="3535680"/>
                    </a:xfrm>
                    <a:prstGeom prst="rect"/>
                  </pic:spPr>
                </pic:pic>
              </a:graphicData>
            </a:graphic>
          </wp:inline>
        </w:drawing>
      </w:r>
    </w:p>
    <w:p>
      <w:pPr>
        <w:spacing w:after="240"/>
        <w:jc w:val="center"/>
      </w:pPr>
      <w:r>
        <w:rPr>
          <w:rFonts w:ascii="Times New Roman" w:hAnsi="Times New Roman"/>
          <w:i/>
          <w:color w:val="475569"/>
          <w:sz w:val="20"/>
        </w:rPr>
        <w:t>Figure 4.2: Machine Learning Model Comparison Arena (OLS, RF, ARIMA, ETS)</w:t>
      </w:r>
    </w:p>
    <w:p>
      <w:pPr>
        <w:keepNext/>
        <w:spacing w:before="280" w:after="120"/>
      </w:pPr>
      <w:r>
        <w:rPr>
          <w:rFonts w:ascii="Times New Roman" w:hAnsi="Times New Roman"/>
          <w:b/>
          <w:color w:val="1E3A8A"/>
          <w:sz w:val="28"/>
        </w:rPr>
        <w:t>4.3 System Modeling</w:t>
      </w:r>
    </w:p>
    <w:p>
      <w:pPr>
        <w:spacing w:after="120" w:line="276" w:lineRule="auto"/>
      </w:pPr>
      <w:r>
        <w:rPr>
          <w:rFonts w:ascii="Times New Roman" w:hAnsi="Times New Roman"/>
          <w:b/>
          <w:sz w:val="24"/>
        </w:rPr>
        <w:t xml:space="preserve">Data Flow: </w:t>
      </w:r>
      <w:r>
        <w:rPr>
          <w:rFonts w:ascii="Times New Roman" w:hAnsi="Times New Roman"/>
          <w:i w:val="0"/>
          <w:sz w:val="24"/>
        </w:rPr>
        <w:t>4.3.1 Data Flow Diagrams (DFD): Level 0 Context Diagram depicts user inputs (queries, shocks, CSVs) and system outputs (visual charts, forecasts, PDF dossiers). Level 1 DFD decomposes into 7 sub-processes (Authentication, Ingestion, Analytics, Forecasting, Simulation, Reporting, Alerts).</w:t>
      </w:r>
    </w:p>
    <w:p>
      <w:pPr>
        <w:spacing w:after="120" w:line="276" w:lineRule="auto"/>
      </w:pPr>
      <w:r>
        <w:rPr>
          <w:rFonts w:ascii="Times New Roman" w:hAnsi="Times New Roman"/>
          <w:b/>
          <w:sz w:val="24"/>
        </w:rPr>
        <w:t xml:space="preserve">Sequence: </w:t>
      </w:r>
      <w:r>
        <w:rPr>
          <w:rFonts w:ascii="Times New Roman" w:hAnsi="Times New Roman"/>
          <w:i w:val="0"/>
          <w:sz w:val="24"/>
        </w:rPr>
        <w:t>4.3.2 Sequence Diagram: Details interaction sequence when an analyst triggers a tariff shock: UI sends POST request, backend queries baseline volume from SQLite, Armington engine computes pass-through and diversion, and Recharts renders trajectories.</w:t>
      </w:r>
    </w:p>
    <w:p>
      <w:pPr>
        <w:spacing w:after="120" w:line="276" w:lineRule="auto"/>
      </w:pPr>
      <w:r>
        <w:rPr>
          <w:rFonts w:ascii="Times New Roman" w:hAnsi="Times New Roman"/>
          <w:b/>
          <w:sz w:val="24"/>
        </w:rPr>
        <w:t xml:space="preserve">Activity: </w:t>
      </w:r>
      <w:r>
        <w:rPr>
          <w:rFonts w:ascii="Times New Roman" w:hAnsi="Times New Roman"/>
          <w:i w:val="0"/>
          <w:sz w:val="24"/>
        </w:rPr>
        <w:t>4.3.3 Activity Diagram: Outlines chronological time-series pipeline: fetch data, check N&gt;=8 observations, construct strict lags, split training/test sets, fit 4 models, evaluate AIC/BIC, select lowest MAE model, and project 2026–2030 confidence bounds.</w:t>
      </w:r>
    </w:p>
    <w:p>
      <w:pPr>
        <w:spacing w:after="120" w:line="276" w:lineRule="auto"/>
      </w:pPr>
      <w:r>
        <w:rPr>
          <w:rFonts w:ascii="Times New Roman" w:hAnsi="Times New Roman"/>
          <w:b/>
          <w:sz w:val="24"/>
        </w:rPr>
        <w:t xml:space="preserve">Component: </w:t>
      </w:r>
      <w:r>
        <w:rPr>
          <w:rFonts w:ascii="Times New Roman" w:hAnsi="Times New Roman"/>
          <w:i w:val="0"/>
          <w:sz w:val="24"/>
        </w:rPr>
        <w:t>4.3.4 Component Diagram: Maps frontend React components (App, Sidebar, DashboardPage, PredictionPage, SimulatorPage) to backend FastAPI routers, domain services (MLService, SimService, PDFService, AlertService), and SQLAlchemy models.</w:t>
      </w:r>
    </w:p>
    <w:p>
      <w:pPr>
        <w:spacing w:after="120" w:line="276" w:lineRule="auto"/>
      </w:pPr>
      <w:r>
        <w:rPr>
          <w:rFonts w:ascii="Times New Roman" w:hAnsi="Times New Roman"/>
          <w:b/>
          <w:sz w:val="24"/>
        </w:rPr>
        <w:t xml:space="preserve">Deployment: </w:t>
      </w:r>
      <w:r>
        <w:rPr>
          <w:rFonts w:ascii="Times New Roman" w:hAnsi="Times New Roman"/>
          <w:i w:val="0"/>
          <w:sz w:val="24"/>
        </w:rPr>
        <w:t>4.3.5 Deployment Diagram: Shows Docker Engine hosting global_trade_frontend (Nginx Alpine) and global_trade_backend (Python 3.12 non-root) connected over bridge network trade-network with host volume mounts (./data:/app/data).</w:t>
      </w:r>
    </w:p>
    <w:p>
      <w:pPr>
        <w:spacing w:before="160" w:after="80"/>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scenario_simulator_overview.png"/>
                    <pic:cNvPicPr/>
                  </pic:nvPicPr>
                  <pic:blipFill>
                    <a:blip r:embed="rId11"/>
                    <a:stretch>
                      <a:fillRect/>
                    </a:stretch>
                  </pic:blipFill>
                  <pic:spPr>
                    <a:xfrm>
                      <a:off x="0" y="0"/>
                      <a:ext cx="5303520" cy="3977640"/>
                    </a:xfrm>
                    <a:prstGeom prst="rect"/>
                  </pic:spPr>
                </pic:pic>
              </a:graphicData>
            </a:graphic>
          </wp:inline>
        </w:drawing>
      </w:r>
    </w:p>
    <w:p>
      <w:pPr>
        <w:spacing w:after="240"/>
        <w:jc w:val="center"/>
      </w:pPr>
      <w:r>
        <w:rPr>
          <w:rFonts w:ascii="Times New Roman" w:hAnsi="Times New Roman"/>
          <w:i/>
          <w:color w:val="475569"/>
          <w:sz w:val="20"/>
        </w:rPr>
        <w:t>Figure 4.3: Counterfactual Armington Scenario Simulator &amp; Tariff Shock Trajectories</w:t>
      </w:r>
    </w:p>
    <w:p>
      <w:pPr>
        <w:keepNext/>
        <w:spacing w:before="280" w:after="120"/>
      </w:pPr>
      <w:r>
        <w:rPr>
          <w:rFonts w:ascii="Times New Roman" w:hAnsi="Times New Roman"/>
          <w:b/>
          <w:color w:val="1E3A8A"/>
          <w:sz w:val="28"/>
        </w:rPr>
        <w:t>4.4 Algorithmic Description of Each Module</w:t>
      </w:r>
    </w:p>
    <w:p>
      <w:pPr>
        <w:spacing w:after="120" w:line="276" w:lineRule="auto"/>
      </w:pPr>
      <w:r>
        <w:rPr>
          <w:rFonts w:ascii="Times New Roman" w:hAnsi="Times New Roman"/>
          <w:b/>
          <w:sz w:val="24"/>
        </w:rPr>
        <w:t xml:space="preserve">Module 1 (Data Ingestion &amp; Deduplication): </w:t>
      </w:r>
      <w:r>
        <w:rPr>
          <w:rFonts w:ascii="Times New Roman" w:hAnsi="Times New Roman"/>
          <w:i w:val="0"/>
          <w:sz w:val="24"/>
        </w:rPr>
        <w:t>Deduplication key K = &lt;refYear, reporterISO, partnerISO, flowCode, cmdCode&gt;. Performs atomic upsert on conflict.</w:t>
      </w:r>
    </w:p>
    <w:p>
      <w:pPr>
        <w:spacing w:after="120" w:line="276" w:lineRule="auto"/>
      </w:pPr>
      <w:r>
        <w:rPr>
          <w:rFonts w:ascii="Times New Roman" w:hAnsi="Times New Roman"/>
          <w:b/>
          <w:sz w:val="24"/>
        </w:rPr>
        <w:t xml:space="preserve">Module 2 (Anti-Leakage Feature Pipeline): </w:t>
      </w:r>
      <w:r>
        <w:rPr>
          <w:rFonts w:ascii="Times New Roman" w:hAnsi="Times New Roman"/>
          <w:i w:val="0"/>
          <w:sz w:val="24"/>
        </w:rPr>
        <w:t>Strict backwards-looking features: lag_1, lag_2, lag_3, and rolling_mean_3 shifted by 1 (rolling(3).mean().shift(1)) to prevent current-year leakage.</w:t>
      </w:r>
    </w:p>
    <w:p>
      <w:pPr>
        <w:spacing w:after="120" w:line="276" w:lineRule="auto"/>
      </w:pPr>
      <w:r>
        <w:rPr>
          <w:rFonts w:ascii="Times New Roman" w:hAnsi="Times New Roman"/>
          <w:b/>
          <w:sz w:val="24"/>
        </w:rPr>
        <w:t xml:space="preserve">Module 3 (4-Model Forecasting Arena): </w:t>
      </w:r>
      <w:r>
        <w:rPr>
          <w:rFonts w:ascii="Times New Roman" w:hAnsi="Times New Roman"/>
          <w:i w:val="0"/>
          <w:sz w:val="24"/>
        </w:rPr>
        <w:t>Fits OLS, 50-tree Random Forest, Box-Jenkins ARIMA with AIC grid search, and Holt-Winters ETS. Benchmarks against historical mean baseline with compounding 95% CIs: y_hat +- 1.96 * std_err * sqrt(h).</w:t>
      </w:r>
    </w:p>
    <w:p>
      <w:pPr>
        <w:spacing w:after="120" w:line="276" w:lineRule="auto"/>
      </w:pPr>
      <w:r>
        <w:rPr>
          <w:rFonts w:ascii="Times New Roman" w:hAnsi="Times New Roman"/>
          <w:b/>
          <w:sz w:val="24"/>
        </w:rPr>
        <w:t xml:space="preserve">Module 4 (Armington Elasticity Simulator): </w:t>
      </w:r>
      <w:r>
        <w:rPr>
          <w:rFonts w:ascii="Times New Roman" w:hAnsi="Times New Roman"/>
          <w:i w:val="0"/>
          <w:sz w:val="24"/>
        </w:rPr>
        <w:t>Applies price pass-through (ΔP = τ * ρ), demand contraction (%ΔQ = ε_d * ΔP), customs revenues (Revenue = τ * Q_shock), and redistributes diverted trade to neutral third-party nations.</w:t>
      </w:r>
    </w:p>
    <w:p>
      <w:r>
        <w:br w:type="page"/>
      </w:r>
    </w:p>
    <w:p>
      <w:pPr>
        <w:keepNext/>
        <w:spacing w:before="360" w:after="160"/>
      </w:pPr>
      <w:r>
        <w:rPr>
          <w:rFonts w:ascii="Times New Roman" w:hAnsi="Times New Roman"/>
          <w:b/>
          <w:color w:val="0F2942"/>
          <w:sz w:val="32"/>
        </w:rPr>
        <w:t>Chapter 5: Implementation</w:t>
      </w:r>
    </w:p>
    <w:p>
      <w:pPr>
        <w:keepNext/>
        <w:spacing w:before="280" w:after="120"/>
      </w:pPr>
      <w:r>
        <w:rPr>
          <w:rFonts w:ascii="Times New Roman" w:hAnsi="Times New Roman"/>
          <w:b/>
          <w:color w:val="1E3A8A"/>
          <w:sz w:val="28"/>
        </w:rPr>
        <w:t>5.1 Environmental Setting</w:t>
      </w:r>
    </w:p>
    <w:p>
      <w:pPr>
        <w:spacing w:after="120" w:line="276" w:lineRule="auto"/>
      </w:pPr>
      <w:r>
        <w:rPr>
          <w:rFonts w:ascii="Times New Roman" w:hAnsi="Times New Roman"/>
          <w:i w:val="0"/>
          <w:sz w:val="24"/>
        </w:rPr>
        <w:t>The backend is developed with Python 3.12, FastAPI 0.110, SQLAlchemy 2.0, Pydantic v2, Scikit-learn 1.4, Statsmodels 0.14, ReportLab 4.0, and OpenPyXL 3.1. The frontend utilizes React 19, Vite 8, Recharts 3.10, D3-Geo, and Lucide icons. Containerization uses multi-stage Alpine Docker images orchestrated with Docker Compose.</w:t>
      </w:r>
    </w:p>
    <w:p>
      <w:pPr>
        <w:keepNext/>
        <w:spacing w:before="280" w:after="120"/>
      </w:pPr>
      <w:r>
        <w:rPr>
          <w:rFonts w:ascii="Times New Roman" w:hAnsi="Times New Roman"/>
          <w:b/>
          <w:color w:val="1E3A8A"/>
          <w:sz w:val="28"/>
        </w:rPr>
        <w:t>5.2 Implementation Details &amp; Core Code Snippets</w:t>
      </w:r>
    </w:p>
    <w:p>
      <w:pPr>
        <w:spacing w:after="120" w:line="276" w:lineRule="auto"/>
      </w:pPr>
      <w:r>
        <w:rPr>
          <w:rFonts w:ascii="Times New Roman" w:hAnsi="Times New Roman"/>
          <w:b/>
          <w:sz w:val="24"/>
        </w:rPr>
        <w:t xml:space="preserve">Armington Simulator: </w:t>
      </w:r>
      <w:r>
        <w:rPr>
          <w:rFonts w:ascii="Times New Roman" w:hAnsi="Times New Roman"/>
          <w:i w:val="0"/>
          <w:sz w:val="24"/>
        </w:rPr>
        <w:t>Below is the core implementation of the Armington Elasticity Engine: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def calculate_tariff_shock(base_volume: float, tariff_pct: float, elasticity: float = -1.25, pass_through: float = 0.85):</w:t>
              <w:br/>
              <w:t xml:space="preserve">    effective_tariff = tariff_pct / 100.0</w:t>
              <w:br/>
              <w:t xml:space="preserve">    price_delta = effective_tariff * pass_through</w:t>
              <w:br/>
              <w:t xml:space="preserve">    quantity_contraction_pct = elasticity * price_delta</w:t>
              <w:br/>
              <w:t xml:space="preserve">    shock_volume = max(0.0, base_volume * (1.0 + quantity_contraction_pct))</w:t>
              <w:br/>
              <w:t xml:space="preserve">    customs_revenue = shock_volume * effective_tariff</w:t>
              <w:br/>
              <w:t xml:space="preserve">    return {</w:t>
              <w:br/>
              <w:t xml:space="preserve">        "baseline_volume": base_volume,</w:t>
              <w:br/>
              <w:t xml:space="preserve">        "post_shock_volume": shock_volume,</w:t>
              <w:br/>
              <w:t xml:space="preserve">        "volume_delta": shock_volume - base_volume,</w:t>
              <w:br/>
              <w:t xml:space="preserve">        "customs_revenue": customs_revenue</w:t>
              <w:br/>
              <w:t xml:space="preserve">    }</w:t>
            </w:r>
          </w:p>
        </w:tc>
      </w:tr>
    </w:tbl>
    <w:p>
      <w:pPr>
        <w:spacing w:after="120"/>
      </w:pPr>
    </w:p>
    <w:p>
      <w:pPr>
        <w:spacing w:after="120" w:line="276" w:lineRule="auto"/>
      </w:pPr>
      <w:r>
        <w:rPr>
          <w:rFonts w:ascii="Times New Roman" w:hAnsi="Times New Roman"/>
          <w:b/>
          <w:sz w:val="24"/>
        </w:rPr>
        <w:t xml:space="preserve">Anti-Leakage Feature Pipeline: </w:t>
      </w:r>
      <w:r>
        <w:rPr>
          <w:rFonts w:ascii="Times New Roman" w:hAnsi="Times New Roman"/>
          <w:i w:val="0"/>
          <w:sz w:val="24"/>
        </w:rPr>
        <w:t>Below is the core anti-leakage time-series feature engineering pipeline:</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def prepare_time_series_features(df: pd.DataFrame, target_col: str = "primaryValue"):</w:t>
              <w:br/>
              <w:t xml:space="preserve">    df = df.sort_values("refYear").copy()</w:t>
              <w:br/>
              <w:t xml:space="preserve">    df["lag_1"] = df[target_col].shift(1)</w:t>
              <w:br/>
              <w:t xml:space="preserve">    df["lag_2"] = df[target_col].shift(2)</w:t>
              <w:br/>
              <w:t xml:space="preserve">    df["lag_3"] = df[target_col].shift(3)</w:t>
              <w:br/>
              <w:t xml:space="preserve">    df["rolling_mean_3"] = df[target_col].rolling(window=3, min_periods=1).mean().shift(1)</w:t>
              <w:br/>
              <w:t xml:space="preserve">    df["pct_change_1"] = df[target_col].pct_change(1).shift(1).fillna(0.0)</w:t>
              <w:br/>
              <w:t xml:space="preserve">    df["year_trend"] = df["refYear"] - df["refYear"].min()</w:t>
              <w:br/>
              <w:t xml:space="preserve">    return df.dropna(subset=["lag_1", "lag_2", "lag_3"]).copy()</w:t>
            </w:r>
          </w:p>
        </w:tc>
      </w:tr>
    </w:tbl>
    <w:p>
      <w:pPr>
        <w:spacing w:after="120"/>
      </w:pPr>
    </w:p>
    <w:p>
      <w:r>
        <w:br w:type="page"/>
      </w:r>
    </w:p>
    <w:p>
      <w:pPr>
        <w:keepNext/>
        <w:spacing w:before="360" w:after="160"/>
      </w:pPr>
      <w:r>
        <w:rPr>
          <w:rFonts w:ascii="Times New Roman" w:hAnsi="Times New Roman"/>
          <w:b/>
          <w:color w:val="0F2942"/>
          <w:sz w:val="32"/>
        </w:rPr>
        <w:t>Chapter 6: Integration and Testing</w:t>
      </w:r>
    </w:p>
    <w:p>
      <w:pPr>
        <w:keepNext/>
        <w:spacing w:before="280" w:after="120"/>
      </w:pPr>
      <w:r>
        <w:rPr>
          <w:rFonts w:ascii="Times New Roman" w:hAnsi="Times New Roman"/>
          <w:b/>
          <w:color w:val="1E3A8A"/>
          <w:sz w:val="28"/>
        </w:rPr>
        <w:t>6.1 Description of Integration Modules</w:t>
      </w:r>
    </w:p>
    <w:p>
      <w:pPr>
        <w:spacing w:after="120" w:line="276" w:lineRule="auto"/>
      </w:pPr>
      <w:r>
        <w:rPr>
          <w:rFonts w:ascii="Times New Roman" w:hAnsi="Times New Roman"/>
          <w:i w:val="0"/>
          <w:sz w:val="24"/>
        </w:rPr>
        <w:t>Integration connects the React SPA to FastAPI endpoints via an Axios client with JWT interceptors. In production, Nginx reverse-proxies `/api/*` to the Uvicorn container, eliminating CORS preflight latency. Client routes resolve seamlessly via Nginx's `try_files $uri $uri/ /index.html;` directive.</w:t>
      </w:r>
    </w:p>
    <w:p>
      <w:pPr>
        <w:keepNext/>
        <w:spacing w:before="280" w:after="120"/>
      </w:pPr>
      <w:r>
        <w:rPr>
          <w:rFonts w:ascii="Times New Roman" w:hAnsi="Times New Roman"/>
          <w:b/>
          <w:color w:val="1E3A8A"/>
          <w:sz w:val="28"/>
        </w:rPr>
        <w:t>6.2 Test Execution Results (168 Unit &amp; Integration Tests)</w:t>
      </w:r>
    </w:p>
    <w:p>
      <w:pPr>
        <w:spacing w:after="120" w:line="276" w:lineRule="auto"/>
      </w:pPr>
      <w:r>
        <w:rPr>
          <w:rFonts w:ascii="Times New Roman" w:hAnsi="Times New Roman"/>
          <w:i w:val="0"/>
          <w:sz w:val="24"/>
        </w:rPr>
        <w:t>The verification suite comprises 168 automated tests across 18 test suites executed via Pytest. The suite achieves a 100% pass rate in 64.89 seconds with zero regressions: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Test Suite Module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Tests Passed</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Execution Time</w:t>
            </w:r>
          </w:p>
        </w:tc>
        <w:tc>
          <w:tcPr>
            <w:tcW w:type="dxa" w:w="2340"/>
            <w:shd w:fill="1E3A5F"/>
            <w:tcMar>
              <w:top w:w="100" w:type="dxa"/>
              <w:bottom w:w="100" w:type="dxa"/>
              <w:left w:w="150" w:type="dxa"/>
              <w:right w:w="150" w:type="dxa"/>
            </w:tcMar>
          </w:tcPr>
          <w:p>
            <w:pPr>
              <w:spacing w:after="40" w:line="264" w:lineRule="auto"/>
            </w:pPr>
            <w:r>
              <w:rPr>
                <w:rFonts w:ascii="Times New Roman" w:hAnsi="Times New Roman"/>
                <w:b/>
                <w:color w:val="FFFFFF"/>
                <w:sz w:val="21"/>
              </w:rPr>
              <w:t>Scope Verified</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test_auth.py &amp; test_admin.py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22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5.0s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JWT auth, password hashing, RBAC route guards</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test_pipeline.py</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12 Passed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2.5s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Schema validation, null coercion, deduplication</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test_dashboard.py &amp; test_trade_analysis.py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21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5.1s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KPI aggregations, sorting, pagination, CSV export</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test_economic_metrics.py</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11 Passed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2.7s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Lafay TBI, Balassa RTA, Grubel-Lloyd, HHI indices</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test_prediction.py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12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8.5s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4-model arena, anti-leakage shifts, 95% CIs, AIC/BIC</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test_simulator.py</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8 Passed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2.3s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Armington elasticity, tariff shocks, trade diversion</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test_reports.py &amp; test_reports_export.py</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12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5.7s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ReportLab PDF generation, OpenPyXL Excel models</w:t>
            </w:r>
          </w:p>
        </w:tc>
      </w:tr>
      <w:tr>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test_alerts.py</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13 Passed</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3.5s</w:t>
            </w:r>
          </w:p>
        </w:tc>
        <w:tc>
          <w:tcPr>
            <w:tcW w:type="dxa" w:w="2340"/>
            <w:shd w:fill="FFFFFF"/>
            <w:tcMar>
              <w:top w:w="100" w:type="dxa"/>
              <w:bottom w:w="100" w:type="dxa"/>
              <w:left w:w="150" w:type="dxa"/>
              <w:right w:w="150" w:type="dxa"/>
            </w:tcMar>
          </w:tcPr>
          <w:p>
            <w:pPr>
              <w:spacing w:after="40" w:line="264" w:lineRule="auto"/>
            </w:pPr>
            <w:r>
              <w:rPr>
                <w:rFonts w:ascii="Times New Roman" w:hAnsi="Times New Roman"/>
                <w:color w:val="1E293B"/>
                <w:sz w:val="20"/>
              </w:rPr>
              <w:t>Anomaly threshold rules, deduplication, SMTP outbox</w:t>
            </w:r>
          </w:p>
        </w:tc>
      </w:tr>
      <w:tr>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Full Suite (18 Modules)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168 Passed</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64.89s</w:t>
            </w:r>
          </w:p>
        </w:tc>
        <w:tc>
          <w:tcPr>
            <w:tcW w:type="dxa" w:w="2340"/>
            <w:shd w:fill="F8FAFC"/>
            <w:tcMar>
              <w:top w:w="100" w:type="dxa"/>
              <w:bottom w:w="100" w:type="dxa"/>
              <w:left w:w="150" w:type="dxa"/>
              <w:right w:w="150" w:type="dxa"/>
            </w:tcMar>
          </w:tcPr>
          <w:p>
            <w:pPr>
              <w:spacing w:after="40" w:line="264" w:lineRule="auto"/>
            </w:pPr>
            <w:r>
              <w:rPr>
                <w:rFonts w:ascii="Times New Roman" w:hAnsi="Times New Roman"/>
                <w:color w:val="1E293B"/>
                <w:sz w:val="20"/>
              </w:rPr>
              <w:t>100% Pass Rate across all endpoints (0 Regressions)</w:t>
            </w:r>
          </w:p>
        </w:tc>
      </w:tr>
    </w:tbl>
    <w:p>
      <w:pPr>
        <w:spacing w:before="160" w:after="80"/>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alerts_briefings_tab.png"/>
                    <pic:cNvPicPr/>
                  </pic:nvPicPr>
                  <pic:blipFill>
                    <a:blip r:embed="rId12"/>
                    <a:stretch>
                      <a:fillRect/>
                    </a:stretch>
                  </pic:blipFill>
                  <pic:spPr>
                    <a:xfrm>
                      <a:off x="0" y="0"/>
                      <a:ext cx="5303520" cy="3977640"/>
                    </a:xfrm>
                    <a:prstGeom prst="rect"/>
                  </pic:spPr>
                </pic:pic>
              </a:graphicData>
            </a:graphic>
          </wp:inline>
        </w:drawing>
      </w:r>
    </w:p>
    <w:p>
      <w:pPr>
        <w:spacing w:after="240"/>
        <w:jc w:val="center"/>
      </w:pPr>
      <w:r>
        <w:rPr>
          <w:rFonts w:ascii="Times New Roman" w:hAnsi="Times New Roman"/>
          <w:i/>
          <w:color w:val="475569"/>
          <w:sz w:val="20"/>
        </w:rPr>
        <w:t>Figure 6.1: Automated Executive PDF Briefings &amp; Scheduled Dispatch Workspace</w:t>
      </w:r>
    </w:p>
    <w:p>
      <w:pPr>
        <w:keepNext/>
        <w:spacing w:before="280" w:after="120"/>
      </w:pPr>
      <w:r>
        <w:rPr>
          <w:rFonts w:ascii="Times New Roman" w:hAnsi="Times New Roman"/>
          <w:b/>
          <w:color w:val="1E3A8A"/>
          <w:sz w:val="28"/>
        </w:rPr>
        <w:t>6.3 Performance Analysis</w:t>
      </w:r>
    </w:p>
    <w:p>
      <w:pPr>
        <w:spacing w:after="120" w:line="276" w:lineRule="auto"/>
      </w:pPr>
      <w:r>
        <w:rPr>
          <w:rFonts w:ascii="Times New Roman" w:hAnsi="Times New Roman"/>
          <w:i w:val="0"/>
          <w:sz w:val="24"/>
        </w:rPr>
        <w:t>API aggregation endpoints execute in under 45 ms over indexed tables. The Armington simulation runs in 38 ms. The multi-stage Nginx frontend container maintains a footprint under 30 MB, enabling rapid cold-start deployment.</w:t>
      </w:r>
    </w:p>
    <w:p>
      <w:r>
        <w:br w:type="page"/>
      </w:r>
    </w:p>
    <w:p>
      <w:pPr>
        <w:keepNext/>
        <w:spacing w:before="360" w:after="160"/>
      </w:pPr>
      <w:r>
        <w:rPr>
          <w:rFonts w:ascii="Times New Roman" w:hAnsi="Times New Roman"/>
          <w:b/>
          <w:color w:val="0F2942"/>
          <w:sz w:val="32"/>
        </w:rPr>
        <w:t>Chapter 7: Future Scope &amp; Applications</w:t>
      </w:r>
    </w:p>
    <w:p>
      <w:pPr>
        <w:keepNext/>
        <w:spacing w:before="280" w:after="120"/>
      </w:pPr>
      <w:r>
        <w:rPr>
          <w:rFonts w:ascii="Times New Roman" w:hAnsi="Times New Roman"/>
          <w:b/>
          <w:color w:val="1E3A8A"/>
          <w:sz w:val="28"/>
        </w:rPr>
        <w:t>7.1 Future Scope</w:t>
      </w:r>
    </w:p>
    <w:p>
      <w:pPr>
        <w:pStyle w:val="ListBullet"/>
        <w:spacing w:after="80" w:line="276" w:lineRule="auto"/>
      </w:pPr>
      <w:r>
        <w:rPr>
          <w:rFonts w:ascii="Times New Roman" w:hAnsi="Times New Roman"/>
          <w:b/>
          <w:sz w:val="24"/>
        </w:rPr>
        <w:t xml:space="preserve">Deep Learning Transformers: </w:t>
      </w:r>
      <w:r>
        <w:rPr>
          <w:rFonts w:ascii="Times New Roman" w:hAnsi="Times New Roman"/>
          <w:sz w:val="24"/>
        </w:rPr>
        <w:t>Evaluate Transformer-based architectures (PatchTST, TimesNet) on multi-decade trade series.</w:t>
      </w:r>
    </w:p>
    <w:p>
      <w:pPr>
        <w:pStyle w:val="ListBullet"/>
        <w:spacing w:after="80" w:line="276" w:lineRule="auto"/>
      </w:pPr>
      <w:r>
        <w:rPr>
          <w:rFonts w:ascii="Times New Roman" w:hAnsi="Times New Roman"/>
          <w:b/>
          <w:sz w:val="24"/>
        </w:rPr>
        <w:t xml:space="preserve">HS-6 Granularity: </w:t>
      </w:r>
      <w:r>
        <w:rPr>
          <w:rFonts w:ascii="Times New Roman" w:hAnsi="Times New Roman"/>
          <w:sz w:val="24"/>
        </w:rPr>
        <w:t>Expand data ingestion from broad aggregates to 6-digit Harmonized System (HS-6) commodity codes covering 5,000+ products.</w:t>
      </w:r>
    </w:p>
    <w:p>
      <w:pPr>
        <w:pStyle w:val="ListBullet"/>
        <w:spacing w:after="80" w:line="276" w:lineRule="auto"/>
      </w:pPr>
      <w:r>
        <w:rPr>
          <w:rFonts w:ascii="Times New Roman" w:hAnsi="Times New Roman"/>
          <w:b/>
          <w:sz w:val="24"/>
        </w:rPr>
        <w:t xml:space="preserve">Gravity Formulation: </w:t>
      </w:r>
      <w:r>
        <w:rPr>
          <w:rFonts w:ascii="Times New Roman" w:hAnsi="Times New Roman"/>
          <w:sz w:val="24"/>
        </w:rPr>
        <w:t>Incorporate Jan Tinbergen's gravity equation modeling bilateral distance, shared borders, and trade pact frictions.</w:t>
      </w:r>
    </w:p>
    <w:p>
      <w:pPr>
        <w:keepNext/>
        <w:spacing w:before="280" w:after="120"/>
      </w:pPr>
      <w:r>
        <w:rPr>
          <w:rFonts w:ascii="Times New Roman" w:hAnsi="Times New Roman"/>
          <w:b/>
          <w:color w:val="1E3A8A"/>
          <w:sz w:val="28"/>
        </w:rPr>
        <w:t>7.2 Real-World Applications</w:t>
      </w:r>
    </w:p>
    <w:p>
      <w:pPr>
        <w:pStyle w:val="ListBullet"/>
        <w:spacing w:after="80" w:line="276" w:lineRule="auto"/>
      </w:pPr>
      <w:r>
        <w:rPr>
          <w:rFonts w:ascii="Times New Roman" w:hAnsi="Times New Roman"/>
          <w:b/>
          <w:sz w:val="24"/>
        </w:rPr>
        <w:t xml:space="preserve">1. Policy Formulation: </w:t>
      </w:r>
      <w:r>
        <w:rPr>
          <w:rFonts w:ascii="Times New Roman" w:hAnsi="Times New Roman"/>
          <w:sz w:val="24"/>
        </w:rPr>
        <w:t>Commerce Ministries: Running tariff shock simulations prior to free trade agreement negotiations.</w:t>
      </w:r>
    </w:p>
    <w:p>
      <w:pPr>
        <w:pStyle w:val="ListBullet"/>
        <w:spacing w:after="80" w:line="276" w:lineRule="auto"/>
      </w:pPr>
      <w:r>
        <w:rPr>
          <w:rFonts w:ascii="Times New Roman" w:hAnsi="Times New Roman"/>
          <w:b/>
          <w:sz w:val="24"/>
        </w:rPr>
        <w:t xml:space="preserve">2. Supply Chain Security: </w:t>
      </w:r>
      <w:r>
        <w:rPr>
          <w:rFonts w:ascii="Times New Roman" w:hAnsi="Times New Roman"/>
          <w:sz w:val="24"/>
        </w:rPr>
        <w:t>Supply Chain Leadership: Auditing single-source vulnerability (HHI) and booking ocean freight via 2026–2030 projections.</w:t>
      </w:r>
    </w:p>
    <w:p>
      <w:pPr>
        <w:pStyle w:val="ListBullet"/>
        <w:spacing w:after="80" w:line="276" w:lineRule="auto"/>
      </w:pPr>
      <w:r>
        <w:rPr>
          <w:rFonts w:ascii="Times New Roman" w:hAnsi="Times New Roman"/>
          <w:b/>
          <w:sz w:val="24"/>
        </w:rPr>
        <w:t xml:space="preserve">3. Financial Markets: </w:t>
      </w:r>
      <w:r>
        <w:rPr>
          <w:rFonts w:ascii="Times New Roman" w:hAnsi="Times New Roman"/>
          <w:sz w:val="24"/>
        </w:rPr>
        <w:t>Macro Hedge Funds: Anticipating currency fluctuations based on structural trade balance flips.</w:t>
      </w:r>
    </w:p>
    <w:p>
      <w:pPr>
        <w:keepNext/>
        <w:spacing w:before="360" w:after="160"/>
      </w:pPr>
      <w:r>
        <w:rPr>
          <w:rFonts w:ascii="Times New Roman" w:hAnsi="Times New Roman"/>
          <w:b/>
          <w:color w:val="0F2942"/>
          <w:sz w:val="32"/>
        </w:rPr>
        <w:t>Chapter 8: Installation Guide &amp; User Manual</w:t>
      </w:r>
    </w:p>
    <w:p>
      <w:pPr>
        <w:spacing w:after="120" w:line="276" w:lineRule="auto"/>
      </w:pPr>
      <w:r>
        <w:rPr>
          <w:rFonts w:ascii="Times New Roman" w:hAnsi="Times New Roman"/>
          <w:b/>
          <w:sz w:val="24"/>
        </w:rPr>
        <w:t xml:space="preserve">1-Command Docker Deployment: </w:t>
      </w:r>
      <w:r>
        <w:rPr>
          <w:rFonts w:ascii="Times New Roman" w:hAnsi="Times New Roman"/>
          <w:i w:val="0"/>
          <w:sz w:val="24"/>
        </w:rPr>
        <w:t>Run the full platform with a single command:</w:t>
      </w:r>
    </w:p>
    <w:tbl>
      <w:tblPr>
        <w:tblW w:type="auto" w:w="0"/>
        <w:jc w:val="center"/>
        <w:tblLayout w:type="fixed"/>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52" w:lineRule="auto"/>
            </w:pPr>
            <w:r>
              <w:rPr>
                <w:rFonts w:ascii="Consolas" w:hAnsi="Consolas"/>
                <w:color w:val="0F172A"/>
                <w:sz w:val="19"/>
              </w:rPr>
              <w:t>docker compose up --build -d</w:t>
            </w:r>
          </w:p>
        </w:tc>
      </w:tr>
    </w:tbl>
    <w:p>
      <w:pPr>
        <w:spacing w:after="120"/>
      </w:pPr>
    </w:p>
    <w:p>
      <w:pPr>
        <w:spacing w:after="120" w:line="276" w:lineRule="auto"/>
      </w:pPr>
      <w:r>
        <w:rPr>
          <w:rFonts w:ascii="Times New Roman" w:hAnsi="Times New Roman"/>
          <w:b/>
          <w:sz w:val="24"/>
        </w:rPr>
        <w:t xml:space="preserve">1-Click Launchers: </w:t>
      </w:r>
      <w:r>
        <w:rPr>
          <w:rFonts w:ascii="Times New Roman" w:hAnsi="Times New Roman"/>
          <w:i w:val="0"/>
          <w:sz w:val="24"/>
        </w:rPr>
        <w:t>Or use native 1-click launchers: `.\deploy.ps1 -Build` (Windows) or `./deploy.sh --build` (Linux/macOS).</w:t>
      </w:r>
    </w:p>
    <w:p>
      <w:pPr>
        <w:spacing w:after="120" w:line="276" w:lineRule="auto"/>
      </w:pPr>
      <w:r>
        <w:rPr>
          <w:rFonts w:ascii="Times New Roman" w:hAnsi="Times New Roman"/>
          <w:b/>
          <w:sz w:val="24"/>
        </w:rPr>
        <w:t xml:space="preserve">Access Points: </w:t>
      </w:r>
      <w:r>
        <w:rPr>
          <w:rFonts w:ascii="Times New Roman" w:hAnsi="Times New Roman"/>
          <w:i w:val="0"/>
          <w:sz w:val="24"/>
        </w:rPr>
        <w:t>Web UI: http://localhost (or :5173) | Swagger API Docs: http://localhost:8000/docs | Health: http://localhost:8000/api/health</w:t>
      </w:r>
    </w:p>
    <w:p>
      <w:pPr>
        <w:spacing w:after="120" w:line="276" w:lineRule="auto"/>
      </w:pPr>
      <w:r>
        <w:rPr>
          <w:rFonts w:ascii="Times New Roman" w:hAnsi="Times New Roman"/>
          <w:b/>
          <w:sz w:val="24"/>
        </w:rPr>
        <w:t xml:space="preserve">Default Credentials: </w:t>
      </w:r>
      <w:r>
        <w:rPr>
          <w:rFonts w:ascii="Times New Roman" w:hAnsi="Times New Roman"/>
          <w:i w:val="0"/>
          <w:sz w:val="24"/>
        </w:rPr>
        <w:t>Admin: admin / Admin@Trade2026! | Analyst: trader / Trader@Trade2026!</w:t>
      </w:r>
    </w:p>
    <w:p>
      <w:pPr>
        <w:keepNext/>
        <w:spacing w:before="360" w:after="160"/>
      </w:pPr>
      <w:r>
        <w:rPr>
          <w:rFonts w:ascii="Times New Roman" w:hAnsi="Times New Roman"/>
          <w:b/>
          <w:color w:val="0F2942"/>
          <w:sz w:val="32"/>
        </w:rPr>
        <w:t>Chapter 9: Academic Enclosures</w:t>
      </w:r>
    </w:p>
    <w:p>
      <w:pPr>
        <w:keepNext/>
        <w:spacing w:before="280" w:after="120"/>
      </w:pPr>
      <w:r>
        <w:rPr>
          <w:rFonts w:ascii="Times New Roman" w:hAnsi="Times New Roman"/>
          <w:b/>
          <w:color w:val="1E3A8A"/>
          <w:sz w:val="28"/>
        </w:rPr>
        <w:t>9.1 Publication Details</w:t>
      </w:r>
    </w:p>
    <w:p>
      <w:pPr>
        <w:spacing w:after="120" w:line="276" w:lineRule="auto"/>
      </w:pPr>
      <w:r>
        <w:rPr>
          <w:rFonts w:ascii="Times New Roman" w:hAnsi="Times New Roman"/>
          <w:i w:val="0"/>
          <w:sz w:val="24"/>
        </w:rPr>
        <w:t>Paper Title: “An Enterprise Framework for Counterfactual Policy Simulation and Multi-Model Time-Series Forecasting in Global Merchandise Trade”</w:t>
        <w:br/>
        <w:t>Authors: Dhairyasheel Gaikwad, Pratik Patil, Sanika Kulkarni, Ananya Joshi, Dr. P. M. Gavali</w:t>
        <w:br/>
        <w:t>Target Conference: IEEE International Conference on Data Science and Artificial Intelligence.</w:t>
      </w:r>
    </w:p>
    <w:p>
      <w:pPr>
        <w:keepNext/>
        <w:spacing w:before="280" w:after="120"/>
      </w:pPr>
      <w:r>
        <w:rPr>
          <w:rFonts w:ascii="Times New Roman" w:hAnsi="Times New Roman"/>
          <w:b/>
          <w:color w:val="1E3A8A"/>
          <w:sz w:val="28"/>
        </w:rPr>
        <w:t>9.2 Plagiarism Clearance</w:t>
      </w:r>
    </w:p>
    <w:p>
      <w:pPr>
        <w:spacing w:after="120" w:line="276" w:lineRule="auto"/>
      </w:pPr>
      <w:r>
        <w:rPr>
          <w:rFonts w:ascii="Times New Roman" w:hAnsi="Times New Roman"/>
          <w:i w:val="0"/>
          <w:sz w:val="24"/>
        </w:rPr>
        <w:t>Turnitin Similarity Index: &lt; 5% (Within autonomous university limit of &lt; 15%). All code, architectures, and mathematical models represent original student engineering work supervised by the Department of CSE.</w:t>
      </w:r>
    </w:p>
    <w:p>
      <w:pPr>
        <w:keepNext/>
        <w:spacing w:before="360" w:after="160"/>
      </w:pPr>
      <w:r>
        <w:rPr>
          <w:rFonts w:ascii="Times New Roman" w:hAnsi="Times New Roman"/>
          <w:b/>
          <w:color w:val="0F2942"/>
          <w:sz w:val="32"/>
        </w:rPr>
        <w:t>Chapter 10: References &amp; Bibliography</w:t>
      </w:r>
    </w:p>
    <w:p>
      <w:pPr>
        <w:spacing w:after="120" w:line="276" w:lineRule="auto"/>
      </w:pPr>
      <w:r>
        <w:rPr>
          <w:rFonts w:ascii="Times New Roman" w:hAnsi="Times New Roman"/>
          <w:i w:val="0"/>
          <w:sz w:val="24"/>
        </w:rPr>
        <w:t>[1] Armington, P. S. (1969). “A Theory of Demand for Products Distinguished by Place of Production”, IMF Staff Papers, 16(1), pp. 159–178.</w:t>
      </w:r>
    </w:p>
    <w:p>
      <w:pPr>
        <w:spacing w:after="120" w:line="276" w:lineRule="auto"/>
      </w:pPr>
      <w:r>
        <w:rPr>
          <w:rFonts w:ascii="Times New Roman" w:hAnsi="Times New Roman"/>
          <w:i w:val="0"/>
          <w:sz w:val="24"/>
        </w:rPr>
        <w:t>[2] Balassa, B. (1965). “Trade Liberalisation and 'Revealed' Comparative Advantage”, The Manchester School of Econ. Studies, 33(2), pp. 99–123.</w:t>
      </w:r>
    </w:p>
    <w:p>
      <w:pPr>
        <w:spacing w:after="120" w:line="276" w:lineRule="auto"/>
      </w:pPr>
      <w:r>
        <w:rPr>
          <w:rFonts w:ascii="Times New Roman" w:hAnsi="Times New Roman"/>
          <w:i w:val="0"/>
          <w:sz w:val="24"/>
        </w:rPr>
        <w:t>[3] Box, G. E., Jenkins, G. M., Reinsel, G. C., &amp; Ljung, G. M. (2015). “Time Series Analysis: Forecasting and Control”, 5th Ed., John Wiley &amp; Sons.</w:t>
      </w:r>
    </w:p>
    <w:p>
      <w:pPr>
        <w:spacing w:after="120" w:line="276" w:lineRule="auto"/>
      </w:pPr>
      <w:r>
        <w:rPr>
          <w:rFonts w:ascii="Times New Roman" w:hAnsi="Times New Roman"/>
          <w:i w:val="0"/>
          <w:sz w:val="24"/>
        </w:rPr>
        <w:t>[4] Breiman, L. (2001). “Random Forests”, Machine Learning, 45(1), pp. 5–32.</w:t>
      </w:r>
    </w:p>
    <w:p>
      <w:pPr>
        <w:spacing w:after="120" w:line="276" w:lineRule="auto"/>
      </w:pPr>
      <w:r>
        <w:rPr>
          <w:rFonts w:ascii="Times New Roman" w:hAnsi="Times New Roman"/>
          <w:i w:val="0"/>
          <w:sz w:val="24"/>
        </w:rPr>
        <w:t>[5] Grubel, H. G., &amp; Lloyd, P. J. (1975). “Intra-Industry Trade: Theory and Measurement”, The Economic Journal, 85(340), pp. 646–648.</w:t>
      </w:r>
    </w:p>
    <w:p>
      <w:pPr>
        <w:spacing w:after="120" w:line="276" w:lineRule="auto"/>
      </w:pPr>
      <w:r>
        <w:rPr>
          <w:rFonts w:ascii="Times New Roman" w:hAnsi="Times New Roman"/>
          <w:i w:val="0"/>
          <w:sz w:val="24"/>
        </w:rPr>
        <w:t>[6] Lafay, G. (1992). “The Measurement of Revealed Comparative Advantages”, International Trade Modelling, Chapman and Hall, pp. 209–234.</w:t>
      </w:r>
    </w:p>
    <w:p>
      <w:pPr>
        <w:spacing w:after="120" w:line="276" w:lineRule="auto"/>
      </w:pPr>
      <w:r>
        <w:rPr>
          <w:rFonts w:ascii="Times New Roman" w:hAnsi="Times New Roman"/>
          <w:i w:val="0"/>
          <w:sz w:val="24"/>
        </w:rPr>
        <w:t>[7] United Nations Statistics Division (UNSD) (2024). “UN Comtrade Database Concepts and Definitions”, United Nations Publications.</w:t>
      </w:r>
    </w:p>
    <w:p>
      <w:pPr>
        <w:spacing w:after="120" w:line="276" w:lineRule="auto"/>
      </w:pPr>
      <w:r>
        <w:rPr>
          <w:rFonts w:ascii="Times New Roman" w:hAnsi="Times New Roman"/>
          <w:i w:val="0"/>
          <w:sz w:val="24"/>
        </w:rPr>
        <w:t>[8] Tiangolo, S. (2024). “FastAPI: Modern High-Performance Python Web Framework”, https://fastapi.tiangolo.com/.</w:t>
      </w:r>
    </w:p>
    <w:p>
      <w:pPr>
        <w:spacing w:after="120" w:line="276" w:lineRule="auto"/>
      </w:pPr>
      <w:r>
        <w:rPr>
          <w:rFonts w:ascii="Times New Roman" w:hAnsi="Times New Roman"/>
          <w:i w:val="0"/>
          <w:sz w:val="24"/>
        </w:rPr>
        <w:t>[9] Meta Open Source (2026). “React 19 Documentation”, https://react.dev/.</w:t>
      </w:r>
    </w:p>
    <w:p>
      <w:pPr>
        <w:spacing w:after="120" w:line="276" w:lineRule="auto"/>
      </w:pPr>
      <w:r>
        <w:rPr>
          <w:rFonts w:ascii="Times New Roman" w:hAnsi="Times New Roman"/>
          <w:i w:val="0"/>
          <w:sz w:val="24"/>
        </w:rPr>
        <w:t>[10] Docker Inc. (2024). “Docker Compose Specification &amp; Multi-Stage Best Practices”, https://docs.docker.com/.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