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jc w:val="center"/>
      </w:pPr>
      <w:r>
        <w:rPr>
          <w:rFonts w:ascii="Times New Roman" w:hAnsi="Times New Roman"/>
          <w:b/>
          <w:sz w:val="28"/>
        </w:rPr>
        <w:t>A</w:t>
        <w:br/>
        <w:t>PROJECT REPORT</w:t>
        <w:br/>
        <w:t>ON</w:t>
        <w:br/>
      </w:r>
      <w:r>
        <w:rPr>
          <w:rFonts w:ascii="Times New Roman" w:hAnsi="Times New Roman"/>
          <w:b/>
          <w:color w:val="0F2942"/>
          <w:sz w:val="34"/>
        </w:rPr>
        <w:t>“GLOBAL TRADE ANALYTICS AND PREDICTIVE INTELLIGENCE PLATFORM”</w:t>
        <w:br/>
      </w:r>
    </w:p>
    <w:p>
      <w:pPr>
        <w:spacing w:after="240"/>
        <w:jc w:val="center"/>
      </w:pPr>
      <w:r>
        <w:rPr>
          <w:rFonts w:ascii="Times New Roman" w:hAnsi="Times New Roman"/>
          <w:b/>
          <w:sz w:val="24"/>
        </w:rPr>
        <w:t>SUBMITTED TO</w:t>
        <w:br/>
        <w:t>SHIVAJI UNIVERSITY, KOLHAPUR</w:t>
        <w:br/>
        <w:t>IN THE PARTIAL FULFILLMENT OF THE REQUIREMENT</w:t>
        <w:br/>
        <w:t>FOR THE AWARD OF DEGREE</w:t>
        <w:br/>
        <w:t>BACHELOR OF TECHNOLOGY IN COMPUTER SCIENCE AND ENGINEERING</w:t>
        <w:br/>
      </w:r>
    </w:p>
    <w:p>
      <w:pPr>
        <w:spacing w:after="160"/>
        <w:jc w:val="center"/>
      </w:pPr>
      <w:r>
        <w:rPr>
          <w:rFonts w:ascii="Times New Roman" w:hAnsi="Times New Roman"/>
          <w:b/>
          <w:sz w:val="24"/>
        </w:rPr>
        <w:t>SUBMITTED BY:</w:t>
        <w:br/>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Title</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Name of Student</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PRN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DHAIRYASHEEL GAIKWAD</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23UCS033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VIRAJ KADAM</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23UCS048</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AJAY DESAI</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23UCS027</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RAJ KADAM</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23UCS045</w:t>
            </w:r>
          </w:p>
        </w:tc>
      </w:tr>
    </w:tbl>
    <w:p>
      <w:pPr>
        <w:spacing w:before="280" w:after="280"/>
        <w:jc w:val="center"/>
      </w:pPr>
      <w:r>
        <w:rPr>
          <w:rFonts w:ascii="Times New Roman" w:hAnsi="Times New Roman"/>
          <w:b/>
          <w:sz w:val="24"/>
        </w:rPr>
        <w:t>UNDER THE GUIDANCE OF</w:t>
        <w:br/>
      </w:r>
      <w:r>
        <w:rPr>
          <w:rFonts w:ascii="Times New Roman" w:hAnsi="Times New Roman"/>
          <w:b/>
          <w:color w:val="0F2942"/>
          <w:sz w:val="26"/>
        </w:rPr>
        <w:t>DR. P. M. GAVALI</w:t>
        <w:br/>
        <w:t>(Associate Professor, Dept. of CSE)</w:t>
      </w:r>
    </w:p>
    <w:p>
      <w:pPr>
        <w:spacing w:before="200" w:after="0"/>
        <w:jc w:val="center"/>
      </w:pPr>
      <w:r>
        <w:rPr>
          <w:rFonts w:ascii="Times New Roman" w:hAnsi="Times New Roman"/>
          <w:b/>
          <w:sz w:val="24"/>
        </w:rPr>
        <w:t>DEPARTMENT OF COMPUTER SCIENCE AND ENGINEERING</w:t>
        <w:br/>
        <w:t>DKTE SOCIETY’S TEXTILE AND ENGINEERING INSTITUTE, ICHALKARANJI</w:t>
        <w:br/>
        <w:t>(AN AUTONOMOUS INSTITUTE)</w:t>
        <w:br/>
        <w:t>2026-2027</w:t>
      </w:r>
    </w:p>
    <w:p>
      <w:r>
        <w:br w:type="page"/>
      </w:r>
    </w:p>
    <w:p>
      <w:pPr>
        <w:jc w:val="center"/>
      </w:pPr>
      <w:r>
        <w:rPr>
          <w:rFonts w:ascii="Times New Roman" w:hAnsi="Times New Roman"/>
          <w:b/>
          <w:sz w:val="26"/>
        </w:rPr>
        <w:t>D.K.T.E. SOCIETY’S</w:t>
        <w:br/>
        <w:t>TEXTILE AND ENGINEERING INSTITUTE, ICHALKARANJI</w:t>
        <w:br/>
        <w:t>(AN AUTONOMOUS INSTITUTE)</w:t>
        <w:br/>
        <w:t>DEPARTMENT OF COMPUTER SCIENCE &amp; ENGINEERING</w:t>
        <w:br/>
        <w:br/>
      </w:r>
      <w:r>
        <w:rPr>
          <w:rFonts w:ascii="Times New Roman" w:hAnsi="Times New Roman"/>
          <w:b/>
          <w:color w:val="0F2942"/>
          <w:sz w:val="36"/>
        </w:rPr>
        <w:t>CERTIFICATE</w:t>
        <w:br/>
      </w:r>
    </w:p>
    <w:p>
      <w:pPr>
        <w:spacing w:line="312" w:lineRule="auto" w:after="240"/>
      </w:pPr>
      <w:r>
        <w:rPr>
          <w:rFonts w:ascii="Times New Roman" w:hAnsi="Times New Roman"/>
          <w:sz w:val="24"/>
        </w:rPr>
        <w:t>This is to certify that, project work entitled “GLOBAL TRADE ANALYTICS AND PREDICTIVE INTELLIGENCE PLATFORM” is a bonafide record of project work carried out in this college by:</w:t>
        <w:br/>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Title</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Name of Student</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PRN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DHAIRYASHEEL GAIKWAD</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23UCS033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VIRAJ KADAM</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23UCS048</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AJAY DESAI</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23UCS027</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RAJ KADAM</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23UCS045</w:t>
            </w:r>
          </w:p>
        </w:tc>
      </w:tr>
    </w:tbl>
    <w:p>
      <w:pPr>
        <w:spacing w:before="240" w:line="312" w:lineRule="auto"/>
      </w:pPr>
      <w:r>
        <w:rPr>
          <w:rFonts w:ascii="Times New Roman" w:hAnsi="Times New Roman"/>
          <w:sz w:val="24"/>
        </w:rPr>
        <w:t>is in the partial fulfillment of award of degree Bachelor of Technology in Computer Science &amp; Engineering prescribed by Shivaji University, Kolhapur for the academic year 2026-2027.</w:t>
      </w:r>
    </w:p>
    <w:p>
      <w:pPr>
        <w:spacing w:before="560" w:after="360"/>
      </w:pPr>
      <w:r>
        <w:rPr>
          <w:rFonts w:ascii="Times New Roman" w:hAnsi="Times New Roman"/>
          <w:b/>
          <w:sz w:val="22"/>
        </w:rPr>
        <w:t>DR. P. M. GAVALI</w:t>
        <w:br/>
        <w:t>(PROJECT GUIDE)</w:t>
        <w:br/>
        <w:br/>
        <w:br/>
        <w:t>PROF. (DR.) D. V. KODAVADE                  PROF. (DR.) L. S. ADMUTHE</w:t>
        <w:br/>
        <w:t>(HOD CSE DEPT.)                             (DIRECTOR)</w:t>
        <w:br/>
        <w:br/>
        <w:br/>
        <w:t>EXAMINER: ________________</w:t>
        <w:br/>
        <w:t xml:space="preserve">          ________________</w:t>
      </w:r>
    </w:p>
    <w:p>
      <w:r>
        <w:br w:type="page"/>
      </w:r>
    </w:p>
    <w:p>
      <w:pPr>
        <w:keepNext/>
        <w:spacing w:before="400" w:after="200"/>
      </w:pPr>
      <w:r>
        <w:rPr>
          <w:rFonts w:ascii="Times New Roman" w:hAnsi="Times New Roman"/>
          <w:b/>
          <w:color w:val="0F2942"/>
          <w:sz w:val="32"/>
        </w:rPr>
        <w:t>DECLARATION</w:t>
      </w:r>
    </w:p>
    <w:p>
      <w:pPr>
        <w:spacing w:after="120" w:line="276" w:lineRule="auto"/>
      </w:pPr>
      <w:r>
        <w:rPr>
          <w:rFonts w:ascii="Times New Roman" w:hAnsi="Times New Roman"/>
          <w:i w:val="0"/>
          <w:sz w:val="24"/>
        </w:rPr>
        <w:t>We hereby declare that, the project work report entitled “GLOBAL TRADE ANALYTICS AND PREDICTIVE INTELLIGENCE PLATFORM” which is being submitted to D.K.T.E. Society’s Textile and Engineering Institute Ichalkaranji, affiliated to Shivaji University, Kolhapur is in partial fulfillment of degree B.Tech.(CSE). It is a bonafide report of the work carried out by us. The material contained in this report has not been submitted to any university or institution for the award of any degree. Further, we declare that we have not violated any of the provisions under Copyright and Piracy / Cyber / IPR Act amended from time to time.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Title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Name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PRN</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Signature</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DHAIRYASHEEL GAIKWAD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23UCS033</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VIRAJ KADAM</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23UCS048</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AJAY DESAI</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23UCS027</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RAJ KADAM</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23UCS045</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bl>
    <w:p>
      <w:r>
        <w:br w:type="page"/>
      </w:r>
    </w:p>
    <w:p>
      <w:pPr>
        <w:keepNext/>
        <w:spacing w:before="400" w:after="200"/>
      </w:pPr>
      <w:r>
        <w:rPr>
          <w:rFonts w:ascii="Times New Roman" w:hAnsi="Times New Roman"/>
          <w:b/>
          <w:color w:val="0F2942"/>
          <w:sz w:val="32"/>
        </w:rPr>
        <w:t>ACKNOWLEDGEMENT</w:t>
      </w:r>
    </w:p>
    <w:p>
      <w:pPr>
        <w:spacing w:after="120" w:line="276" w:lineRule="auto"/>
      </w:pPr>
      <w:r>
        <w:rPr>
          <w:rFonts w:ascii="Times New Roman" w:hAnsi="Times New Roman"/>
          <w:i w:val="0"/>
          <w:sz w:val="24"/>
        </w:rPr>
        <w:t>With great pleasure we wish to express our deep sense of gratitude to Dr. P. M. Gavali for his valuable guidance, support, and encouragement in the completion of this project report.</w:t>
      </w:r>
    </w:p>
    <w:p>
      <w:pPr>
        <w:spacing w:after="120" w:line="276" w:lineRule="auto"/>
      </w:pPr>
      <w:r>
        <w:rPr>
          <w:rFonts w:ascii="Times New Roman" w:hAnsi="Times New Roman"/>
          <w:i w:val="0"/>
          <w:sz w:val="24"/>
        </w:rPr>
        <w:t>Also, we would like to take the opportunity to thank our head of department Dr. D. V. Kodavade for his cooperation in preparing this project report.</w:t>
      </w:r>
    </w:p>
    <w:p>
      <w:pPr>
        <w:spacing w:after="120" w:line="276" w:lineRule="auto"/>
      </w:pPr>
      <w:r>
        <w:rPr>
          <w:rFonts w:ascii="Times New Roman" w:hAnsi="Times New Roman"/>
          <w:i w:val="0"/>
          <w:sz w:val="24"/>
        </w:rPr>
        <w:t>We feel gratified to record our cordial thanks to our Director Prof. (Dr.) L. S. Admuthe and other staff members of the Computer Science and Engineering Department for their support, help, and assistance which they extended as and when required.</w:t>
      </w:r>
    </w:p>
    <w:p>
      <w:pPr>
        <w:spacing w:before="360"/>
      </w:pPr>
      <w:r>
        <w:rPr>
          <w:rFonts w:ascii="Times New Roman" w:hAnsi="Times New Roman"/>
        </w:rPr>
        <w:t>Thank you,</w:t>
        <w:br/>
        <w:br/>
        <w:t>MR.   DHAIRYASHEEL GAIKWAD       23UCS033</w:t>
        <w:br/>
        <w:t>MR.   VIRAJ KADAM                23UCS048</w:t>
        <w:br/>
        <w:t>MR.   AJAY DESAI                 23UCS027</w:t>
        <w:br/>
        <w:t>MR.   RAJ KADAM                  23UCS045</w:t>
      </w:r>
    </w:p>
    <w:p>
      <w:r>
        <w:br w:type="page"/>
      </w:r>
    </w:p>
    <w:p>
      <w:pPr>
        <w:keepNext/>
        <w:spacing w:before="400" w:after="200"/>
      </w:pPr>
      <w:r>
        <w:rPr>
          <w:rFonts w:ascii="Times New Roman" w:hAnsi="Times New Roman"/>
          <w:b/>
          <w:color w:val="0F2942"/>
          <w:sz w:val="32"/>
        </w:rPr>
        <w:t>ABSTRACT</w:t>
      </w:r>
    </w:p>
    <w:p>
      <w:pPr>
        <w:spacing w:after="120" w:line="276" w:lineRule="auto"/>
      </w:pPr>
      <w:r>
        <w:rPr>
          <w:rFonts w:ascii="Times New Roman" w:hAnsi="Times New Roman"/>
          <w:i w:val="0"/>
          <w:sz w:val="24"/>
        </w:rPr>
        <w:t>Cross-border merchandise trade accounts for over $25 Trillion in annual commercial transactions and serves as the primary engine of sovereign economic expansion, industrial capacity utilization, and international supply chain security. Despite the vast statistical repository governed by the United Nations Statistics Division (UN Comtrade), current analytical frameworks suffer from three foundational deficiencies: severe data fragmentation across static annual files, the total absence of interactive counterfactual policy simulation tools capable of projecting tariff shocks, and black-box time-series forecasting that inadvertently leaks future macroeconomic signals into historical training windows.</w:t>
      </w:r>
    </w:p>
    <w:p>
      <w:pPr>
        <w:spacing w:after="120" w:line="276" w:lineRule="auto"/>
      </w:pPr>
      <w:r>
        <w:rPr>
          <w:rFonts w:ascii="Times New Roman" w:hAnsi="Times New Roman"/>
          <w:i w:val="0"/>
          <w:sz w:val="24"/>
        </w:rPr>
        <w:t>To resolve these challenges, this capstone engineering project delivers the Global Trade Analytics and Predictive Intelligence Platform—a containerized, production-grade enterprise software architecture developed using FastAPI (Python 3.12), React 19, SQLite with Write-Ahead Logging (WAL), and Nginx reverse proxying. The platform incorporates: (1) An automated data engineering ingestion pipeline that enforces schema validation across 15 mandatory customs attributes, coerces corrupt numerical records, and eliminates duplicates via composite 5-tuple deduplication (refYear, reporterISO, partnerISO, flowCode, cmdCode) backed by live UN Comtrade v1 REST API synchronization; (2) Formal international trade economic indices computed on the fly, including the scale-invariant Lafay Trade Balance Index (TBI) bounded strictly within [-100, +100], Balassa Revealed Comparative Advantage (RCA/RTA), Grubel-Lloyd intra-industry overlap (GLI) in [0.0, 1.0], and Hirschman-Herfindahl market concentration (HHI); (3) An interactive 4-Model Machine Learning Forecasting Arena evaluating OLS Linear Regression, Random Forest Ensembles (50 shallow trees), ARIMA (p,d,q) Box-Jenkins state-space modeling with automated AIC order search, and Holt-Winters Exponential Smoothing (ETS), producing recursive 2026–2030 projections with compounding 95% confidence intervals (y_hat +- 1.96 * std_err * √h) under strict anti-leakage temporal feature shifts; (4) An Armington Elasticity Policy Simulator modeling ad-valorem tariff adjustments (-30% to +75%), consumer price pass-through, demand contraction, customs revenue yields, and third-party trade diversion rankings; and (5) Executive reporting and risk anomaly alert engines generating downloadable ReportLab vector PDF dossiers, OpenPyXL financial workbooks, and background SMTP email notifications.</w:t>
      </w:r>
    </w:p>
    <w:p>
      <w:pPr>
        <w:spacing w:after="120" w:line="276" w:lineRule="auto"/>
      </w:pPr>
      <w:r>
        <w:rPr>
          <w:rFonts w:ascii="Times New Roman" w:hAnsi="Times New Roman"/>
          <w:i w:val="0"/>
          <w:sz w:val="24"/>
        </w:rPr>
        <w:t>The system is containerized via multi-stage Docker builds (&lt; 30 MB Nginx frontend runtime, non-root Python 3.12 execution) with single-command deployment orchestration. The architecture is validated through 168 automated unit and integration tests across 18 test suites, achieving a 100% pass rate in 64.89 seconds with zero regressions.</w:t>
      </w:r>
    </w:p>
    <w:p>
      <w:r>
        <w:br w:type="page"/>
      </w:r>
    </w:p>
    <w:p>
      <w:pPr>
        <w:keepNext/>
        <w:spacing w:before="400" w:after="200"/>
      </w:pPr>
      <w:r>
        <w:rPr>
          <w:rFonts w:ascii="Times New Roman" w:hAnsi="Times New Roman"/>
          <w:b/>
          <w:color w:val="0F2942"/>
          <w:sz w:val="32"/>
        </w:rPr>
        <w:t>INDEX</w:t>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Section</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Chapter / Section Name</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Page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Introduction</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Introduction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Problem Statement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4</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Objectives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5</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Scope of the project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6</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Timeline of the project</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7</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Project Cost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8</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Literature Review</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10</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Literature overview</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10</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Comparative Study of Existing Solutions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14</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Research Gap Identified</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16</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Requirement analysis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18</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a. Requirement Gathering</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18</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b. Requirement Specification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19</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c. Use case Diagram</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System design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26</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Architectural Design</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26</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User Interface Design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29</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System Modeling</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Dataflow Diagram</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33</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Sequence Diagram</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35</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Activity Diagram</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37</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Component Diagram</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39</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Deployment Diagram</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41</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Algorithmic description of each module</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43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5</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Implementation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48</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a. Environmental Setting for Running the Project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48</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b. Detailed Description of Methods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50</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c. Implementation Details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53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6</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Integration and Testing</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59</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Description of the Integration Modules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59</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Testing</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61</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Performance Analysis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64</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7</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Future Scope</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66</w:t>
            </w:r>
          </w:p>
        </w:tc>
      </w:tr>
    </w:tbl>
    <w:p>
      <w:r>
        <w:br w:type="page"/>
      </w:r>
    </w:p>
    <w:p>
      <w:pPr>
        <w:keepNext/>
        <w:spacing w:before="400" w:after="200"/>
      </w:pPr>
      <w:r>
        <w:rPr>
          <w:rFonts w:ascii="Times New Roman" w:hAnsi="Times New Roman"/>
          <w:b/>
          <w:color w:val="0F2942"/>
          <w:sz w:val="32"/>
        </w:rPr>
        <w:t>LIST OF FIGURES</w:t>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Figure No.</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Figure Title / Caption</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Page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Figure 4.1</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Interactive TopoJSON Geospatial Vector Map with Country Dossier Drawer</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29</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Figure 4.2</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Slide-Out Country Dossier Drawer for Bilateral In-Depth Analysis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30</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Figure 4.3</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Macroeconomic Index Suite Console (Lafay TBI, Balassa RTA, Grubel-Lloyd)</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30</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Figure 4.4</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Multi-Country Comparative Disparity and Metrics Matrix</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31</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Figure 4.5</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Bilateral Directional Trade Flow Explorer and Temporal Volume Analyzer</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31</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Figure 4.6</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Comparative Trade Disparity Analysis between India and Brazil</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32</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Figure 4.7</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Machine Learning Model Comparison Arena (OLS, RF, ARIMA, ETS)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32</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Figure 4.8</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Multi-Model Projection Overlay Chart with Compounding Confidence Bounds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33</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Figure 4.9</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ARIMA Residual Diagnostics and Stationarity Autocorrelation Verification</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Figure 4.10</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Counterfactual Armington Scenario Simulator &amp; Tariff Shock Trajectories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34</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Figure 4.11</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Tariff Elasticity Sensitivity Curves and Generated Policy Brief</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34</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Figure 4.12</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Data Flow Diagram (Level 0 Context &amp; Level 1 Architecture)</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35</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Figure 4.13</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Sequence Diagram for Counterfactual Tariff Shock Simulation</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37</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Figure 4.14</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Activity Diagram for Multi-Model Forecasting Pipeline</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39</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Figure 4.15</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Component Diagram of Global Trade Platform</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41</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Figure 4.16</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Deployment Diagram for Docker Container Orchestration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43</w:t>
            </w:r>
          </w:p>
        </w:tc>
      </w:tr>
    </w:tbl>
    <w:p>
      <w:r>
        <w:br w:type="page"/>
      </w:r>
    </w:p>
    <w:p>
      <w:pPr>
        <w:keepNext/>
        <w:spacing w:before="400" w:after="200"/>
      </w:pPr>
      <w:r>
        <w:rPr>
          <w:rFonts w:ascii="Times New Roman" w:hAnsi="Times New Roman"/>
          <w:b/>
          <w:color w:val="0F2942"/>
          <w:sz w:val="32"/>
        </w:rPr>
        <w:t>LIST OF TABLES</w:t>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Table No.</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Table Title / Description</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Page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Table 1.1</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14-Phase Project Development Roadmap and Milestones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7</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Table 1.2</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Comprehensive Total Cost of Ownership (TCO) Comparison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8</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Table 2.1</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Comparative Evaluation Matrix of International Trade Platforms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14</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Table 3.1</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Detailed Functional and Non-Functional Requirement Matrix</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20</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Table 3.2</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Exhaustive Use Case Actor and Operation Specifications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Table 5.1</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Environmental Toolchain and Version Specifications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48</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Table 6.1</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Automated Test Suite Verification Summary (168 Tests, 100% Pass)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61</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Table 6.2</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System Performance, Latency, and Throughput Benchmarks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64</w:t>
            </w:r>
          </w:p>
        </w:tc>
      </w:tr>
    </w:tbl>
    <w:p>
      <w:pPr>
        <w:keepNext/>
        <w:spacing w:before="280" w:after="120"/>
      </w:pPr>
      <w:r>
        <w:rPr>
          <w:rFonts w:ascii="Times New Roman" w:hAnsi="Times New Roman"/>
          <w:b/>
          <w:color w:val="1E3A8A"/>
          <w:sz w:val="27"/>
        </w:rPr>
        <w:t>LIST OF ABBREVIATIONS</w:t>
      </w:r>
    </w:p>
    <w:tbl>
      <w:tblPr>
        <w:tblW w:type="auto" w:w="0"/>
        <w:jc w:val="center"/>
        <w:tblLook w:firstColumn="1" w:firstRow="1" w:lastColumn="0" w:lastRow="0" w:noHBand="0" w:noVBand="1" w:val="04A0"/>
      </w:tblPr>
      <w:tblGrid>
        <w:gridCol w:w="4680"/>
        <w:gridCol w:w="4680"/>
      </w:tblGrid>
      <w:tr>
        <w:tc>
          <w:tcPr>
            <w:tcW w:type="dxa" w:w="4680"/>
            <w:shd w:fill="1E3A5F"/>
            <w:tcMar>
              <w:top w:w="100" w:type="dxa"/>
              <w:bottom w:w="100" w:type="dxa"/>
              <w:left w:w="150" w:type="dxa"/>
              <w:right w:w="150" w:type="dxa"/>
            </w:tcMar>
          </w:tcPr>
          <w:p>
            <w:pPr>
              <w:spacing w:after="40" w:line="264" w:lineRule="auto"/>
            </w:pPr>
            <w:r>
              <w:rPr>
                <w:rFonts w:ascii="Times New Roman" w:hAnsi="Times New Roman"/>
                <w:b/>
                <w:color w:val="FFFFFF"/>
                <w:sz w:val="21"/>
              </w:rPr>
              <w:t>Abbreviation</w:t>
            </w:r>
          </w:p>
        </w:tc>
        <w:tc>
          <w:tcPr>
            <w:tcW w:type="dxa" w:w="4680"/>
            <w:shd w:fill="1E3A5F"/>
            <w:tcMar>
              <w:top w:w="100" w:type="dxa"/>
              <w:bottom w:w="100" w:type="dxa"/>
              <w:left w:w="150" w:type="dxa"/>
              <w:right w:w="150" w:type="dxa"/>
            </w:tcMar>
          </w:tcPr>
          <w:p>
            <w:pPr>
              <w:spacing w:after="40" w:line="264" w:lineRule="auto"/>
            </w:pPr>
            <w:r>
              <w:rPr>
                <w:rFonts w:ascii="Times New Roman" w:hAnsi="Times New Roman"/>
                <w:b/>
                <w:color w:val="FFFFFF"/>
                <w:sz w:val="21"/>
              </w:rPr>
              <w:t>Full Expanded Form</w:t>
            </w:r>
          </w:p>
        </w:tc>
      </w:tr>
      <w:tr>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UN Comtrade</w:t>
            </w:r>
          </w:p>
        </w:tc>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United Nations International Trade Statistics Database</w:t>
            </w:r>
          </w:p>
        </w:tc>
      </w:tr>
      <w:tr>
        <w:tc>
          <w:tcPr>
            <w:tcW w:type="dxa" w:w="4680"/>
            <w:shd w:fill="FFFFFF"/>
            <w:tcMar>
              <w:top w:w="100" w:type="dxa"/>
              <w:bottom w:w="100" w:type="dxa"/>
              <w:left w:w="150" w:type="dxa"/>
              <w:right w:w="150" w:type="dxa"/>
            </w:tcMar>
          </w:tcPr>
          <w:p>
            <w:pPr>
              <w:spacing w:after="40" w:line="264" w:lineRule="auto"/>
            </w:pPr>
            <w:r>
              <w:rPr>
                <w:rFonts w:ascii="Times New Roman" w:hAnsi="Times New Roman"/>
                <w:color w:val="1E293B"/>
                <w:sz w:val="20"/>
              </w:rPr>
              <w:t>HS Codes</w:t>
            </w:r>
          </w:p>
        </w:tc>
        <w:tc>
          <w:tcPr>
            <w:tcW w:type="dxa" w:w="4680"/>
            <w:shd w:fill="FFFFFF"/>
            <w:tcMar>
              <w:top w:w="100" w:type="dxa"/>
              <w:bottom w:w="100" w:type="dxa"/>
              <w:left w:w="150" w:type="dxa"/>
              <w:right w:w="150" w:type="dxa"/>
            </w:tcMar>
          </w:tcPr>
          <w:p>
            <w:pPr>
              <w:spacing w:after="40" w:line="264" w:lineRule="auto"/>
            </w:pPr>
            <w:r>
              <w:rPr>
                <w:rFonts w:ascii="Times New Roman" w:hAnsi="Times New Roman"/>
                <w:color w:val="1E293B"/>
                <w:sz w:val="20"/>
              </w:rPr>
              <w:t>Harmonized Commodity Description and Coding System</w:t>
            </w:r>
          </w:p>
        </w:tc>
      </w:tr>
      <w:tr>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FOB</w:t>
            </w:r>
          </w:p>
        </w:tc>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Free On Board (Export Valuation Standard)</w:t>
            </w:r>
          </w:p>
        </w:tc>
      </w:tr>
      <w:tr>
        <w:tc>
          <w:tcPr>
            <w:tcW w:type="dxa" w:w="4680"/>
            <w:shd w:fill="FFFFFF"/>
            <w:tcMar>
              <w:top w:w="100" w:type="dxa"/>
              <w:bottom w:w="100" w:type="dxa"/>
              <w:left w:w="150" w:type="dxa"/>
              <w:right w:w="150" w:type="dxa"/>
            </w:tcMar>
          </w:tcPr>
          <w:p>
            <w:pPr>
              <w:spacing w:after="40" w:line="264" w:lineRule="auto"/>
            </w:pPr>
            <w:r>
              <w:rPr>
                <w:rFonts w:ascii="Times New Roman" w:hAnsi="Times New Roman"/>
                <w:color w:val="1E293B"/>
                <w:sz w:val="20"/>
              </w:rPr>
              <w:t>CIF</w:t>
            </w:r>
          </w:p>
        </w:tc>
        <w:tc>
          <w:tcPr>
            <w:tcW w:type="dxa" w:w="4680"/>
            <w:shd w:fill="FFFFFF"/>
            <w:tcMar>
              <w:top w:w="100" w:type="dxa"/>
              <w:bottom w:w="100" w:type="dxa"/>
              <w:left w:w="150" w:type="dxa"/>
              <w:right w:w="150" w:type="dxa"/>
            </w:tcMar>
          </w:tcPr>
          <w:p>
            <w:pPr>
              <w:spacing w:after="40" w:line="264" w:lineRule="auto"/>
            </w:pPr>
            <w:r>
              <w:rPr>
                <w:rFonts w:ascii="Times New Roman" w:hAnsi="Times New Roman"/>
                <w:color w:val="1E293B"/>
                <w:sz w:val="20"/>
              </w:rPr>
              <w:t>Cost, Insurance, and Freight (Import Valuation Standard)</w:t>
            </w:r>
          </w:p>
        </w:tc>
      </w:tr>
      <w:tr>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TBI</w:t>
            </w:r>
          </w:p>
        </w:tc>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Normalized Lafay Trade Balance Index</w:t>
            </w:r>
          </w:p>
        </w:tc>
      </w:tr>
      <w:tr>
        <w:tc>
          <w:tcPr>
            <w:tcW w:type="dxa" w:w="4680"/>
            <w:shd w:fill="FFFFFF"/>
            <w:tcMar>
              <w:top w:w="100" w:type="dxa"/>
              <w:bottom w:w="100" w:type="dxa"/>
              <w:left w:w="150" w:type="dxa"/>
              <w:right w:w="150" w:type="dxa"/>
            </w:tcMar>
          </w:tcPr>
          <w:p>
            <w:pPr>
              <w:spacing w:after="40" w:line="264" w:lineRule="auto"/>
            </w:pPr>
            <w:r>
              <w:rPr>
                <w:rFonts w:ascii="Times New Roman" w:hAnsi="Times New Roman"/>
                <w:color w:val="1E293B"/>
                <w:sz w:val="20"/>
              </w:rPr>
              <w:t>RCA / RTA</w:t>
            </w:r>
          </w:p>
        </w:tc>
        <w:tc>
          <w:tcPr>
            <w:tcW w:type="dxa" w:w="4680"/>
            <w:shd w:fill="FFFFFF"/>
            <w:tcMar>
              <w:top w:w="100" w:type="dxa"/>
              <w:bottom w:w="100" w:type="dxa"/>
              <w:left w:w="150" w:type="dxa"/>
              <w:right w:w="150" w:type="dxa"/>
            </w:tcMar>
          </w:tcPr>
          <w:p>
            <w:pPr>
              <w:spacing w:after="40" w:line="264" w:lineRule="auto"/>
            </w:pPr>
            <w:r>
              <w:rPr>
                <w:rFonts w:ascii="Times New Roman" w:hAnsi="Times New Roman"/>
                <w:color w:val="1E293B"/>
                <w:sz w:val="20"/>
              </w:rPr>
              <w:t>Revealed Comparative Advantage / Relative Trade Advantage</w:t>
            </w:r>
          </w:p>
        </w:tc>
      </w:tr>
      <w:tr>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GLI</w:t>
            </w:r>
          </w:p>
        </w:tc>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Grubel-Lloyd Intra-Industry Trade Index</w:t>
            </w:r>
          </w:p>
        </w:tc>
      </w:tr>
      <w:tr>
        <w:tc>
          <w:tcPr>
            <w:tcW w:type="dxa" w:w="4680"/>
            <w:shd w:fill="FFFFFF"/>
            <w:tcMar>
              <w:top w:w="100" w:type="dxa"/>
              <w:bottom w:w="100" w:type="dxa"/>
              <w:left w:w="150" w:type="dxa"/>
              <w:right w:w="150" w:type="dxa"/>
            </w:tcMar>
          </w:tcPr>
          <w:p>
            <w:pPr>
              <w:spacing w:after="40" w:line="264" w:lineRule="auto"/>
            </w:pPr>
            <w:r>
              <w:rPr>
                <w:rFonts w:ascii="Times New Roman" w:hAnsi="Times New Roman"/>
                <w:color w:val="1E293B"/>
                <w:sz w:val="20"/>
              </w:rPr>
              <w:t>HHI</w:t>
            </w:r>
          </w:p>
        </w:tc>
        <w:tc>
          <w:tcPr>
            <w:tcW w:type="dxa" w:w="4680"/>
            <w:shd w:fill="FFFFFF"/>
            <w:tcMar>
              <w:top w:w="100" w:type="dxa"/>
              <w:bottom w:w="100" w:type="dxa"/>
              <w:left w:w="150" w:type="dxa"/>
              <w:right w:w="150" w:type="dxa"/>
            </w:tcMar>
          </w:tcPr>
          <w:p>
            <w:pPr>
              <w:spacing w:after="40" w:line="264" w:lineRule="auto"/>
            </w:pPr>
            <w:r>
              <w:rPr>
                <w:rFonts w:ascii="Times New Roman" w:hAnsi="Times New Roman"/>
                <w:color w:val="1E293B"/>
                <w:sz w:val="20"/>
              </w:rPr>
              <w:t>Hirschman-Herfindahl Concentration Index</w:t>
            </w:r>
          </w:p>
        </w:tc>
      </w:tr>
      <w:tr>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ARIMA</w:t>
            </w:r>
          </w:p>
        </w:tc>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AutoRegressive Integrated Moving Average</w:t>
            </w:r>
          </w:p>
        </w:tc>
      </w:tr>
      <w:tr>
        <w:tc>
          <w:tcPr>
            <w:tcW w:type="dxa" w:w="4680"/>
            <w:shd w:fill="FFFFFF"/>
            <w:tcMar>
              <w:top w:w="100" w:type="dxa"/>
              <w:bottom w:w="100" w:type="dxa"/>
              <w:left w:w="150" w:type="dxa"/>
              <w:right w:w="150" w:type="dxa"/>
            </w:tcMar>
          </w:tcPr>
          <w:p>
            <w:pPr>
              <w:spacing w:after="40" w:line="264" w:lineRule="auto"/>
            </w:pPr>
            <w:r>
              <w:rPr>
                <w:rFonts w:ascii="Times New Roman" w:hAnsi="Times New Roman"/>
                <w:color w:val="1E293B"/>
                <w:sz w:val="20"/>
              </w:rPr>
              <w:t>ETS</w:t>
            </w:r>
          </w:p>
        </w:tc>
        <w:tc>
          <w:tcPr>
            <w:tcW w:type="dxa" w:w="4680"/>
            <w:shd w:fill="FFFFFF"/>
            <w:tcMar>
              <w:top w:w="100" w:type="dxa"/>
              <w:bottom w:w="100" w:type="dxa"/>
              <w:left w:w="150" w:type="dxa"/>
              <w:right w:w="150" w:type="dxa"/>
            </w:tcMar>
          </w:tcPr>
          <w:p>
            <w:pPr>
              <w:spacing w:after="40" w:line="264" w:lineRule="auto"/>
            </w:pPr>
            <w:r>
              <w:rPr>
                <w:rFonts w:ascii="Times New Roman" w:hAnsi="Times New Roman"/>
                <w:color w:val="1E293B"/>
                <w:sz w:val="20"/>
              </w:rPr>
              <w:t>Error, Trend, Seasonal Exponential Smoothing</w:t>
            </w:r>
          </w:p>
        </w:tc>
      </w:tr>
      <w:tr>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AIC / BIC</w:t>
            </w:r>
          </w:p>
        </w:tc>
        <w:tc>
          <w:tcPr>
            <w:tcW w:type="dxa" w:w="4680"/>
            <w:shd w:fill="F8FAFC"/>
            <w:tcMar>
              <w:top w:w="100" w:type="dxa"/>
              <w:bottom w:w="100" w:type="dxa"/>
              <w:left w:w="150" w:type="dxa"/>
              <w:right w:w="150" w:type="dxa"/>
            </w:tcMar>
          </w:tcPr>
          <w:p>
            <w:pPr>
              <w:spacing w:after="40" w:line="264" w:lineRule="auto"/>
            </w:pPr>
            <w:r>
              <w:rPr>
                <w:rFonts w:ascii="Times New Roman" w:hAnsi="Times New Roman"/>
                <w:color w:val="1E293B"/>
                <w:sz w:val="20"/>
              </w:rPr>
              <w:t>Akaike Information Criterion / Bayesian Information Criterion</w:t>
            </w:r>
          </w:p>
        </w:tc>
      </w:tr>
    </w:tbl>
    <w:p>
      <w:r>
        <w:br w:type="page"/>
      </w:r>
    </w:p>
    <w:p>
      <w:pPr>
        <w:keepNext/>
        <w:spacing w:before="400" w:after="200"/>
      </w:pPr>
      <w:r>
        <w:rPr>
          <w:rFonts w:ascii="Times New Roman" w:hAnsi="Times New Roman"/>
          <w:b/>
          <w:color w:val="0F2942"/>
          <w:sz w:val="32"/>
        </w:rPr>
        <w:t>1. Introduction</w:t>
      </w:r>
    </w:p>
    <w:p>
      <w:pPr>
        <w:keepNext/>
        <w:spacing w:before="280" w:after="120"/>
      </w:pPr>
      <w:r>
        <w:rPr>
          <w:rFonts w:ascii="Times New Roman" w:hAnsi="Times New Roman"/>
          <w:b/>
          <w:color w:val="1E3A8A"/>
          <w:sz w:val="27"/>
        </w:rPr>
        <w:t>Introduction</w:t>
      </w:r>
    </w:p>
    <w:p>
      <w:pPr>
        <w:spacing w:after="120" w:line="276" w:lineRule="auto"/>
      </w:pPr>
      <w:r>
        <w:rPr>
          <w:rFonts w:ascii="Times New Roman" w:hAnsi="Times New Roman"/>
          <w:i w:val="0"/>
          <w:sz w:val="24"/>
        </w:rPr>
        <w:t>International merchandise trade constitutes the undisputed backbone of macroeconomic stability, industrial output, and national balance of payments in the 21st century. Cross-border commercial exchange accounts for more than $25 Trillion in annual physical goods movements, spanning vital energy commodities, agricultural foodstuffs, critical mineral inputs, high-technology semiconductor components, and finished automotive assemblies. Sovereign commerce ministries, multilateral development institutions such as the World Bank and International Monetary Fund (IMF), sovereign wealth funds, and multinational logistics conglomerates commit billions of dollars in strategic capital based on the volume, velocity, and directional balance of these flows.</w:t>
      </w:r>
    </w:p>
    <w:p>
      <w:pPr>
        <w:spacing w:after="120" w:line="276" w:lineRule="auto"/>
      </w:pPr>
      <w:r>
        <w:rPr>
          <w:rFonts w:ascii="Times New Roman" w:hAnsi="Times New Roman"/>
          <w:i w:val="0"/>
          <w:sz w:val="24"/>
        </w:rPr>
        <w:t>The historical architecture of global trade statistics rests upon institutional frameworks established through the United Nations Statistics Division (UNSD) and the World Customs Organization (WCO). The central empirical repository for merchandise trade is the UN Comtrade database, which systematically collates national customs filings from more than 190 sovereign nations and autonomous custom territories. Within this repository, every physical commodity movement is classified under the Harmonized Commodity Description and Coding System (HS Codes). The HS taxonomy is organized into 97 2-digit Chapters, further subdivided into 4-digit Headings and over 5,000 granular 6-digit Subheadings. Concurrently, geographical entities are standardized under the United Nations M49 standard and ISO-3166 alpha-3 designations, establishing a globally coherent taxonomy.</w:t>
      </w:r>
    </w:p>
    <w:p>
      <w:pPr>
        <w:spacing w:after="120" w:line="276" w:lineRule="auto"/>
      </w:pPr>
      <w:r>
        <w:rPr>
          <w:rFonts w:ascii="Times New Roman" w:hAnsi="Times New Roman"/>
          <w:i w:val="0"/>
          <w:sz w:val="24"/>
        </w:rPr>
        <w:t>However, analyzing raw international customs data presents profound computational and econometric challenges. Primary among these is the fundamental valuation asymmetry between exporting and importing customs authorities. By international convention, an exporting nation reports the value of merchandise on a Free On Board (FOB) basis, reflecting the transaction value at the domestic port of exit before transport insurance and freight costs. Conversely, the importing nation reports the identical commercial consignment on a Cost, Insurance, and Freight (CIF) basis, incorporating maritime shipping, insurance, and handling margins. As a result, mirror trade statistics—comparing Country A's reported exports to Country B against Country B's reported imports from Country A—almost never match. Reporting lags of 6 to 18 months, currency fluctuations, transshipment hubs, and inconsistent commodity classifications further confound empirical analysis.</w:t>
      </w:r>
    </w:p>
    <w:p>
      <w:pPr>
        <w:spacing w:after="120" w:line="276" w:lineRule="auto"/>
      </w:pPr>
      <w:r>
        <w:rPr>
          <w:rFonts w:ascii="Times New Roman" w:hAnsi="Times New Roman"/>
          <w:i w:val="0"/>
          <w:sz w:val="24"/>
        </w:rPr>
        <w:t>In addition to archival inconsistencies, the contemporary geopolitical landscape has entered an era of profound structural volatility. The post-Cold War consensus of steady tariff reductions under the General Agreement on Tariffs and Trade (GATT) and World Trade Organization (WTO) has been disrupted by aggressive unilateral tariff actions, strategic export controls on semiconductors and critical minerals, bilateral trade disputes, and the introduction of unilateral climate levies such as the European Union's Carbon Border Adjustment Mechanism (CBAM). Under these conditions, analysts can no longer rely on simple historical moving averages or static spreadsheet tables. There is an urgent, undeniable need for an interactive, computational intelligence platform that combines automated data ingestion, peer-reviewed macroeconomic indices, counterfactual policy simulation, and statistically sound multi-model predictive forecasting.</w:t>
      </w:r>
    </w:p>
    <w:p>
      <w:pPr>
        <w:spacing w:after="120" w:line="276" w:lineRule="auto"/>
      </w:pPr>
      <w:r>
        <w:rPr>
          <w:rFonts w:ascii="Times New Roman" w:hAnsi="Times New Roman"/>
          <w:i w:val="0"/>
          <w:sz w:val="24"/>
        </w:rPr>
        <w:t>To satisfy this imperative, our platform unifies granular customs ingestion, mathematical economic indices, machine learning forecasting arenas, and counterfactual tariff simulation into a responsive, single-command containerized web environment. By automating the end-to-end data pipeline from raw UN Comtrade API synchronizations to multi-page ReportLab executive briefing dossiers, the platform democratizes sophisticated macroeconomic trade intelligence for trade negotiators, supply chain risk officers, and university researchers alike.</w:t>
      </w:r>
    </w:p>
    <w:p>
      <w:pPr>
        <w:keepNext/>
        <w:spacing w:before="280" w:after="120"/>
      </w:pPr>
      <w:r>
        <w:rPr>
          <w:rFonts w:ascii="Times New Roman" w:hAnsi="Times New Roman"/>
          <w:b/>
          <w:color w:val="1E3A8A"/>
          <w:sz w:val="27"/>
        </w:rPr>
        <w:t>Problem Statement</w:t>
      </w:r>
    </w:p>
    <w:p>
      <w:pPr>
        <w:spacing w:after="120" w:line="276" w:lineRule="auto"/>
      </w:pPr>
      <w:r>
        <w:rPr>
          <w:rFonts w:ascii="Times New Roman" w:hAnsi="Times New Roman"/>
          <w:i w:val="0"/>
          <w:sz w:val="24"/>
        </w:rPr>
        <w:t>Professional trade policy negotiators, corporate supply chain risk directors, and quantitative macroeconomic analysts face three debilitating bottlenecks when attempting to derive actionable intelligence from global merchandise trade repositories:</w:t>
      </w:r>
    </w:p>
    <w:p>
      <w:pPr>
        <w:pStyle w:val="ListBullet"/>
        <w:spacing w:after="80" w:line="276" w:lineRule="auto"/>
      </w:pPr>
      <w:r>
        <w:rPr>
          <w:rFonts w:ascii="Times New Roman" w:hAnsi="Times New Roman"/>
          <w:b/>
          <w:sz w:val="24"/>
        </w:rPr>
        <w:t xml:space="preserve">1. Analytical Fragmentation and Data Silos: </w:t>
      </w:r>
      <w:r>
        <w:rPr>
          <w:rFonts w:ascii="Times New Roman" w:hAnsi="Times New Roman"/>
          <w:sz w:val="24"/>
        </w:rPr>
        <w:t>Empirical trade figures remain imprisoned in disconnected data silos—either raw multi-gigabyte CSV downloads requiring custom database ingestion or static annual PDF reports issued by intergovernmental agencies. Standard business intelligence dashboards restrict user interactions to superficial volume sums and historical averages, lacking formalized, peer-reviewed international economic indices such as the Lafay Trade Balance Index (TBI), Balassa Revealed Comparative Advantage (RTA), Grubel-Lloyd intra-industry overlap (GLI), and Hirschman-Herfindahl market concentration (HHI). Analysts cannot quickly evaluate bilateral structural dependencies or distinguish genuine comparative advantage from superficial trade surpluses.</w:t>
      </w:r>
    </w:p>
    <w:p>
      <w:pPr>
        <w:pStyle w:val="ListBullet"/>
        <w:spacing w:after="80" w:line="276" w:lineRule="auto"/>
      </w:pPr>
      <w:r>
        <w:rPr>
          <w:rFonts w:ascii="Times New Roman" w:hAnsi="Times New Roman"/>
          <w:b/>
          <w:sz w:val="24"/>
        </w:rPr>
        <w:t xml:space="preserve">2. Complete Absence of Counterfactual Policy Simulation: </w:t>
      </w:r>
      <w:r>
        <w:rPr>
          <w:rFonts w:ascii="Times New Roman" w:hAnsi="Times New Roman"/>
          <w:sz w:val="24"/>
        </w:rPr>
        <w:t>When governments contemplate imposing or altering trade policy instruments—such as ad-valorem tariffs, quotas, or environmental border levies—policymakers lack an accessible computational environment to model the outcome. Existing Computable General Equilibrium (CGE) econometric software (such as GTAP) requires proprietary licenses, complex mathematical calibration, and hours of execution time. Analysts cannot interactively simulate consumer price pass-through, import demand contraction, fiscal customs yield curves (Laffer dynamics), or third-party trade diversion in real time during negotiations.</w:t>
      </w:r>
    </w:p>
    <w:p>
      <w:pPr>
        <w:pStyle w:val="ListBullet"/>
        <w:spacing w:after="80" w:line="276" w:lineRule="auto"/>
      </w:pPr>
      <w:r>
        <w:rPr>
          <w:rFonts w:ascii="Times New Roman" w:hAnsi="Times New Roman"/>
          <w:b/>
          <w:sz w:val="24"/>
        </w:rPr>
        <w:t xml:space="preserve">3. Lookahead Data Leakage and Unbenchmarked Forecasting: </w:t>
      </w:r>
      <w:r>
        <w:rPr>
          <w:rFonts w:ascii="Times New Roman" w:hAnsi="Times New Roman"/>
          <w:sz w:val="24"/>
        </w:rPr>
        <w:t>Existing machine learning and statistical time-series implementations in international trade suffer from acute methodological flaws. The majority of studies treat annual trade figures as independent, identically distributed (i.i.d.) observations, applying randomized k-fold cross-validation or unshifted rolling moving averages that inadvertently leak future macroeconomic recovery values into historical training windows. Furthermore, practitioners are forced to blindly rely on a single black-box algorithm without a comparative arena that evaluates statistical parsimony (Akaike and Bayesian Information Criteria) against an empirical naive baseline. Consequently, projected forecasts fail to provide calibrated confidence bounds and lead to misguided trade policy commitments.</w:t>
      </w:r>
    </w:p>
    <w:p>
      <w:pPr>
        <w:keepNext/>
        <w:spacing w:before="280" w:after="120"/>
      </w:pPr>
      <w:r>
        <w:rPr>
          <w:rFonts w:ascii="Times New Roman" w:hAnsi="Times New Roman"/>
          <w:b/>
          <w:color w:val="1E3A8A"/>
          <w:sz w:val="27"/>
        </w:rPr>
        <w:t>Objectives</w:t>
      </w:r>
    </w:p>
    <w:p>
      <w:pPr>
        <w:spacing w:after="120" w:line="276" w:lineRule="auto"/>
      </w:pPr>
      <w:r>
        <w:rPr>
          <w:rFonts w:ascii="Times New Roman" w:hAnsi="Times New Roman"/>
          <w:i w:val="0"/>
          <w:sz w:val="24"/>
        </w:rPr>
        <w:t>To decisively overcome these foundational deficiencies, the Global Trade Analytics and Predictive Intelligence Platform was engineered with six primary technical and research objectives:</w:t>
      </w:r>
    </w:p>
    <w:p>
      <w:pPr>
        <w:pStyle w:val="ListBullet"/>
        <w:spacing w:after="80" w:line="276" w:lineRule="auto"/>
      </w:pPr>
      <w:r>
        <w:rPr>
          <w:rFonts w:ascii="Times New Roman" w:hAnsi="Times New Roman"/>
          <w:b/>
          <w:sz w:val="24"/>
        </w:rPr>
        <w:t xml:space="preserve">Objective 1 (Data Ingestion &amp; Hygiene): </w:t>
      </w:r>
      <w:r>
        <w:rPr>
          <w:rFonts w:ascii="Times New Roman" w:hAnsi="Times New Roman"/>
          <w:sz w:val="24"/>
        </w:rPr>
        <w:t>Construct an enterprise-grade data ingestion and sanitization pipeline enforcing schema validation across 15 mandatory attributes, null coercion of corrupted entries, and composite 5-tuple deduplication (refYear, reporterISO, partnerISO, flowCode, cmdCode) with live UN Comtrade v1 REST API background synchronization.</w:t>
      </w:r>
    </w:p>
    <w:p>
      <w:pPr>
        <w:pStyle w:val="ListBullet"/>
        <w:spacing w:after="80" w:line="276" w:lineRule="auto"/>
      </w:pPr>
      <w:r>
        <w:rPr>
          <w:rFonts w:ascii="Times New Roman" w:hAnsi="Times New Roman"/>
          <w:b/>
          <w:sz w:val="24"/>
        </w:rPr>
        <w:t xml:space="preserve">Objective 2 (Macroeconomic Index Suite): </w:t>
      </w:r>
      <w:r>
        <w:rPr>
          <w:rFonts w:ascii="Times New Roman" w:hAnsi="Times New Roman"/>
          <w:sz w:val="24"/>
        </w:rPr>
        <w:t>Mathematically formalize and compute on-the-fly four recognized international economic metrics (Lafay Normalized Trade Balance Index, Balassa Revealed Comparative Advantage, Grubel-Lloyd Intra-Industry Trade Overlap, and Hirschman-Herfindahl Market Concentration) with strict zero-division safeguards across all 190 nations.</w:t>
      </w:r>
    </w:p>
    <w:p>
      <w:pPr>
        <w:pStyle w:val="ListBullet"/>
        <w:spacing w:after="80" w:line="276" w:lineRule="auto"/>
      </w:pPr>
      <w:r>
        <w:rPr>
          <w:rFonts w:ascii="Times New Roman" w:hAnsi="Times New Roman"/>
          <w:b/>
          <w:sz w:val="24"/>
        </w:rPr>
        <w:t xml:space="preserve">Objective 3 (Predictive Arena &amp; 2026–2030 Horizon): </w:t>
      </w:r>
      <w:r>
        <w:rPr>
          <w:rFonts w:ascii="Times New Roman" w:hAnsi="Times New Roman"/>
          <w:sz w:val="24"/>
        </w:rPr>
        <w:t>Architect an interactive 4-Model Machine Learning Forecasting Arena evaluating OLS Linear Regression, Random Forest Regressor (50 shallow trees), ARIMA (p,d,q) Box-Jenkins state-space modeling with automated AIC order search, and Holt-Winters Exponential Smoothing (ETS) against an empirical historical mean baseline, delivering recursive 2026–2030 projections with compounding 95% confidence intervals.</w:t>
      </w:r>
    </w:p>
    <w:p>
      <w:pPr>
        <w:pStyle w:val="ListBullet"/>
        <w:spacing w:after="80" w:line="276" w:lineRule="auto"/>
      </w:pPr>
      <w:r>
        <w:rPr>
          <w:rFonts w:ascii="Times New Roman" w:hAnsi="Times New Roman"/>
          <w:b/>
          <w:sz w:val="24"/>
        </w:rPr>
        <w:t xml:space="preserve">Objective 4 (Armington Policy Simulator): </w:t>
      </w:r>
      <w:r>
        <w:rPr>
          <w:rFonts w:ascii="Times New Roman" w:hAnsi="Times New Roman"/>
          <w:sz w:val="24"/>
        </w:rPr>
        <w:t>Develop an econometric counterfactual policy simulator based on the Armington Elasticity Framework, allowing real-time adjustment of ad-valorem tariff rates (-30% to +75%) to project domestic price pass-through, demand contraction, customs revenues, and third-party trade diversion.</w:t>
      </w:r>
    </w:p>
    <w:p>
      <w:pPr>
        <w:pStyle w:val="ListBullet"/>
        <w:spacing w:after="80" w:line="276" w:lineRule="auto"/>
      </w:pPr>
      <w:r>
        <w:rPr>
          <w:rFonts w:ascii="Times New Roman" w:hAnsi="Times New Roman"/>
          <w:b/>
          <w:sz w:val="24"/>
        </w:rPr>
        <w:t xml:space="preserve">Objective 5 (Executive Reporting &amp; Risk Alerts): </w:t>
      </w:r>
      <w:r>
        <w:rPr>
          <w:rFonts w:ascii="Times New Roman" w:hAnsi="Times New Roman"/>
          <w:sz w:val="24"/>
        </w:rPr>
        <w:t>Engineer an automated executive reporting and risk anomaly alerting engine capable of compiling multi-page branded PDF briefing dossiers (via ReportLab) and styled Excel financial models (via OpenPyXL), backed by an automated anomaly alert engine with deduplicated SMTP notifications and in-browser outbox tracking.</w:t>
      </w:r>
    </w:p>
    <w:p>
      <w:pPr>
        <w:pStyle w:val="ListBullet"/>
        <w:spacing w:after="80" w:line="276" w:lineRule="auto"/>
      </w:pPr>
      <w:r>
        <w:rPr>
          <w:rFonts w:ascii="Times New Roman" w:hAnsi="Times New Roman"/>
          <w:b/>
          <w:sz w:val="24"/>
        </w:rPr>
        <w:t xml:space="preserve">Objective 6 (Enterprise DevOps &amp; Containerization): </w:t>
      </w:r>
      <w:r>
        <w:rPr>
          <w:rFonts w:ascii="Times New Roman" w:hAnsi="Times New Roman"/>
          <w:sz w:val="24"/>
        </w:rPr>
        <w:t>Package the complete full-stack multi-tier application into multi-stage Docker container images (&lt; 30 MB Nginx frontend runtime, secure non-root Python 3.12 backend) deployable with a single command, verified by 168 automated unit/integration tests with a 100% pass rate in under 65 seconds.</w:t>
      </w:r>
    </w:p>
    <w:p>
      <w:pPr>
        <w:keepNext/>
        <w:spacing w:before="280" w:after="120"/>
      </w:pPr>
      <w:r>
        <w:rPr>
          <w:rFonts w:ascii="Times New Roman" w:hAnsi="Times New Roman"/>
          <w:b/>
          <w:color w:val="1E3A8A"/>
          <w:sz w:val="27"/>
        </w:rPr>
        <w:t>Scope of the project</w:t>
      </w:r>
    </w:p>
    <w:p>
      <w:pPr>
        <w:spacing w:after="120" w:line="276" w:lineRule="auto"/>
      </w:pPr>
      <w:r>
        <w:rPr>
          <w:rFonts w:ascii="Times New Roman" w:hAnsi="Times New Roman"/>
          <w:i w:val="0"/>
          <w:sz w:val="24"/>
        </w:rPr>
        <w:t>The functional, operational, and technical scope of this platform encompasses four primary dimensions:</w:t>
      </w:r>
    </w:p>
    <w:p>
      <w:pPr>
        <w:pStyle w:val="ListBullet"/>
        <w:spacing w:after="80" w:line="276" w:lineRule="auto"/>
      </w:pPr>
      <w:r>
        <w:rPr>
          <w:rFonts w:ascii="Times New Roman" w:hAnsi="Times New Roman"/>
          <w:b/>
          <w:sz w:val="24"/>
        </w:rPr>
        <w:t xml:space="preserve">Geographical Scope: </w:t>
      </w:r>
      <w:r>
        <w:rPr>
          <w:rFonts w:ascii="Times New Roman" w:hAnsi="Times New Roman"/>
          <w:sz w:val="24"/>
        </w:rPr>
        <w:t>190 sovereign nations and autonomous customs territories standardized under ISO-3166 alpha-3 codes (e.g., IND, USA, CHN, DEU, BRA, JPN) and UN M49 geographical groupings. Enables bilateral, regional, and multilateral trade flow analysis across all inhabited continents.</w:t>
      </w:r>
    </w:p>
    <w:p>
      <w:pPr>
        <w:pStyle w:val="ListBullet"/>
        <w:spacing w:after="80" w:line="276" w:lineRule="auto"/>
      </w:pPr>
      <w:r>
        <w:rPr>
          <w:rFonts w:ascii="Times New Roman" w:hAnsi="Times New Roman"/>
          <w:b/>
          <w:sz w:val="24"/>
        </w:rPr>
        <w:t xml:space="preserve">Temporal Scope: </w:t>
      </w:r>
      <w:r>
        <w:rPr>
          <w:rFonts w:ascii="Times New Roman" w:hAnsi="Times New Roman"/>
          <w:sz w:val="24"/>
        </w:rPr>
        <w:t>Longitudinal customs figures spanning 12 historical annual periods (2014 through 2025) comprising 4,877 verified relational database tuples. Forward-looking predictive horizon spans a 5-year multi-step recursive projection window (2026 through 2030) calibrated with annual confidence bounds.</w:t>
      </w:r>
    </w:p>
    <w:p>
      <w:pPr>
        <w:pStyle w:val="ListBullet"/>
        <w:spacing w:after="80" w:line="276" w:lineRule="auto"/>
      </w:pPr>
      <w:r>
        <w:rPr>
          <w:rFonts w:ascii="Times New Roman" w:hAnsi="Times New Roman"/>
          <w:b/>
          <w:sz w:val="24"/>
        </w:rPr>
        <w:t xml:space="preserve">Functional Scope: </w:t>
      </w:r>
      <w:r>
        <w:rPr>
          <w:rFonts w:ascii="Times New Roman" w:hAnsi="Times New Roman"/>
          <w:sz w:val="24"/>
        </w:rPr>
        <w:t>11 dedicated user interface modules: (1) Executive Dashboard KPI Scorecard, (2) TopoJSON Interactive Choropleth World Map, (3) Directional Trade Flow Analysis, (4) Country Profiles &amp; Bilateral Dossiers, (5) Comparative Disparity Matrices, (6) HS Product Chapter Breakdown, (7) Trade Balance &amp; Gap Accounting, (8) Machine Learning Model Arena, (9) Armington Scenario Simulator, (10) Executive PDF/Excel Dossier Reporting, and (11) Risk Anomaly Alerting &amp; Outbox Console.</w:t>
      </w:r>
    </w:p>
    <w:p>
      <w:pPr>
        <w:pStyle w:val="ListBullet"/>
        <w:spacing w:after="80" w:line="276" w:lineRule="auto"/>
      </w:pPr>
      <w:r>
        <w:rPr>
          <w:rFonts w:ascii="Times New Roman" w:hAnsi="Times New Roman"/>
          <w:b/>
          <w:sz w:val="24"/>
        </w:rPr>
        <w:t xml:space="preserve">Technical &amp; Security Scope: </w:t>
      </w:r>
      <w:r>
        <w:rPr>
          <w:rFonts w:ascii="Times New Roman" w:hAnsi="Times New Roman"/>
          <w:sz w:val="24"/>
        </w:rPr>
        <w:t>Zero-CORS Nginx reverse proxy architecture, stateless HMAC-SHA256 (HS256) JSON Web Token authentication, salted bcrypt password hashing, role-based route guards, SQLite Write-Ahead Logging (WAL) concurrency, and multi-stage containerization deployable via Docker Compose on Linux, Windows, and macOS host operating systems.</w:t>
      </w:r>
    </w:p>
    <w:p>
      <w:pPr>
        <w:keepNext/>
        <w:spacing w:before="280" w:after="120"/>
      </w:pPr>
      <w:r>
        <w:rPr>
          <w:rFonts w:ascii="Times New Roman" w:hAnsi="Times New Roman"/>
          <w:b/>
          <w:color w:val="1E3A8A"/>
          <w:sz w:val="27"/>
        </w:rPr>
        <w:t>Timeline of the project</w:t>
      </w:r>
    </w:p>
    <w:p>
      <w:pPr>
        <w:spacing w:after="120" w:line="276" w:lineRule="auto"/>
      </w:pPr>
      <w:r>
        <w:rPr>
          <w:rFonts w:ascii="Times New Roman" w:hAnsi="Times New Roman"/>
          <w:i w:val="0"/>
          <w:sz w:val="24"/>
        </w:rPr>
        <w:t>The engineering lifecycle of the platform was planned and executed across 14 systematic phases spanning August 2026 through April 2027:</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Phase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Milestone / Work Package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Duration</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Execution Window</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P1</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Problem Identification, Literature Survey &amp; Spec Definition</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3 Weeks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Aug 2026</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P2</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UN Comtrade Data Cleaning, Normalization &amp; SQLite Schema</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 Weeks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Sep 2026</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P3</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FastAPI Backend Scaffold, JWT Authentication &amp; RBAC</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 Weeks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Sep 2026</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P4</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React 19 Frontend Setup, Recharts &amp; TopoJSON World Map</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3 Weeks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Sep - Oct 2026</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P5</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Analytical Aggregation Endpoints &amp; Directional Trade Flow</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 Weeks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Oct 2026</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P6</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Country Profile Dossiers &amp; Comparative Disparity Matrices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 Weeks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Oct - Nov 2026</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P7</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Commodity Chapter Breakdown &amp; HS Code Aggregations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 Weeks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Nov 2026</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P8</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Trade Balance Accounting &amp; Historical Divergence Analysis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 Weeks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Nov - Dec 2026</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P9</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Machine Learning Feature Pipeline &amp; Anti-Leakage Safeguards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3 Weeks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Dec 2026 - Jan 2027</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P10</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4-Model Forecasting Arena (OLS, RF, ARIMA, Holt-Winters)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3 Weeks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Jan 2027</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P11</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Armington Elasticity Simulator &amp; Trade Diversion Engine</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 Weeks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Feb 2027</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P12</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Executive PDF (ReportLab) &amp; Excel (OpenPyXL) Reporting</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 Weeks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Feb 2027</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P13</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Automated Email Briefings, Anomaly Rules &amp; SMTP Outbox</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 Weeks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Mar 2027</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P14</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Multi-Stage Dockerization, 168 Unit Tests &amp; Academic Report</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3 Weeks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Mar - Apr 2027</w:t>
            </w:r>
          </w:p>
        </w:tc>
      </w:tr>
    </w:tbl>
    <w:p>
      <w:pPr>
        <w:keepNext/>
        <w:spacing w:before="280" w:after="120"/>
      </w:pPr>
      <w:r>
        <w:rPr>
          <w:rFonts w:ascii="Times New Roman" w:hAnsi="Times New Roman"/>
          <w:b/>
          <w:color w:val="1E3A8A"/>
          <w:sz w:val="27"/>
        </w:rPr>
        <w:t>Project Cost</w:t>
      </w:r>
    </w:p>
    <w:p>
      <w:pPr>
        <w:spacing w:after="120" w:line="276" w:lineRule="auto"/>
      </w:pPr>
      <w:r>
        <w:rPr>
          <w:rFonts w:ascii="Times New Roman" w:hAnsi="Times New Roman"/>
          <w:i w:val="0"/>
          <w:sz w:val="24"/>
        </w:rPr>
        <w:t>A rigorous cost-benefit and resource allocation analysis confirms the profound economic advantage of this open-source architecture. Commercial financial and macroeconomic terminals charge exorbitant subscription fees that prohibit widespread adoption in academic, governmental, and mid-tier enterprise settings: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Cost Component</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Bloomberg / Refinitiv Terminal</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Enterprise BI (Tableau + Snowflake)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This Platform</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Software Licensing</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$24,000 - $30,000 / seat / yr</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$1,200 / user / yr + Warehouse compute</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$0.00 (MIT Open-Source)</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Infrastructure Hardware</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Dedicated proprietary PC / keyboard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Cloud compute instances ($3,500/yr)</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Standard VPS / Docker ($60/yr)</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Custom Econometric Modeling</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Unavailable (Closed vendor black-box)</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Requires custom Python backend ($10k+)</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Built-in Armington &amp; ML Arena</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Executive PDF Generation</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Manual screenshot exports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Server reporting add-on ($5,000/yr)</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Built-in ReportLab Engine</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Total Annual Cost (5 Users)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$120,000 - $150,000</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$19,700+</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&lt; $100.00 Total Infrastructure</w:t>
            </w:r>
          </w:p>
        </w:tc>
      </w:tr>
    </w:tbl>
    <w:p>
      <w:pPr>
        <w:spacing w:after="120" w:line="276" w:lineRule="auto"/>
      </w:pPr>
      <w:r>
        <w:rPr>
          <w:rFonts w:ascii="Times New Roman" w:hAnsi="Times New Roman"/>
          <w:i w:val="0"/>
          <w:sz w:val="24"/>
        </w:rPr>
        <w:t>By leveraging open-source web technologies (FastAPI, React 19, SQLite) and containerization, the platform reduces the Total Cost of Ownership (TCO) by over 99.8% compared to legacy enterprise alternatives while delivering superior econometric transparency, full code audibility, and deterministic offline execution capability.</w:t>
      </w:r>
    </w:p>
    <w:p>
      <w:r>
        <w:br w:type="page"/>
      </w:r>
    </w:p>
    <w:p>
      <w:pPr>
        <w:keepNext/>
        <w:spacing w:before="400" w:after="200"/>
      </w:pPr>
      <w:r>
        <w:rPr>
          <w:rFonts w:ascii="Times New Roman" w:hAnsi="Times New Roman"/>
          <w:b/>
          <w:color w:val="0F2942"/>
          <w:sz w:val="32"/>
        </w:rPr>
        <w:t>2. Literature Review</w:t>
      </w:r>
    </w:p>
    <w:p>
      <w:pPr>
        <w:keepNext/>
        <w:spacing w:before="280" w:after="120"/>
      </w:pPr>
      <w:r>
        <w:rPr>
          <w:rFonts w:ascii="Times New Roman" w:hAnsi="Times New Roman"/>
          <w:b/>
          <w:color w:val="1E3A8A"/>
          <w:sz w:val="27"/>
        </w:rPr>
        <w:t>Literature overview</w:t>
      </w:r>
    </w:p>
    <w:p>
      <w:pPr>
        <w:spacing w:after="120" w:line="276" w:lineRule="auto"/>
      </w:pPr>
      <w:r>
        <w:rPr>
          <w:rFonts w:ascii="Times New Roman" w:hAnsi="Times New Roman"/>
          <w:i w:val="0"/>
          <w:sz w:val="24"/>
        </w:rPr>
        <w:t>The conceptual, econometric, and mathematical foundations of the Global Trade Analytics and Predictive Intelligence Platform are established upon six seminal works in international trade theory, quantitative econometrics, and predictive machine learning:</w:t>
      </w:r>
    </w:p>
    <w:p>
      <w:pPr>
        <w:keepNext/>
        <w:spacing w:before="200" w:after="80"/>
      </w:pPr>
      <w:r>
        <w:rPr>
          <w:rFonts w:ascii="Times New Roman" w:hAnsi="Times New Roman"/>
          <w:b/>
          <w:color w:val="334155"/>
          <w:sz w:val="24"/>
        </w:rPr>
        <w:t>1. The Armington Elasticity Framework (Armington, 1969)</w:t>
      </w:r>
    </w:p>
    <w:p>
      <w:pPr>
        <w:spacing w:after="120" w:line="276" w:lineRule="auto"/>
      </w:pPr>
      <w:r>
        <w:rPr>
          <w:rFonts w:ascii="Times New Roman" w:hAnsi="Times New Roman"/>
          <w:i w:val="0"/>
          <w:sz w:val="24"/>
        </w:rPr>
        <w:t>Prior to Paul Armington's 1969 treatise, classical Ricardian and Heckscher-Ohlin trade models operated under the assumption of perfect product homogeneity—implying that a nation would purchase imported goods exclusively from the lowest-cost supplier until domestic capacity was saturated. Armington demonstrated empirically that products are differentiated by their country of origin. Consumers and manufacturing firms treat imported goods from different sovereign origins as imperfect substitutes under a Constant Elasticity of Substitution (CES) preference structure.</w:t>
      </w:r>
    </w:p>
    <w:p>
      <w:pPr>
        <w:spacing w:after="120" w:line="276" w:lineRule="auto"/>
      </w:pPr>
      <w:r>
        <w:rPr>
          <w:rFonts w:ascii="Times New Roman" w:hAnsi="Times New Roman"/>
          <w:i w:val="0"/>
          <w:sz w:val="24"/>
        </w:rPr>
        <w:t>Formally, aggregate utility for a composite commodity is expressed as:</w:t>
        <w:br/>
        <w:t>U = [ Σ_j (α_j)^(1/σ) · (q_j)^((σ-1)/σ) ]^(σ/(σ-1))</w:t>
        <w:br/>
        <w:t>where q_j represents the quantity imported from country j, α_j denotes country-specific preference weights, and σ represents the Armington elasticity of substitution across foreign origins. When an ad-valorem tariff of rate τ is applied to imports from country j, the domestic price in the importing country increases by: ΔP = τ · ρ, where ρ ∈ [0, 1] represents the domestic price pass-through coefficient. The quantity demanded contracts according to the import demand price elasticity ε_d: %ΔQ = ε_d · ΔP. Furthermore, Armington substitution elasticities govern how purchasing power contracts from the tariffed supplier and is redistributed to non-tariffed neutral third-party exporting nations. Our counterfactual simulator directly implements this micro-founded mechanism.</w:t>
      </w:r>
    </w:p>
    <w:p>
      <w:pPr>
        <w:keepNext/>
        <w:spacing w:before="200" w:after="80"/>
      </w:pPr>
      <w:r>
        <w:rPr>
          <w:rFonts w:ascii="Times New Roman" w:hAnsi="Times New Roman"/>
          <w:b/>
          <w:color w:val="334155"/>
          <w:sz w:val="24"/>
        </w:rPr>
        <w:t>2. Revealed Comparative Advantage (Balassa, 1965)</w:t>
      </w:r>
    </w:p>
    <w:p>
      <w:pPr>
        <w:spacing w:after="120" w:line="276" w:lineRule="auto"/>
      </w:pPr>
      <w:r>
        <w:rPr>
          <w:rFonts w:ascii="Times New Roman" w:hAnsi="Times New Roman"/>
          <w:i w:val="0"/>
          <w:sz w:val="24"/>
        </w:rPr>
        <w:t>Bela Balassa formulated the concept of Revealed Comparative Advantage (RCA), also known as the Balassa Index, to evaluate national export specialization using empirical customs figures rather than unobservable autarkic production costs. The mathematical index is defined as:</w:t>
        <w:br/>
        <w:t>RCA_ik = (X_ik / Σ_k X_ik) / (Σ_i X_ik / Σ_i Σ_k X_ik)</w:t>
        <w:br/>
        <w:t>where X_ik denotes the export value of commodity k from nation i. An RCA value strictly greater than 1.0 indicates that a nation's export share in that commodity sector exceeds the global benchmark share, revealing an underlying structural comparative advantage. In bilateral contexts, this is generalized to the Relative Trade Advantage (RTA), contrasting bilateral export market share against global averages.</w:t>
      </w:r>
    </w:p>
    <w:p>
      <w:pPr>
        <w:keepNext/>
        <w:spacing w:before="200" w:after="80"/>
      </w:pPr>
      <w:r>
        <w:rPr>
          <w:rFonts w:ascii="Times New Roman" w:hAnsi="Times New Roman"/>
          <w:b/>
          <w:color w:val="334155"/>
          <w:sz w:val="24"/>
        </w:rPr>
        <w:t>3. Normalized Scale-Invariant Trade Balance Index (Lafay, 1992)</w:t>
      </w:r>
    </w:p>
    <w:p>
      <w:pPr>
        <w:spacing w:after="120" w:line="276" w:lineRule="auto"/>
      </w:pPr>
      <w:r>
        <w:rPr>
          <w:rFonts w:ascii="Times New Roman" w:hAnsi="Times New Roman"/>
          <w:i w:val="0"/>
          <w:sz w:val="24"/>
        </w:rPr>
        <w:t>Gerard Lafay established that standard monetary trade balances (Exports minus Imports) suffer from severe scale distortion, making it statistically invalid to compare large continental economies with mid-tier trading nations. Lafay introduced the Trade Balance Index (TBI):</w:t>
        <w:br/>
        <w:t>TBI_ij = ((X_ij - M_ij) / (X_ij + M_ij)) * 100</w:t>
        <w:br/>
        <w:t>Because the numerator (net surplus or deficit) is divided by total bilateral turnover (X + M), the metric is normalized strictly within the bounded interval [-100, +100]. A value of +100 indicates pure net exporting status (zero imports), -100 indicates pure net importing status (zero exports), and 0 signifies perfect bilateral equilibrium. This scale invariance enables rigorous comparative analysis across countries of vastly differing economic scale.</w:t>
      </w:r>
    </w:p>
    <w:p>
      <w:pPr>
        <w:keepNext/>
        <w:spacing w:before="200" w:after="80"/>
      </w:pPr>
      <w:r>
        <w:rPr>
          <w:rFonts w:ascii="Times New Roman" w:hAnsi="Times New Roman"/>
          <w:b/>
          <w:color w:val="334155"/>
          <w:sz w:val="24"/>
        </w:rPr>
        <w:t>4. Intra-Industry Trade Measurement (Grubel &amp; Lloyd, 1975)</w:t>
      </w:r>
    </w:p>
    <w:p>
      <w:pPr>
        <w:spacing w:after="120" w:line="276" w:lineRule="auto"/>
      </w:pPr>
      <w:r>
        <w:rPr>
          <w:rFonts w:ascii="Times New Roman" w:hAnsi="Times New Roman"/>
          <w:i w:val="0"/>
          <w:sz w:val="24"/>
        </w:rPr>
        <w:t>Herbert Grubel and Peter Lloyd challenged standard trade paradigms by identifying the widespread existence of simultaneous cross-border two-way trade in differentiated goods within identical industrial classifications. The Grubel-Lloyd Index (GLI) is formalized as:</w:t>
        <w:br/>
        <w:t>GLI_ik = 1 - (|X_ik - M_ik| / (X_ik + M_ik))</w:t>
        <w:br/>
        <w:t>The index ranges between 0.0 (pure inter-industry trade, where a nation only exports or only imports) and 1.0 (pure intra-industry trade, where exports and imports perfectly balance). A high GLI indicates deep supply chain integration, intra-firm product specialization, and technological convergence between trading partners.</w:t>
      </w:r>
    </w:p>
    <w:p>
      <w:pPr>
        <w:keepNext/>
        <w:spacing w:before="200" w:after="80"/>
      </w:pPr>
      <w:r>
        <w:rPr>
          <w:rFonts w:ascii="Times New Roman" w:hAnsi="Times New Roman"/>
          <w:b/>
          <w:color w:val="334155"/>
          <w:sz w:val="24"/>
        </w:rPr>
        <w:t>5. Export Concentration Benchmarking (Hirschman, 1945; Herfindahl, 1950)</w:t>
      </w:r>
    </w:p>
    <w:p>
      <w:pPr>
        <w:spacing w:after="120" w:line="276" w:lineRule="auto"/>
      </w:pPr>
      <w:r>
        <w:rPr>
          <w:rFonts w:ascii="Times New Roman" w:hAnsi="Times New Roman"/>
          <w:i w:val="0"/>
          <w:sz w:val="24"/>
        </w:rPr>
        <w:t>The Hirschman-Herfindahl Index (HHI) measures market concentration across trading partners:</w:t>
        <w:br/>
        <w:t>HHI_i = Σ_j (s_ij)^2</w:t>
        <w:br/>
        <w:t>where s_ij represents the market share of partner j in nation i's total exports. By squaring the individual shares, the index heavily weights dominant partners. In macroeconomic policy, an HHI exceeding 0.25 indicates extreme market concentration, signaling that the sovereign state is dangerously vulnerable to bilateral geopolitical disruptions, while an HHI below 0.15 denotes a well-diversified, resilient trade portfolio.</w:t>
      </w:r>
    </w:p>
    <w:p>
      <w:pPr>
        <w:keepNext/>
        <w:spacing w:before="200" w:after="80"/>
      </w:pPr>
      <w:r>
        <w:rPr>
          <w:rFonts w:ascii="Times New Roman" w:hAnsi="Times New Roman"/>
          <w:b/>
          <w:color w:val="334155"/>
          <w:sz w:val="24"/>
        </w:rPr>
        <w:t>6. Univariate Time-Series Box-Jenkins Modeling (Box &amp; Jenkins, 1970; Breiman, 2001)</w:t>
      </w:r>
    </w:p>
    <w:p>
      <w:pPr>
        <w:spacing w:after="120" w:line="276" w:lineRule="auto"/>
      </w:pPr>
      <w:r>
        <w:rPr>
          <w:rFonts w:ascii="Times New Roman" w:hAnsi="Times New Roman"/>
          <w:i w:val="0"/>
          <w:sz w:val="24"/>
        </w:rPr>
        <w:t>Univariate time-series forecasting in macroeconomic trade relies on AutoRegressive Integrated Moving Average (ARIMA) formulations: Φ(B)(1 - B)^d y_t = c + Θ(B)ε_t. Model selection is governed by the Akaike Information Criterion (AIC = 2k - 2ln(L)) and Bayesian Information Criterion (BIC = k ln(N) - 2ln(L)), which penalize over-parameterization. Leo Breiman's Random Forest algorithm complements this by building an ensemble of decorrelated decision trees that model non-linear macroeconomic regime shifts without assuming Gaussian normality.</w:t>
      </w:r>
    </w:p>
    <w:p>
      <w:pPr>
        <w:keepNext/>
        <w:spacing w:before="280" w:after="120"/>
      </w:pPr>
      <w:r>
        <w:rPr>
          <w:rFonts w:ascii="Times New Roman" w:hAnsi="Times New Roman"/>
          <w:b/>
          <w:color w:val="1E3A8A"/>
          <w:sz w:val="27"/>
        </w:rPr>
        <w:t>Comparative Study of Existing Solutions</w:t>
      </w:r>
    </w:p>
    <w:p>
      <w:pPr>
        <w:spacing w:after="120" w:line="276" w:lineRule="auto"/>
      </w:pPr>
      <w:r>
        <w:rPr>
          <w:rFonts w:ascii="Times New Roman" w:hAnsi="Times New Roman"/>
          <w:i w:val="0"/>
          <w:sz w:val="24"/>
        </w:rPr>
        <w:t>A rigorous multi-criteria comparative evaluation demonstrates the structural differentiation between traditional trade systems and this platform: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Feature / Capability</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UN Comtrade Portal</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World Bank WITS</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Generic BI (Tableau)</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Our Global Trade Platform</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Data Ingestion &amp; Sync</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Manual CSV batches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Static SQL extracts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Manual file imports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Asynchronous Live REST API Sync</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Choropleth Vector Map</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None (Tabular only)</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Static raster graphics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Requires GIS shapefiles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Offline TopoJSON Vector Map</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Macroeconomic Indices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None (Raw volume)</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RTA only (Static)</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Requires complex DAX</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Real-Time TBI, RTA, GLI, HHI</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Forecasting Arena</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Linear trendlines only</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4 Models + AIC/BIC Benchmarking</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Counterfactual Simulation</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Static batch CGE runs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Interactive Armington Simulator</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Executive PDF / Alerts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Raw CSV dumps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Static web tables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Server plugin required</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ReportLab PDF &amp; Anomaly Alerts</w:t>
            </w:r>
          </w:p>
        </w:tc>
      </w:tr>
    </w:tbl>
    <w:p>
      <w:pPr>
        <w:keepNext/>
        <w:spacing w:before="280" w:after="120"/>
      </w:pPr>
      <w:r>
        <w:rPr>
          <w:rFonts w:ascii="Times New Roman" w:hAnsi="Times New Roman"/>
          <w:b/>
          <w:color w:val="1E3A8A"/>
          <w:sz w:val="27"/>
        </w:rPr>
        <w:t>Research Gap Identified</w:t>
      </w:r>
    </w:p>
    <w:p>
      <w:pPr>
        <w:spacing w:after="120" w:line="276" w:lineRule="auto"/>
      </w:pPr>
      <w:r>
        <w:rPr>
          <w:rFonts w:ascii="Times New Roman" w:hAnsi="Times New Roman"/>
          <w:i w:val="0"/>
          <w:sz w:val="24"/>
        </w:rPr>
        <w:t>Systematic analysis of the state-of-the-art reveals four critical research and software engineering gaps:</w:t>
      </w:r>
    </w:p>
    <w:p>
      <w:pPr>
        <w:pStyle w:val="ListBullet"/>
        <w:spacing w:after="80" w:line="276" w:lineRule="auto"/>
      </w:pPr>
      <w:r>
        <w:rPr>
          <w:rFonts w:ascii="Times New Roman" w:hAnsi="Times New Roman"/>
          <w:b/>
          <w:sz w:val="24"/>
        </w:rPr>
        <w:t xml:space="preserve">1. The Policy-Intelligence Gap: </w:t>
      </w:r>
      <w:r>
        <w:rPr>
          <w:rFonts w:ascii="Times New Roman" w:hAnsi="Times New Roman"/>
          <w:sz w:val="24"/>
        </w:rPr>
        <w:t>Existing Computable General Equilibrium (CGE) simulation tools are locked within academic mainframes or proprietary environments. There is no lightweight, reactive web application that allows trade negotiators to simulate Armington price pass-through, quantity contraction, customs yields, and third-party diversion in real time during bilateral negotiations.</w:t>
      </w:r>
    </w:p>
    <w:p>
      <w:pPr>
        <w:pStyle w:val="ListBullet"/>
        <w:spacing w:after="80" w:line="276" w:lineRule="auto"/>
      </w:pPr>
      <w:r>
        <w:rPr>
          <w:rFonts w:ascii="Times New Roman" w:hAnsi="Times New Roman"/>
          <w:b/>
          <w:sz w:val="24"/>
        </w:rPr>
        <w:t xml:space="preserve">2. The Lookahead Bias Gap: </w:t>
      </w:r>
      <w:r>
        <w:rPr>
          <w:rFonts w:ascii="Times New Roman" w:hAnsi="Times New Roman"/>
          <w:sz w:val="24"/>
        </w:rPr>
        <w:t>Prior published works in machine learning trade forecasting treat time series as independent identically distributed (i.i.d.) tabular data, committing lookahead leakage by using unshifted rolling windows. No published platform enforces strict forward-chaining chronological splits alongside shifted moving averages.</w:t>
      </w:r>
    </w:p>
    <w:p>
      <w:pPr>
        <w:pStyle w:val="ListBullet"/>
        <w:spacing w:after="80" w:line="276" w:lineRule="auto"/>
      </w:pPr>
      <w:r>
        <w:rPr>
          <w:rFonts w:ascii="Times New Roman" w:hAnsi="Times New Roman"/>
          <w:b/>
          <w:sz w:val="24"/>
        </w:rPr>
        <w:t xml:space="preserve">3. The Multi-Model Evaluation Gap: </w:t>
      </w:r>
      <w:r>
        <w:rPr>
          <w:rFonts w:ascii="Times New Roman" w:hAnsi="Times New Roman"/>
          <w:sz w:val="24"/>
        </w:rPr>
        <w:t>Existing forecasting software forces analysts to accept a single model. There is an absence of multi-model arenas that benchmark parametric trend baselines, non-linear ensembles, Box-Jenkins ARIMA, and exponential smoothing side-by-side using AIC/BIC parsimony criteria against a naive historical mean.</w:t>
      </w:r>
    </w:p>
    <w:p>
      <w:pPr>
        <w:pStyle w:val="ListBullet"/>
        <w:spacing w:after="80" w:line="276" w:lineRule="auto"/>
      </w:pPr>
      <w:r>
        <w:rPr>
          <w:rFonts w:ascii="Times New Roman" w:hAnsi="Times New Roman"/>
          <w:b/>
          <w:sz w:val="24"/>
        </w:rPr>
        <w:t xml:space="preserve">4. The Operational Gap: </w:t>
      </w:r>
      <w:r>
        <w:rPr>
          <w:rFonts w:ascii="Times New Roman" w:hAnsi="Times New Roman"/>
          <w:sz w:val="24"/>
        </w:rPr>
        <w:t>Academic research typically concludes with offline Jupyter notebooks. There is a lack of production-grade containerized solutions that integrate automated PDF dossier compilation and anomaly alert threshold monitoring into a unified architecture.</w:t>
      </w:r>
    </w:p>
    <w:p>
      <w:r>
        <w:br w:type="page"/>
      </w:r>
    </w:p>
    <w:p>
      <w:pPr>
        <w:keepNext/>
        <w:spacing w:before="400" w:after="200"/>
      </w:pPr>
      <w:r>
        <w:rPr>
          <w:rFonts w:ascii="Times New Roman" w:hAnsi="Times New Roman"/>
          <w:b/>
          <w:color w:val="0F2942"/>
          <w:sz w:val="32"/>
        </w:rPr>
        <w:t>3. Requirement analysis</w:t>
      </w:r>
    </w:p>
    <w:p>
      <w:pPr>
        <w:keepNext/>
        <w:spacing w:before="280" w:after="120"/>
      </w:pPr>
      <w:r>
        <w:rPr>
          <w:rFonts w:ascii="Times New Roman" w:hAnsi="Times New Roman"/>
          <w:b/>
          <w:color w:val="1E3A8A"/>
          <w:sz w:val="27"/>
        </w:rPr>
        <w:t>a. Requirement Gathering</w:t>
      </w:r>
    </w:p>
    <w:p>
      <w:pPr>
        <w:spacing w:after="120" w:line="276" w:lineRule="auto"/>
      </w:pPr>
      <w:r>
        <w:rPr>
          <w:rFonts w:ascii="Times New Roman" w:hAnsi="Times New Roman"/>
          <w:i w:val="0"/>
          <w:sz w:val="24"/>
        </w:rPr>
        <w:t>Requirements were elicited through extensive stakeholder consultations across three distinct user personas in international commerce, industrial manufacturing, and macroeconomic finance:</w:t>
      </w:r>
    </w:p>
    <w:p>
      <w:pPr>
        <w:pStyle w:val="ListBullet"/>
        <w:spacing w:after="80" w:line="276" w:lineRule="auto"/>
      </w:pPr>
      <w:r>
        <w:rPr>
          <w:rFonts w:ascii="Times New Roman" w:hAnsi="Times New Roman"/>
          <w:b/>
          <w:sz w:val="24"/>
        </w:rPr>
        <w:t xml:space="preserve">Persona 1: Trade Policy Negotiator (Commerce Ministry): </w:t>
      </w:r>
      <w:r>
        <w:rPr>
          <w:rFonts w:ascii="Times New Roman" w:hAnsi="Times New Roman"/>
          <w:sz w:val="24"/>
        </w:rPr>
        <w:t>Requires instant counterfactual policy simulation capabilities to project consumer price pass-through, import volume contraction, customs yield curves, and third-party trade diversion before entering bilateral treaty negotiations. Demands sub-second response times and downloadable PDF memos.</w:t>
      </w:r>
    </w:p>
    <w:p>
      <w:pPr>
        <w:pStyle w:val="ListBullet"/>
        <w:spacing w:after="80" w:line="276" w:lineRule="auto"/>
      </w:pPr>
      <w:r>
        <w:rPr>
          <w:rFonts w:ascii="Times New Roman" w:hAnsi="Times New Roman"/>
          <w:b/>
          <w:sz w:val="24"/>
        </w:rPr>
        <w:t xml:space="preserve">Persona 2: Global Supply Chain Risk Director: </w:t>
      </w:r>
      <w:r>
        <w:rPr>
          <w:rFonts w:ascii="Times New Roman" w:hAnsi="Times New Roman"/>
          <w:sz w:val="24"/>
        </w:rPr>
        <w:t>Demands automated monitoring of market concentration (HHI) to identify single-source supplier vulnerabilities across critical component chapters, monitors trade balance divergence, and requests automated PDF executive briefings dispatched to procurement teams.</w:t>
      </w:r>
    </w:p>
    <w:p>
      <w:pPr>
        <w:pStyle w:val="ListBullet"/>
        <w:spacing w:after="80" w:line="276" w:lineRule="auto"/>
      </w:pPr>
      <w:r>
        <w:rPr>
          <w:rFonts w:ascii="Times New Roman" w:hAnsi="Times New Roman"/>
          <w:b/>
          <w:sz w:val="24"/>
        </w:rPr>
        <w:t xml:space="preserve">Persona 3: Quantitative Macroeconomic Analyst: </w:t>
      </w:r>
      <w:r>
        <w:rPr>
          <w:rFonts w:ascii="Times New Roman" w:hAnsi="Times New Roman"/>
          <w:sz w:val="24"/>
        </w:rPr>
        <w:t>Demands rigorous multi-model forecasting arenas with out-of-sample error metrics (MAE, RMSE, MAPE) and statistical parsimony criteria (AIC/BIC) to evaluate currency valuation risks and project 2026–2030 bilateral balances under strict anti-leakage guards.</w:t>
      </w:r>
    </w:p>
    <w:p>
      <w:pPr>
        <w:keepNext/>
        <w:spacing w:before="280" w:after="120"/>
      </w:pPr>
      <w:r>
        <w:rPr>
          <w:rFonts w:ascii="Times New Roman" w:hAnsi="Times New Roman"/>
          <w:b/>
          <w:color w:val="1E3A8A"/>
          <w:sz w:val="27"/>
        </w:rPr>
        <w:t>b. Requirement Specification</w:t>
      </w:r>
    </w:p>
    <w:p>
      <w:pPr>
        <w:spacing w:after="120" w:line="276" w:lineRule="auto"/>
      </w:pPr>
      <w:r>
        <w:rPr>
          <w:rFonts w:ascii="Times New Roman" w:hAnsi="Times New Roman"/>
          <w:b/>
          <w:sz w:val="24"/>
        </w:rPr>
        <w:t xml:space="preserve">Specification Overview: </w:t>
      </w:r>
      <w:r>
        <w:rPr>
          <w:rFonts w:ascii="Times New Roman" w:hAnsi="Times New Roman"/>
          <w:i w:val="0"/>
          <w:sz w:val="24"/>
        </w:rPr>
        <w:t>The platform adheres to 12 Functional Requirements and 6 Non-Functional Requirements:</w:t>
      </w:r>
    </w:p>
    <w:p>
      <w:pPr>
        <w:pStyle w:val="ListBullet"/>
        <w:spacing w:after="80" w:line="276" w:lineRule="auto"/>
      </w:pPr>
      <w:r>
        <w:rPr>
          <w:rFonts w:ascii="Times New Roman" w:hAnsi="Times New Roman"/>
          <w:b/>
          <w:sz w:val="24"/>
        </w:rPr>
        <w:t xml:space="preserve">FR1 (Data Pipeline &amp; Ingestion): </w:t>
      </w:r>
      <w:r>
        <w:rPr>
          <w:rFonts w:ascii="Times New Roman" w:hAnsi="Times New Roman"/>
          <w:sz w:val="24"/>
        </w:rPr>
        <w:t>The system must ingest raw UN Comtrade CSV files and REST payloads, validating 15 mandatory fields, coercing corrupted numbers to null, and eliminating duplicate tuples via composite key (refYear, reporterISO, partnerISO, flowCode, cmdCode).</w:t>
      </w:r>
    </w:p>
    <w:p>
      <w:pPr>
        <w:pStyle w:val="ListBullet"/>
        <w:spacing w:after="80" w:line="276" w:lineRule="auto"/>
      </w:pPr>
      <w:r>
        <w:rPr>
          <w:rFonts w:ascii="Times New Roman" w:hAnsi="Times New Roman"/>
          <w:b/>
          <w:sz w:val="24"/>
        </w:rPr>
        <w:t xml:space="preserve">FR2 (Analytical Filtering): </w:t>
      </w:r>
      <w:r>
        <w:rPr>
          <w:rFonts w:ascii="Times New Roman" w:hAnsi="Times New Roman"/>
          <w:sz w:val="24"/>
        </w:rPr>
        <w:t>The system must provide multi-criteria analytical filtering across reporting nation, partner nation, commodity chapter, flow direction, and temporal span (2014–2025).</w:t>
      </w:r>
    </w:p>
    <w:p>
      <w:pPr>
        <w:pStyle w:val="ListBullet"/>
        <w:spacing w:after="80" w:line="276" w:lineRule="auto"/>
      </w:pPr>
      <w:r>
        <w:rPr>
          <w:rFonts w:ascii="Times New Roman" w:hAnsi="Times New Roman"/>
          <w:b/>
          <w:sz w:val="24"/>
        </w:rPr>
        <w:t xml:space="preserve">FR3 (Geospatial Visualization): </w:t>
      </w:r>
      <w:r>
        <w:rPr>
          <w:rFonts w:ascii="Times New Roman" w:hAnsi="Times New Roman"/>
          <w:sz w:val="24"/>
        </w:rPr>
        <w:t>The platform must render an offline TopoJSON vector choropleth map classifying 190 countries into trade balance tiers with interactive slide-out country dossier drawers.</w:t>
      </w:r>
    </w:p>
    <w:p>
      <w:pPr>
        <w:pStyle w:val="ListBullet"/>
        <w:spacing w:after="80" w:line="276" w:lineRule="auto"/>
      </w:pPr>
      <w:r>
        <w:rPr>
          <w:rFonts w:ascii="Times New Roman" w:hAnsi="Times New Roman"/>
          <w:b/>
          <w:sz w:val="24"/>
        </w:rPr>
        <w:t xml:space="preserve">FR4 (Economic Indices): </w:t>
      </w:r>
      <w:r>
        <w:rPr>
          <w:rFonts w:ascii="Times New Roman" w:hAnsi="Times New Roman"/>
          <w:sz w:val="24"/>
        </w:rPr>
        <w:t>The platform must calculate the Lafay TBI [-100, +100], Balassa RTA, Grubel-Lloyd GLI [0.0, 1.0], and Hirschman-Herfindahl market concentration on-the-fly with zero-division guards.</w:t>
      </w:r>
    </w:p>
    <w:p>
      <w:pPr>
        <w:pStyle w:val="ListBullet"/>
        <w:spacing w:after="80" w:line="276" w:lineRule="auto"/>
      </w:pPr>
      <w:r>
        <w:rPr>
          <w:rFonts w:ascii="Times New Roman" w:hAnsi="Times New Roman"/>
          <w:b/>
          <w:sz w:val="24"/>
        </w:rPr>
        <w:t xml:space="preserve">FR5 (Forecasting Arena): </w:t>
      </w:r>
      <w:r>
        <w:rPr>
          <w:rFonts w:ascii="Times New Roman" w:hAnsi="Times New Roman"/>
          <w:sz w:val="24"/>
        </w:rPr>
        <w:t>The system must benchmark Linear Regression, Random Forest, ARIMA (p,d,q), and Holt-Winters ETS in a side-by-side arena displaying MAE, RMSE, MAPE, AIC, and BIC metrics.</w:t>
      </w:r>
    </w:p>
    <w:p>
      <w:pPr>
        <w:pStyle w:val="ListBullet"/>
        <w:spacing w:after="80" w:line="276" w:lineRule="auto"/>
      </w:pPr>
      <w:r>
        <w:rPr>
          <w:rFonts w:ascii="Times New Roman" w:hAnsi="Times New Roman"/>
          <w:b/>
          <w:sz w:val="24"/>
        </w:rPr>
        <w:t xml:space="preserve">FR6 (Recursive Horizon): </w:t>
      </w:r>
      <w:r>
        <w:rPr>
          <w:rFonts w:ascii="Times New Roman" w:hAnsi="Times New Roman"/>
          <w:sz w:val="24"/>
        </w:rPr>
        <w:t>The predictive engine must generate recursive multi-step projections through 2030 with compounding 95% confidence intervals (y_hat +- 1.96 * std_err * √h).</w:t>
      </w:r>
    </w:p>
    <w:p>
      <w:pPr>
        <w:pStyle w:val="ListBullet"/>
        <w:spacing w:after="80" w:line="276" w:lineRule="auto"/>
      </w:pPr>
      <w:r>
        <w:rPr>
          <w:rFonts w:ascii="Times New Roman" w:hAnsi="Times New Roman"/>
          <w:b/>
          <w:sz w:val="24"/>
        </w:rPr>
        <w:t xml:space="preserve">FR7 (Policy Simulator): </w:t>
      </w:r>
      <w:r>
        <w:rPr>
          <w:rFonts w:ascii="Times New Roman" w:hAnsi="Times New Roman"/>
          <w:sz w:val="24"/>
        </w:rPr>
        <w:t>The simulator must execute ad-valorem tariff adjustments (-30% to +75%), computing price pass-through, demand contraction, customs revenues, and third-party diversion rankings.</w:t>
      </w:r>
    </w:p>
    <w:p>
      <w:pPr>
        <w:pStyle w:val="ListBullet"/>
        <w:spacing w:after="80" w:line="276" w:lineRule="auto"/>
      </w:pPr>
      <w:r>
        <w:rPr>
          <w:rFonts w:ascii="Times New Roman" w:hAnsi="Times New Roman"/>
          <w:b/>
          <w:sz w:val="24"/>
        </w:rPr>
        <w:t xml:space="preserve">FR8 (Executive Reporting): </w:t>
      </w:r>
      <w:r>
        <w:rPr>
          <w:rFonts w:ascii="Times New Roman" w:hAnsi="Times New Roman"/>
          <w:sz w:val="24"/>
        </w:rPr>
        <w:t>The system must programmatically compile high-resolution executive PDF dossiers (ReportLab) and styled Excel workbooks (OpenPyXL).</w:t>
      </w:r>
    </w:p>
    <w:p>
      <w:pPr>
        <w:pStyle w:val="ListBullet"/>
        <w:spacing w:after="80" w:line="276" w:lineRule="auto"/>
      </w:pPr>
      <w:r>
        <w:rPr>
          <w:rFonts w:ascii="Times New Roman" w:hAnsi="Times New Roman"/>
          <w:b/>
          <w:sz w:val="24"/>
        </w:rPr>
        <w:t xml:space="preserve">FR9 (Risk Anomaly Alerting): </w:t>
      </w:r>
      <w:r>
        <w:rPr>
          <w:rFonts w:ascii="Times New Roman" w:hAnsi="Times New Roman"/>
          <w:sz w:val="24"/>
        </w:rPr>
        <w:t>The alert engine must monitor anomaly threshold rules (deficit expansion, export contractions, import surges, balance flips) with deduplicated incident tracking.</w:t>
      </w:r>
    </w:p>
    <w:p>
      <w:pPr>
        <w:pStyle w:val="ListBullet"/>
        <w:spacing w:after="80" w:line="276" w:lineRule="auto"/>
      </w:pPr>
      <w:r>
        <w:rPr>
          <w:rFonts w:ascii="Times New Roman" w:hAnsi="Times New Roman"/>
          <w:b/>
          <w:sz w:val="24"/>
        </w:rPr>
        <w:t xml:space="preserve">FR10 (Email Briefings): </w:t>
      </w:r>
      <w:r>
        <w:rPr>
          <w:rFonts w:ascii="Times New Roman" w:hAnsi="Times New Roman"/>
          <w:sz w:val="24"/>
        </w:rPr>
        <w:t>The system must support recurring email briefings via background SMTP dispatch with automatic fallback to an in-browser development outbox.</w:t>
      </w:r>
    </w:p>
    <w:p>
      <w:pPr>
        <w:pStyle w:val="ListBullet"/>
        <w:spacing w:after="80" w:line="276" w:lineRule="auto"/>
      </w:pPr>
      <w:r>
        <w:rPr>
          <w:rFonts w:ascii="Times New Roman" w:hAnsi="Times New Roman"/>
          <w:b/>
          <w:sz w:val="24"/>
        </w:rPr>
        <w:t xml:space="preserve">FR11 (Security &amp; RBAC): </w:t>
      </w:r>
      <w:r>
        <w:rPr>
          <w:rFonts w:ascii="Times New Roman" w:hAnsi="Times New Roman"/>
          <w:sz w:val="24"/>
        </w:rPr>
        <w:t>The platform must enforce stateless JWT authentication (HS256) and salted bcrypt password hashing with role-based access control (ADMIN vs USER).</w:t>
      </w:r>
    </w:p>
    <w:p>
      <w:pPr>
        <w:pStyle w:val="ListBullet"/>
        <w:spacing w:after="80" w:line="276" w:lineRule="auto"/>
      </w:pPr>
      <w:r>
        <w:rPr>
          <w:rFonts w:ascii="Times New Roman" w:hAnsi="Times New Roman"/>
          <w:b/>
          <w:sz w:val="24"/>
        </w:rPr>
        <w:t xml:space="preserve">FR12 (Health &amp; Auditing): </w:t>
      </w:r>
      <w:r>
        <w:rPr>
          <w:rFonts w:ascii="Times New Roman" w:hAnsi="Times New Roman"/>
          <w:sz w:val="24"/>
        </w:rPr>
        <w:t>The system must provide a health check endpoint (/api/health) and an immutable data upload audit trail.</w:t>
      </w:r>
    </w:p>
    <w:p>
      <w:pPr>
        <w:spacing w:after="120" w:line="276" w:lineRule="auto"/>
      </w:pPr>
      <w:r>
        <w:rPr>
          <w:rFonts w:ascii="Times New Roman" w:hAnsi="Times New Roman"/>
          <w:b/>
          <w:sz w:val="24"/>
        </w:rPr>
        <w:t xml:space="preserve">NFR Specifications: </w:t>
      </w:r>
      <w:r>
        <w:rPr>
          <w:rFonts w:ascii="Times New Roman" w:hAnsi="Times New Roman"/>
          <w:i w:val="0"/>
          <w:sz w:val="24"/>
        </w:rPr>
        <w:t>Non-Functional Requirements:</w:t>
      </w:r>
    </w:p>
    <w:p>
      <w:pPr>
        <w:pStyle w:val="ListBullet"/>
        <w:spacing w:after="80" w:line="276" w:lineRule="auto"/>
      </w:pPr>
      <w:r>
        <w:rPr>
          <w:rFonts w:ascii="Times New Roman" w:hAnsi="Times New Roman"/>
          <w:b/>
          <w:sz w:val="24"/>
        </w:rPr>
        <w:t xml:space="preserve">NFR1 (Low Latency): </w:t>
      </w:r>
      <w:r>
        <w:rPr>
          <w:rFonts w:ascii="Times New Roman" w:hAnsi="Times New Roman"/>
          <w:sz w:val="24"/>
        </w:rPr>
        <w:t>Analytical query endpoints must return responses in under 150 ms over indexed relational tables.</w:t>
      </w:r>
    </w:p>
    <w:p>
      <w:pPr>
        <w:pStyle w:val="ListBullet"/>
        <w:spacing w:after="80" w:line="276" w:lineRule="auto"/>
      </w:pPr>
      <w:r>
        <w:rPr>
          <w:rFonts w:ascii="Times New Roman" w:hAnsi="Times New Roman"/>
          <w:b/>
          <w:sz w:val="24"/>
        </w:rPr>
        <w:t xml:space="preserve">NFR2 (Zero Lookahead Leakage): </w:t>
      </w:r>
      <w:r>
        <w:rPr>
          <w:rFonts w:ascii="Times New Roman" w:hAnsi="Times New Roman"/>
          <w:sz w:val="24"/>
        </w:rPr>
        <w:t>Feature engineering pipelines must strictly use past historical values (.shift(1)) to prevent temporal data leakage.</w:t>
      </w:r>
    </w:p>
    <w:p>
      <w:pPr>
        <w:pStyle w:val="ListBullet"/>
        <w:spacing w:after="80" w:line="276" w:lineRule="auto"/>
      </w:pPr>
      <w:r>
        <w:rPr>
          <w:rFonts w:ascii="Times New Roman" w:hAnsi="Times New Roman"/>
          <w:b/>
          <w:sz w:val="24"/>
        </w:rPr>
        <w:t xml:space="preserve">NFR3 (Concurrency &amp; Reliability): </w:t>
      </w:r>
      <w:r>
        <w:rPr>
          <w:rFonts w:ascii="Times New Roman" w:hAnsi="Times New Roman"/>
          <w:sz w:val="24"/>
        </w:rPr>
        <w:t>Relational storage must support high-concurrency read operations via SQLite Write-Ahead Logging (WAL).</w:t>
      </w:r>
    </w:p>
    <w:p>
      <w:pPr>
        <w:pStyle w:val="ListBullet"/>
        <w:spacing w:after="80" w:line="276" w:lineRule="auto"/>
      </w:pPr>
      <w:r>
        <w:rPr>
          <w:rFonts w:ascii="Times New Roman" w:hAnsi="Times New Roman"/>
          <w:b/>
          <w:sz w:val="24"/>
        </w:rPr>
        <w:t xml:space="preserve">NFR4 (Cryptographic Security): </w:t>
      </w:r>
      <w:r>
        <w:rPr>
          <w:rFonts w:ascii="Times New Roman" w:hAnsi="Times New Roman"/>
          <w:sz w:val="24"/>
        </w:rPr>
        <w:t>Passwords must be hashed using bcrypt (work factor 12); API access tokens must use HMAC-SHA256 (HS256) encryption.</w:t>
      </w:r>
    </w:p>
    <w:p>
      <w:pPr>
        <w:pStyle w:val="ListBullet"/>
        <w:spacing w:after="80" w:line="276" w:lineRule="auto"/>
      </w:pPr>
      <w:r>
        <w:rPr>
          <w:rFonts w:ascii="Times New Roman" w:hAnsi="Times New Roman"/>
          <w:b/>
          <w:sz w:val="24"/>
        </w:rPr>
        <w:t xml:space="preserve">NFR5 (Container Footprint): </w:t>
      </w:r>
      <w:r>
        <w:rPr>
          <w:rFonts w:ascii="Times New Roman" w:hAnsi="Times New Roman"/>
          <w:sz w:val="24"/>
        </w:rPr>
        <w:t>Frontend Nginx Alpine container image must remain under 30 MB; backend container must execute as a non-privileged non-root user (appuser, UID 1000).</w:t>
      </w:r>
    </w:p>
    <w:p>
      <w:pPr>
        <w:pStyle w:val="ListBullet"/>
        <w:spacing w:after="80" w:line="276" w:lineRule="auto"/>
      </w:pPr>
      <w:r>
        <w:rPr>
          <w:rFonts w:ascii="Times New Roman" w:hAnsi="Times New Roman"/>
          <w:b/>
          <w:sz w:val="24"/>
        </w:rPr>
        <w:t xml:space="preserve">NFR6 (Deterministic Deployment): </w:t>
      </w:r>
      <w:r>
        <w:rPr>
          <w:rFonts w:ascii="Times New Roman" w:hAnsi="Times New Roman"/>
          <w:sz w:val="24"/>
        </w:rPr>
        <w:t>The entire multi-tier system must build and launch via a single command (docker compose up --build).</w:t>
      </w:r>
    </w:p>
    <w:p>
      <w:pPr>
        <w:keepNext/>
        <w:spacing w:before="280" w:after="120"/>
      </w:pPr>
      <w:r>
        <w:rPr>
          <w:rFonts w:ascii="Times New Roman" w:hAnsi="Times New Roman"/>
          <w:b/>
          <w:color w:val="1E3A8A"/>
          <w:sz w:val="27"/>
        </w:rPr>
        <w:t>c. Use case Diagram</w:t>
      </w:r>
    </w:p>
    <w:p>
      <w:pPr>
        <w:spacing w:after="120" w:line="276" w:lineRule="auto"/>
      </w:pPr>
      <w:r>
        <w:rPr>
          <w:rFonts w:ascii="Times New Roman" w:hAnsi="Times New Roman"/>
          <w:i w:val="0"/>
          <w:sz w:val="24"/>
        </w:rPr>
        <w:t>The platform coordinates three distinct actors: System Administrator, Trade Analyst, and Background System Worker:</w:t>
      </w:r>
    </w:p>
    <w:p>
      <w:pPr>
        <w:pStyle w:val="ListBullet"/>
        <w:spacing w:after="80" w:line="276" w:lineRule="auto"/>
      </w:pPr>
      <w:r>
        <w:rPr>
          <w:rFonts w:ascii="Times New Roman" w:hAnsi="Times New Roman"/>
          <w:b/>
          <w:sz w:val="24"/>
        </w:rPr>
        <w:t xml:space="preserve">Actor 1: System Administrator: </w:t>
      </w:r>
      <w:r>
        <w:rPr>
          <w:rFonts w:ascii="Times New Roman" w:hAnsi="Times New Roman"/>
          <w:sz w:val="24"/>
        </w:rPr>
        <w:t>Manages system user accounts, uploads raw CSV datasets, triggers automated UN Comtrade synchronization, configures SMTP settings, and reviews immutable audit trail logs.</w:t>
      </w:r>
    </w:p>
    <w:p>
      <w:pPr>
        <w:pStyle w:val="ListBullet"/>
        <w:spacing w:after="80" w:line="276" w:lineRule="auto"/>
      </w:pPr>
      <w:r>
        <w:rPr>
          <w:rFonts w:ascii="Times New Roman" w:hAnsi="Times New Roman"/>
          <w:b/>
          <w:sz w:val="24"/>
        </w:rPr>
        <w:t xml:space="preserve">Actor 2: Trade Analyst / Policy Maker: </w:t>
      </w:r>
      <w:r>
        <w:rPr>
          <w:rFonts w:ascii="Times New Roman" w:hAnsi="Times New Roman"/>
          <w:sz w:val="24"/>
        </w:rPr>
        <w:t>Explores macroeconomic KPIs, interacts with the TopoJSON geospatial map, evaluates the 4-model forecasting arena, executes tariff simulations, and exports executive PDF/Excel dossiers.</w:t>
      </w:r>
    </w:p>
    <w:p>
      <w:pPr>
        <w:pStyle w:val="ListBullet"/>
        <w:spacing w:after="80" w:line="276" w:lineRule="auto"/>
      </w:pPr>
      <w:r>
        <w:rPr>
          <w:rFonts w:ascii="Times New Roman" w:hAnsi="Times New Roman"/>
          <w:b/>
          <w:sz w:val="24"/>
        </w:rPr>
        <w:t xml:space="preserve">Actor 3: Background System Worker: </w:t>
      </w:r>
      <w:r>
        <w:rPr>
          <w:rFonts w:ascii="Times New Roman" w:hAnsi="Times New Roman"/>
          <w:sz w:val="24"/>
        </w:rPr>
        <w:t>Executes automated background cron jobs for periodic UN Comtrade ingestion, rule evaluations, and scheduled PDF dispatches.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Use Case ID</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Use Case Name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Primary Actor</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Description &amp; Preconditions</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UC-01</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Bilateral Flow Analysis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Trade Analyst</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Filter and aggregate trade flows by reporter, partner, chapter, and flow direction.</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UC-02</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Choropleth Exploration</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Trade Analyst</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View global trade balances on interactive TopoJSON map and open country dossier drawer.</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UC-03</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Macro Index Calculation</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Trade Analyst</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Compute real-time Lafay TBI, Balassa RTA, Grubel-Lloyd GLI, and HHI market concentration.</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UC-04</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Forecast Arena Evaluation</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Trade Analyst</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Execute side-by-side benchmarking of OLS, RF, ARIMA, and ETS with AIC/BIC ranking.</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UC-05</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Tariff Shock Simulation</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Trade Analyst</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Adjust ad-valorem tariff sliders to project price pass-through and third-party diversion.</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UC-06</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PDF/Excel Dossier Export</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Trade Analyst</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Generate branded multi-page ReportLab vector PDF dossiers and styled OpenPyXL sheets.</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UC-07</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Anomaly Alert Rule Config</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Trade Analyst</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Create threshold rules (e.g. deficit &gt; $50B) and monitor incident triggers.</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UC-08</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Live UN Comtrade Sync</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System Admin</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Trigger background ingestion from UN Comtrade v1 REST API and verify audit logs.</w:t>
            </w:r>
          </w:p>
        </w:tc>
      </w:tr>
    </w:tbl>
    <w:p>
      <w:r>
        <w:br w:type="page"/>
      </w:r>
    </w:p>
    <w:p>
      <w:pPr>
        <w:keepNext/>
        <w:spacing w:before="400" w:after="200"/>
      </w:pPr>
      <w:r>
        <w:rPr>
          <w:rFonts w:ascii="Times New Roman" w:hAnsi="Times New Roman"/>
          <w:b/>
          <w:color w:val="0F2942"/>
          <w:sz w:val="32"/>
        </w:rPr>
        <w:t>4. System design</w:t>
      </w:r>
    </w:p>
    <w:p>
      <w:pPr>
        <w:keepNext/>
        <w:spacing w:before="280" w:after="120"/>
      </w:pPr>
      <w:r>
        <w:rPr>
          <w:rFonts w:ascii="Times New Roman" w:hAnsi="Times New Roman"/>
          <w:b/>
          <w:color w:val="1E3A8A"/>
          <w:sz w:val="27"/>
        </w:rPr>
        <w:t>Architectural Design</w:t>
      </w:r>
    </w:p>
    <w:p>
      <w:pPr>
        <w:spacing w:after="120" w:line="276" w:lineRule="auto"/>
      </w:pPr>
      <w:r>
        <w:rPr>
          <w:rFonts w:ascii="Times New Roman" w:hAnsi="Times New Roman"/>
          <w:i w:val="0"/>
          <w:sz w:val="24"/>
        </w:rPr>
        <w:t>The system implements a decoupled 3-Tier Service-Oriented Architecture containerized via Docker and orchestrated with Docker Compose:</w:t>
      </w:r>
    </w:p>
    <w:p>
      <w:pPr>
        <w:pStyle w:val="ListBullet"/>
        <w:spacing w:after="80" w:line="276" w:lineRule="auto"/>
      </w:pPr>
      <w:r>
        <w:rPr>
          <w:rFonts w:ascii="Times New Roman" w:hAnsi="Times New Roman"/>
          <w:b/>
          <w:sz w:val="24"/>
        </w:rPr>
        <w:t xml:space="preserve">1. Presentation Tier (Client): </w:t>
      </w:r>
      <w:r>
        <w:rPr>
          <w:rFonts w:ascii="Times New Roman" w:hAnsi="Times New Roman"/>
          <w:sz w:val="24"/>
        </w:rPr>
        <w:t>Single Page Application built with React 19, Vite, Recharts, and D3-Geo. Served via an ultra-lightweight Nginx 1.27 Alpine container (&lt; 30 MB) providing client-side SPA routing fallback and gzip compression.</w:t>
      </w:r>
    </w:p>
    <w:p>
      <w:pPr>
        <w:pStyle w:val="ListBullet"/>
        <w:spacing w:after="80" w:line="276" w:lineRule="auto"/>
      </w:pPr>
      <w:r>
        <w:rPr>
          <w:rFonts w:ascii="Times New Roman" w:hAnsi="Times New Roman"/>
          <w:b/>
          <w:sz w:val="24"/>
        </w:rPr>
        <w:t xml:space="preserve">2. Application Tier (Backend): </w:t>
      </w:r>
      <w:r>
        <w:rPr>
          <w:rFonts w:ascii="Times New Roman" w:hAnsi="Times New Roman"/>
          <w:sz w:val="24"/>
        </w:rPr>
        <w:t>FastAPI application running under Python 3.12-slim with Uvicorn ASGI production server (2 workers). Organizes domain functionality across 18 specialized APIRouters.</w:t>
      </w:r>
    </w:p>
    <w:p>
      <w:pPr>
        <w:pStyle w:val="ListBullet"/>
        <w:spacing w:after="80" w:line="276" w:lineRule="auto"/>
      </w:pPr>
      <w:r>
        <w:rPr>
          <w:rFonts w:ascii="Times New Roman" w:hAnsi="Times New Roman"/>
          <w:b/>
          <w:sz w:val="24"/>
        </w:rPr>
        <w:t xml:space="preserve">3. Persistence Tier (Data): </w:t>
      </w:r>
      <w:r>
        <w:rPr>
          <w:rFonts w:ascii="Times New Roman" w:hAnsi="Times New Roman"/>
          <w:sz w:val="24"/>
        </w:rPr>
        <w:t>SQLite relational database configured with Write-Ahead Logging (WAL mode) mounted to persistent host storage (./data:/app/data).</w:t>
      </w:r>
    </w:p>
    <w:p>
      <w:pPr>
        <w:keepNext/>
        <w:spacing w:before="280" w:after="120"/>
      </w:pPr>
      <w:r>
        <w:rPr>
          <w:rFonts w:ascii="Times New Roman" w:hAnsi="Times New Roman"/>
          <w:b/>
          <w:color w:val="1E3A8A"/>
          <w:sz w:val="27"/>
        </w:rPr>
        <w:t>User Interface Design</w:t>
      </w:r>
    </w:p>
    <w:p>
      <w:pPr>
        <w:spacing w:after="120" w:line="276" w:lineRule="auto"/>
      </w:pPr>
      <w:r>
        <w:rPr>
          <w:rFonts w:ascii="Times New Roman" w:hAnsi="Times New Roman"/>
          <w:i w:val="0"/>
          <w:sz w:val="24"/>
        </w:rPr>
        <w:t>The user interface follows a modern dark-mode glassmorphism design system (#0b1120 background, #111827 card containers, #1e293b border slate) providing persistent sidebar navigation, executive KPI scorecards, interactive Recharts visualizations, and TopoJSON vector mapping:</w:t>
      </w: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global_map_desktop.png"/>
                    <pic:cNvPicPr/>
                  </pic:nvPicPr>
                  <pic:blipFill>
                    <a:blip r:embed="rId9"/>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0"/>
        </w:rPr>
        <w:t>Figure 4.1: Interactive TopoJSON Geospatial Vector Map with Country Dossier Drawer</w:t>
      </w:r>
    </w:p>
    <w:p>
      <w:pPr>
        <w:spacing w:before="16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global_map_india_drawer.png"/>
                    <pic:cNvPicPr/>
                  </pic:nvPicPr>
                  <pic:blipFill>
                    <a:blip r:embed="rId10"/>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0"/>
        </w:rPr>
        <w:t>Figure 4.2: Slide-Out Country Dossier Drawer for Bilateral In-Depth Analysis</w:t>
      </w:r>
    </w:p>
    <w:p>
      <w:pPr>
        <w:spacing w:before="160" w:after="80"/>
        <w:jc w:val="center"/>
      </w:pPr>
      <w:r>
        <w:drawing>
          <wp:inline xmlns:a="http://schemas.openxmlformats.org/drawingml/2006/main" xmlns:pic="http://schemas.openxmlformats.org/drawingml/2006/picture">
            <wp:extent cx="5303520" cy="3498850"/>
            <wp:docPr id="3" name="Picture 3"/>
            <wp:cNvGraphicFramePr>
              <a:graphicFrameLocks noChangeAspect="1"/>
            </wp:cNvGraphicFramePr>
            <a:graphic>
              <a:graphicData uri="http://schemas.openxmlformats.org/drawingml/2006/picture">
                <pic:pic>
                  <pic:nvPicPr>
                    <pic:cNvPr id="0" name="economic_metrics_ui.png"/>
                    <pic:cNvPicPr/>
                  </pic:nvPicPr>
                  <pic:blipFill>
                    <a:blip r:embed="rId11"/>
                    <a:stretch>
                      <a:fillRect/>
                    </a:stretch>
                  </pic:blipFill>
                  <pic:spPr>
                    <a:xfrm>
                      <a:off x="0" y="0"/>
                      <a:ext cx="5303520" cy="3498850"/>
                    </a:xfrm>
                    <a:prstGeom prst="rect"/>
                  </pic:spPr>
                </pic:pic>
              </a:graphicData>
            </a:graphic>
          </wp:inline>
        </w:drawing>
      </w:r>
    </w:p>
    <w:p>
      <w:pPr>
        <w:spacing w:after="240"/>
        <w:jc w:val="center"/>
      </w:pPr>
      <w:r>
        <w:rPr>
          <w:rFonts w:ascii="Times New Roman" w:hAnsi="Times New Roman"/>
          <w:i/>
          <w:color w:val="475569"/>
          <w:sz w:val="20"/>
        </w:rPr>
        <w:t>Figure 4.3: Macroeconomic Index Suite Console (Lafay TBI, Balassa RTA, Grubel-Lloyd GLI)</w:t>
      </w:r>
    </w:p>
    <w:p>
      <w:pPr>
        <w:spacing w:before="160" w:after="80"/>
        <w:jc w:val="center"/>
      </w:pPr>
      <w:r>
        <w:drawing>
          <wp:inline xmlns:a="http://schemas.openxmlformats.org/drawingml/2006/main" xmlns:pic="http://schemas.openxmlformats.org/drawingml/2006/picture">
            <wp:extent cx="5303520" cy="3498850"/>
            <wp:docPr id="4" name="Picture 4"/>
            <wp:cNvGraphicFramePr>
              <a:graphicFrameLocks noChangeAspect="1"/>
            </wp:cNvGraphicFramePr>
            <a:graphic>
              <a:graphicData uri="http://schemas.openxmlformats.org/drawingml/2006/picture">
                <pic:pic>
                  <pic:nvPicPr>
                    <pic:cNvPr id="0" name="economic_metrics_matrix_ui.png"/>
                    <pic:cNvPicPr/>
                  </pic:nvPicPr>
                  <pic:blipFill>
                    <a:blip r:embed="rId12"/>
                    <a:stretch>
                      <a:fillRect/>
                    </a:stretch>
                  </pic:blipFill>
                  <pic:spPr>
                    <a:xfrm>
                      <a:off x="0" y="0"/>
                      <a:ext cx="5303520" cy="3498850"/>
                    </a:xfrm>
                    <a:prstGeom prst="rect"/>
                  </pic:spPr>
                </pic:pic>
              </a:graphicData>
            </a:graphic>
          </wp:inline>
        </w:drawing>
      </w:r>
    </w:p>
    <w:p>
      <w:pPr>
        <w:spacing w:after="240"/>
        <w:jc w:val="center"/>
      </w:pPr>
      <w:r>
        <w:rPr>
          <w:rFonts w:ascii="Times New Roman" w:hAnsi="Times New Roman"/>
          <w:i/>
          <w:color w:val="475569"/>
          <w:sz w:val="20"/>
        </w:rPr>
        <w:t>Figure 4.4: Multi-Country Comparative Disparity and Metrics Matrix</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trade_analysis_desktop.png"/>
                    <pic:cNvPicPr/>
                  </pic:nvPicPr>
                  <pic:blipFill>
                    <a:blip r:embed="rId13"/>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0"/>
        </w:rPr>
        <w:t>Figure 4.5: Bilateral Directional Trade Flow Explorer and Temporal Volume Analyzer</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country_comparison_ind_bra.png"/>
                    <pic:cNvPicPr/>
                  </pic:nvPicPr>
                  <pic:blipFill>
                    <a:blip r:embed="rId14"/>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0"/>
        </w:rPr>
        <w:t>Figure 4.6: Comparative Trade Disparity Analysis between India and Brazil</w:t>
      </w:r>
    </w:p>
    <w:p>
      <w:pPr>
        <w:spacing w:before="160" w:after="80"/>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ml_comparison_arena_overview.png"/>
                    <pic:cNvPicPr/>
                  </pic:nvPicPr>
                  <pic:blipFill>
                    <a:blip r:embed="rId15"/>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color w:val="475569"/>
          <w:sz w:val="20"/>
        </w:rPr>
        <w:t>Figure 4.7: Machine Learning Model Comparison Arena (OLS, RF, ARIMA, ETS)</w:t>
      </w:r>
    </w:p>
    <w:p>
      <w:pPr>
        <w:spacing w:before="160" w:after="80"/>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ml_multi_model_overlay.png"/>
                    <pic:cNvPicPr/>
                  </pic:nvPicPr>
                  <pic:blipFill>
                    <a:blip r:embed="rId16"/>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color w:val="475569"/>
          <w:sz w:val="20"/>
        </w:rPr>
        <w:t>Figure 4.8: Multi-Model Projection Overlay Chart with Compounding Confidence Bounds</w:t>
      </w:r>
    </w:p>
    <w:p>
      <w:pPr>
        <w:spacing w:before="160" w:after="80"/>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ml_arima_diagnostics_view.png"/>
                    <pic:cNvPicPr/>
                  </pic:nvPicPr>
                  <pic:blipFill>
                    <a:blip r:embed="rId17"/>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color w:val="475569"/>
          <w:sz w:val="20"/>
        </w:rPr>
        <w:t>Figure 4.9: ARIMA Residual Diagnostics and Stationarity Autocorrelation Verification</w:t>
      </w:r>
    </w:p>
    <w:p>
      <w:pPr>
        <w:spacing w:before="160" w:after="80"/>
        <w:jc w:val="center"/>
      </w:pPr>
      <w:r>
        <w:drawing>
          <wp:inline xmlns:a="http://schemas.openxmlformats.org/drawingml/2006/main" xmlns:pic="http://schemas.openxmlformats.org/drawingml/2006/picture">
            <wp:extent cx="5303520" cy="3977640"/>
            <wp:docPr id="10" name="Picture 10"/>
            <wp:cNvGraphicFramePr>
              <a:graphicFrameLocks noChangeAspect="1"/>
            </wp:cNvGraphicFramePr>
            <a:graphic>
              <a:graphicData uri="http://schemas.openxmlformats.org/drawingml/2006/picture">
                <pic:pic>
                  <pic:nvPicPr>
                    <pic:cNvPr id="0" name="scenario_simulator_overview.png"/>
                    <pic:cNvPicPr/>
                  </pic:nvPicPr>
                  <pic:blipFill>
                    <a:blip r:embed="rId18"/>
                    <a:stretch>
                      <a:fillRect/>
                    </a:stretch>
                  </pic:blipFill>
                  <pic:spPr>
                    <a:xfrm>
                      <a:off x="0" y="0"/>
                      <a:ext cx="5303520" cy="3977640"/>
                    </a:xfrm>
                    <a:prstGeom prst="rect"/>
                  </pic:spPr>
                </pic:pic>
              </a:graphicData>
            </a:graphic>
          </wp:inline>
        </w:drawing>
      </w:r>
    </w:p>
    <w:p>
      <w:pPr>
        <w:spacing w:after="240"/>
        <w:jc w:val="center"/>
      </w:pPr>
      <w:r>
        <w:rPr>
          <w:rFonts w:ascii="Times New Roman" w:hAnsi="Times New Roman"/>
          <w:i/>
          <w:color w:val="475569"/>
          <w:sz w:val="20"/>
        </w:rPr>
        <w:t>Figure 4.10: Counterfactual Armington Scenario Simulator &amp; Tariff Shock Trajectories</w:t>
      </w:r>
    </w:p>
    <w:p>
      <w:pPr>
        <w:spacing w:before="160" w:after="80"/>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scenario_simulator_sensitivity_and_briefing.png"/>
                    <pic:cNvPicPr/>
                  </pic:nvPicPr>
                  <pic:blipFill>
                    <a:blip r:embed="rId19"/>
                    <a:stretch>
                      <a:fillRect/>
                    </a:stretch>
                  </pic:blipFill>
                  <pic:spPr>
                    <a:xfrm>
                      <a:off x="0" y="0"/>
                      <a:ext cx="5303520" cy="3977640"/>
                    </a:xfrm>
                    <a:prstGeom prst="rect"/>
                  </pic:spPr>
                </pic:pic>
              </a:graphicData>
            </a:graphic>
          </wp:inline>
        </w:drawing>
      </w:r>
    </w:p>
    <w:p>
      <w:pPr>
        <w:spacing w:after="240"/>
        <w:jc w:val="center"/>
      </w:pPr>
      <w:r>
        <w:rPr>
          <w:rFonts w:ascii="Times New Roman" w:hAnsi="Times New Roman"/>
          <w:i/>
          <w:color w:val="475569"/>
          <w:sz w:val="20"/>
        </w:rPr>
        <w:t>Figure 4.11: Tariff Elasticity Sensitivity Curves and Generated Policy Brief</w:t>
      </w:r>
    </w:p>
    <w:p>
      <w:pPr>
        <w:keepNext/>
        <w:spacing w:before="280" w:after="120"/>
      </w:pPr>
      <w:r>
        <w:rPr>
          <w:rFonts w:ascii="Times New Roman" w:hAnsi="Times New Roman"/>
          <w:b/>
          <w:color w:val="1E3A8A"/>
          <w:sz w:val="27"/>
        </w:rPr>
        <w:t>System Modeling</w:t>
      </w:r>
    </w:p>
    <w:p>
      <w:pPr>
        <w:keepNext/>
        <w:spacing w:before="200" w:after="80"/>
      </w:pPr>
      <w:r>
        <w:rPr>
          <w:rFonts w:ascii="Times New Roman" w:hAnsi="Times New Roman"/>
          <w:b/>
          <w:color w:val="334155"/>
          <w:sz w:val="24"/>
        </w:rPr>
        <w:t>Dataflow Diagram</w:t>
      </w:r>
    </w:p>
    <w:p>
      <w:pPr>
        <w:spacing w:after="120" w:line="276" w:lineRule="auto"/>
      </w:pPr>
      <w:r>
        <w:rPr>
          <w:rFonts w:ascii="Times New Roman" w:hAnsi="Times New Roman"/>
          <w:i w:val="0"/>
          <w:sz w:val="24"/>
        </w:rPr>
        <w:t>The Level 0 Context Diagram and Level 1 Data Flow Diagram (Figure 4.12) illustrate the movement of customs records, query parameters, simulation shocks, and executive deliverables across external entities, computational processes, and the relational database store. Level 1 decomposes into 7 discrete processes: P1.0 Authentication &amp; RBAC, P2.0 Ingestion &amp; Deduplication Pipeline, P3.0 Analytics Aggregation &amp; Filtering, P4.0 Time-Series ML Forecasting Arena, P5.0 Armington Tariff Counterfactual Simulation, P6.0 Executive PDF/Excel Reporting, and P7.0 Risk Anomaly Alerting &amp; Dispatch.</w:t>
      </w:r>
    </w:p>
    <w:p>
      <w:pPr>
        <w:spacing w:before="160" w:after="80"/>
        <w:jc w:val="center"/>
      </w:pPr>
      <w:r>
        <w:drawing>
          <wp:inline xmlns:a="http://schemas.openxmlformats.org/drawingml/2006/main" xmlns:pic="http://schemas.openxmlformats.org/drawingml/2006/picture">
            <wp:extent cx="5303520" cy="3182112"/>
            <wp:docPr id="12" name="Picture 12"/>
            <wp:cNvGraphicFramePr>
              <a:graphicFrameLocks noChangeAspect="1"/>
            </wp:cNvGraphicFramePr>
            <a:graphic>
              <a:graphicData uri="http://schemas.openxmlformats.org/drawingml/2006/picture">
                <pic:pic>
                  <pic:nvPicPr>
                    <pic:cNvPr id="0" name="system_dfd_diagram.png"/>
                    <pic:cNvPicPr/>
                  </pic:nvPicPr>
                  <pic:blipFill>
                    <a:blip r:embed="rId20"/>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i/>
          <w:color w:val="475569"/>
          <w:sz w:val="20"/>
        </w:rPr>
        <w:t>Figure 4.12: Data Flow Diagram (Level 0 Context &amp; Level 1 Architecture)</w:t>
      </w:r>
    </w:p>
    <w:p>
      <w:pPr>
        <w:keepNext/>
        <w:spacing w:before="200" w:after="80"/>
      </w:pPr>
      <w:r>
        <w:rPr>
          <w:rFonts w:ascii="Times New Roman" w:hAnsi="Times New Roman"/>
          <w:b/>
          <w:color w:val="334155"/>
          <w:sz w:val="24"/>
        </w:rPr>
        <w:t>Sequence Diagram</w:t>
      </w:r>
    </w:p>
    <w:p>
      <w:pPr>
        <w:spacing w:after="120" w:line="276" w:lineRule="auto"/>
      </w:pPr>
      <w:r>
        <w:rPr>
          <w:rFonts w:ascii="Times New Roman" w:hAnsi="Times New Roman"/>
          <w:i w:val="0"/>
          <w:sz w:val="24"/>
        </w:rPr>
        <w:t>Figure 4.13 details the exact sequence of message exchanges during an Armington counterfactual tariff simulation: the analyst configures a +25% ad-valorem tariff shock on the UI; the client dispatches a POST request to the Simulator Router; the backend queries baseline trade volume from SQLite; the Armington Engine computes price pass-through, demand contraction, customs revenue, and third-party diversion; and the API returns a structured JSON payload to render Recharts curves and narrative policy briefs.</w:t>
      </w:r>
    </w:p>
    <w:p>
      <w:pPr>
        <w:spacing w:before="160" w:after="80"/>
        <w:jc w:val="center"/>
      </w:pPr>
      <w:r>
        <w:drawing>
          <wp:inline xmlns:a="http://schemas.openxmlformats.org/drawingml/2006/main" xmlns:pic="http://schemas.openxmlformats.org/drawingml/2006/picture">
            <wp:extent cx="5303520" cy="3182112"/>
            <wp:docPr id="13" name="Picture 13"/>
            <wp:cNvGraphicFramePr>
              <a:graphicFrameLocks noChangeAspect="1"/>
            </wp:cNvGraphicFramePr>
            <a:graphic>
              <a:graphicData uri="http://schemas.openxmlformats.org/drawingml/2006/picture">
                <pic:pic>
                  <pic:nvPicPr>
                    <pic:cNvPr id="0" name="system_sequence_diagram.png"/>
                    <pic:cNvPicPr/>
                  </pic:nvPicPr>
                  <pic:blipFill>
                    <a:blip r:embed="rId21"/>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i/>
          <w:color w:val="475569"/>
          <w:sz w:val="20"/>
        </w:rPr>
        <w:t>Figure 4.13: Sequence Diagram for Counterfactual Tariff Shock Simulation</w:t>
      </w:r>
    </w:p>
    <w:p>
      <w:pPr>
        <w:keepNext/>
        <w:spacing w:before="200" w:after="80"/>
      </w:pPr>
      <w:r>
        <w:rPr>
          <w:rFonts w:ascii="Times New Roman" w:hAnsi="Times New Roman"/>
          <w:b/>
          <w:color w:val="334155"/>
          <w:sz w:val="24"/>
        </w:rPr>
        <w:t>Activity Diagram</w:t>
      </w:r>
    </w:p>
    <w:p>
      <w:pPr>
        <w:spacing w:after="120" w:line="276" w:lineRule="auto"/>
      </w:pPr>
      <w:r>
        <w:rPr>
          <w:rFonts w:ascii="Times New Roman" w:hAnsi="Times New Roman"/>
          <w:i w:val="0"/>
          <w:sz w:val="24"/>
        </w:rPr>
        <w:t>Figure 4.14 outlines the operational activity flow of the 4-model forecasting pipeline: fetching bilateral time-series data, checking data sufficiency (N &gt;= 8), generating strict anti-leakage lag features, executing chronological forward-chaining splits, fitting OLS, Random Forest, ARIMA, and Holt-Winters in parallel, evaluating out-of-sample metrics, benchmarking against the naive historical mean, and recursively projecting confidence intervals.</w:t>
      </w:r>
    </w:p>
    <w:p>
      <w:pPr>
        <w:spacing w:before="160" w:after="80"/>
        <w:jc w:val="center"/>
      </w:pPr>
      <w:r>
        <w:drawing>
          <wp:inline xmlns:a="http://schemas.openxmlformats.org/drawingml/2006/main" xmlns:pic="http://schemas.openxmlformats.org/drawingml/2006/picture">
            <wp:extent cx="5303520" cy="3182112"/>
            <wp:docPr id="14" name="Picture 14"/>
            <wp:cNvGraphicFramePr>
              <a:graphicFrameLocks noChangeAspect="1"/>
            </wp:cNvGraphicFramePr>
            <a:graphic>
              <a:graphicData uri="http://schemas.openxmlformats.org/drawingml/2006/picture">
                <pic:pic>
                  <pic:nvPicPr>
                    <pic:cNvPr id="0" name="system_activity_diagram.png"/>
                    <pic:cNvPicPr/>
                  </pic:nvPicPr>
                  <pic:blipFill>
                    <a:blip r:embed="rId22"/>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i/>
          <w:color w:val="475569"/>
          <w:sz w:val="20"/>
        </w:rPr>
        <w:t>Figure 4.14: Activity Diagram for Multi-Model Forecasting Pipeline</w:t>
      </w:r>
    </w:p>
    <w:p>
      <w:pPr>
        <w:keepNext/>
        <w:spacing w:before="200" w:after="80"/>
      </w:pPr>
      <w:r>
        <w:rPr>
          <w:rFonts w:ascii="Times New Roman" w:hAnsi="Times New Roman"/>
          <w:b/>
          <w:color w:val="334155"/>
          <w:sz w:val="24"/>
        </w:rPr>
        <w:t>Component Diagram</w:t>
      </w:r>
    </w:p>
    <w:p>
      <w:pPr>
        <w:spacing w:after="120" w:line="276" w:lineRule="auto"/>
      </w:pPr>
      <w:r>
        <w:rPr>
          <w:rFonts w:ascii="Times New Roman" w:hAnsi="Times New Roman"/>
          <w:i w:val="0"/>
          <w:sz w:val="24"/>
        </w:rPr>
        <w:t>Figure 4.15 models the structural components of the platform: React 19 UI modules (DashboardPage, GlobalMapPage, PredictionPage, SimulatorPage) communicating over REST HTTP with FastAPI APIRouters, which in turn coordinate domain microservices (MLService, SimService, PDFService, AlertService) backed by SQLAlchemy declarative models and SQLite persistence.</w:t>
      </w:r>
    </w:p>
    <w:p>
      <w:pPr>
        <w:spacing w:before="160" w:after="80"/>
        <w:jc w:val="center"/>
      </w:pPr>
      <w:r>
        <w:drawing>
          <wp:inline xmlns:a="http://schemas.openxmlformats.org/drawingml/2006/main" xmlns:pic="http://schemas.openxmlformats.org/drawingml/2006/picture">
            <wp:extent cx="5303520" cy="3182112"/>
            <wp:docPr id="15" name="Picture 15"/>
            <wp:cNvGraphicFramePr>
              <a:graphicFrameLocks noChangeAspect="1"/>
            </wp:cNvGraphicFramePr>
            <a:graphic>
              <a:graphicData uri="http://schemas.openxmlformats.org/drawingml/2006/picture">
                <pic:pic>
                  <pic:nvPicPr>
                    <pic:cNvPr id="0" name="system_component_diagram.png"/>
                    <pic:cNvPicPr/>
                  </pic:nvPicPr>
                  <pic:blipFill>
                    <a:blip r:embed="rId23"/>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i/>
          <w:color w:val="475569"/>
          <w:sz w:val="20"/>
        </w:rPr>
        <w:t>Figure 4.15: Component Diagram of Global Trade Platform</w:t>
      </w:r>
    </w:p>
    <w:p>
      <w:pPr>
        <w:keepNext/>
        <w:spacing w:before="200" w:after="80"/>
      </w:pPr>
      <w:r>
        <w:rPr>
          <w:rFonts w:ascii="Times New Roman" w:hAnsi="Times New Roman"/>
          <w:b/>
          <w:color w:val="334155"/>
          <w:sz w:val="24"/>
        </w:rPr>
        <w:t>Deployment Diagram</w:t>
      </w:r>
    </w:p>
    <w:p>
      <w:pPr>
        <w:spacing w:after="120" w:line="276" w:lineRule="auto"/>
      </w:pPr>
      <w:r>
        <w:rPr>
          <w:rFonts w:ascii="Times New Roman" w:hAnsi="Times New Roman"/>
          <w:i w:val="0"/>
          <w:sz w:val="24"/>
        </w:rPr>
        <w:t>Figure 4.16 depicts the multi-tier container orchestration hosted on the Docker Engine: global_trade_frontend (Nginx Alpine) and global_trade_backend (Python 3.12 non-root user appuser:1000) communicating over dedicated bridge network trade-network with persistent volume mounting (./data:/app/data).</w:t>
      </w:r>
    </w:p>
    <w:p>
      <w:pPr>
        <w:spacing w:before="160" w:after="80"/>
        <w:jc w:val="center"/>
      </w:pPr>
      <w:r>
        <w:drawing>
          <wp:inline xmlns:a="http://schemas.openxmlformats.org/drawingml/2006/main" xmlns:pic="http://schemas.openxmlformats.org/drawingml/2006/picture">
            <wp:extent cx="5303520" cy="3182112"/>
            <wp:docPr id="16" name="Picture 16"/>
            <wp:cNvGraphicFramePr>
              <a:graphicFrameLocks noChangeAspect="1"/>
            </wp:cNvGraphicFramePr>
            <a:graphic>
              <a:graphicData uri="http://schemas.openxmlformats.org/drawingml/2006/picture">
                <pic:pic>
                  <pic:nvPicPr>
                    <pic:cNvPr id="0" name="system_deployment_diagram.png"/>
                    <pic:cNvPicPr/>
                  </pic:nvPicPr>
                  <pic:blipFill>
                    <a:blip r:embed="rId24"/>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i/>
          <w:color w:val="475569"/>
          <w:sz w:val="20"/>
        </w:rPr>
        <w:t>Figure 4.16: Deployment Diagram for Docker Container Orchestration</w:t>
      </w:r>
    </w:p>
    <w:p>
      <w:pPr>
        <w:keepNext/>
        <w:spacing w:before="280" w:after="120"/>
      </w:pPr>
      <w:r>
        <w:rPr>
          <w:rFonts w:ascii="Times New Roman" w:hAnsi="Times New Roman"/>
          <w:b/>
          <w:color w:val="1E3A8A"/>
          <w:sz w:val="27"/>
        </w:rPr>
        <w:t>Algorithmic description of each module</w:t>
      </w:r>
    </w:p>
    <w:p>
      <w:pPr>
        <w:spacing w:after="120" w:line="276" w:lineRule="auto"/>
      </w:pPr>
      <w:r>
        <w:rPr>
          <w:rFonts w:ascii="Times New Roman" w:hAnsi="Times New Roman"/>
          <w:b/>
          <w:sz w:val="24"/>
        </w:rPr>
        <w:t xml:space="preserve">Algorithm 4.1 (Composite Ingestion &amp; Deduplication): </w:t>
      </w:r>
      <w:r>
        <w:rPr>
          <w:rFonts w:ascii="Times New Roman" w:hAnsi="Times New Roman"/>
          <w:i w:val="0"/>
          <w:sz w:val="24"/>
        </w:rPr>
        <w:t>1. Ingestion &amp; Upsert Deduplication: Reads input stream. For each record, validates schema and non-null values. Constructs composite key K = &lt;refYear, reporterISO, partnerISO, flowCode, cmdCode&gt;. Performs an atomic database upsert, updating existing records with latest timestamps and inserting new valid tuples.</w:t>
      </w:r>
    </w:p>
    <w:p>
      <w:pPr>
        <w:spacing w:after="120" w:line="276" w:lineRule="auto"/>
      </w:pPr>
      <w:r>
        <w:rPr>
          <w:rFonts w:ascii="Times New Roman" w:hAnsi="Times New Roman"/>
          <w:b/>
          <w:sz w:val="24"/>
        </w:rPr>
        <w:t xml:space="preserve">Algorithm 4.2 (Anti-Leakage Temporal Feature Engineering): </w:t>
      </w:r>
      <w:r>
        <w:rPr>
          <w:rFonts w:ascii="Times New Roman" w:hAnsi="Times New Roman"/>
          <w:i w:val="0"/>
          <w:sz w:val="24"/>
        </w:rPr>
        <w:t>2. Anti-Leakage Feature Pipeline: Sorts series chronologically by refYear. Constructs autoregressive lags lag_1 = y(t-1), lag_2 = y(t-2), lag_3 = y(t-3). Constructs shifted rolling window rolling_mean_3 = mean(y(t-3:t-1)). Evaluates year-on-year percentage delta pct_change_1 = (y(t-1) - y(t-2)) / y(t-2). Enforces dropna() strictly on lagged features to eliminate current-year target contamination.</w:t>
      </w:r>
    </w:p>
    <w:p>
      <w:pPr>
        <w:spacing w:after="120" w:line="276" w:lineRule="auto"/>
      </w:pPr>
      <w:r>
        <w:rPr>
          <w:rFonts w:ascii="Times New Roman" w:hAnsi="Times New Roman"/>
          <w:b/>
          <w:sz w:val="24"/>
        </w:rPr>
        <w:t xml:space="preserve">Algorithm 4.3 (4-Model Forecasting Arena &amp; AIC Selection): </w:t>
      </w:r>
      <w:r>
        <w:rPr>
          <w:rFonts w:ascii="Times New Roman" w:hAnsi="Times New Roman"/>
          <w:i w:val="0"/>
          <w:sz w:val="24"/>
        </w:rPr>
        <w:t>3. 4-Model Forecasting Arena &amp; AIC/BIC Minimization: Splits historical series chronologically (Train: N-2, Test: 2 years). Fits OLS Regression, Random Forest (n_estimators=50, max_depth=4), Auto-ARIMA grid search across p in {0,1,2}, d in {0,1}, q in {0,1,2} minimizing AIC = 2k - 2ln(L), and Holt-Winters Exponential Smoothing. Calculates out-of-sample MAE, RMSE, and MAPE. Recursively projects forward values y_hat(t+h) with compounding confidence bounds CI = y_hat +- 1.96 * std_err * √h.</w:t>
      </w:r>
    </w:p>
    <w:p>
      <w:pPr>
        <w:spacing w:after="120" w:line="276" w:lineRule="auto"/>
      </w:pPr>
      <w:r>
        <w:rPr>
          <w:rFonts w:ascii="Times New Roman" w:hAnsi="Times New Roman"/>
          <w:b/>
          <w:sz w:val="24"/>
        </w:rPr>
        <w:t xml:space="preserve">Algorithm 4.4 (Armington Elasticity &amp; Trade Diversion): </w:t>
      </w:r>
      <w:r>
        <w:rPr>
          <w:rFonts w:ascii="Times New Roman" w:hAnsi="Times New Roman"/>
          <w:i w:val="0"/>
          <w:sz w:val="24"/>
        </w:rPr>
        <w:t>4. Armington Counterfactual Tariff Simulation: Takes baseline trade volume V_0 and ad-valorem tariff adjustment τ. Calculates domestic price change ΔP = τ * ρ (pass-through). Calculates import quantity contraction %ΔQ = ε_d * ΔP. Computes shocked trade volume V_shock = max(0, V_0 * (1 + %ΔQ)). Calculates fiscal customs revenue Rev = V_shock * τ. Reallocates diverted trade expenditure to alternative exporting nations weighted by historical trade volume.</w:t>
      </w:r>
    </w:p>
    <w:p>
      <w:pPr>
        <w:spacing w:after="120" w:line="276" w:lineRule="auto"/>
      </w:pPr>
      <w:r>
        <w:rPr>
          <w:rFonts w:ascii="Times New Roman" w:hAnsi="Times New Roman"/>
          <w:b/>
          <w:sz w:val="24"/>
        </w:rPr>
        <w:t xml:space="preserve">Algorithm 4.5 (Risk Anomaly Evaluation &amp; Outbox Dispatch): </w:t>
      </w:r>
      <w:r>
        <w:rPr>
          <w:rFonts w:ascii="Times New Roman" w:hAnsi="Times New Roman"/>
          <w:i w:val="0"/>
          <w:sz w:val="24"/>
        </w:rPr>
        <w:t>5. Risk Anomaly Rule Engine &amp; Deduplicated Dispatch: Periodically executes scheduled query matching user-defined condition (e.g., metric == 'balance' and threshold &lt; -50,000,000,000). On match, checks deduplication cache (rule_id, entity_iso, year). If not triggered within cooldown period, creates AlertIncident record and dispatches background SMTP notification.</w:t>
      </w:r>
    </w:p>
    <w:p>
      <w:r>
        <w:br w:type="page"/>
      </w:r>
    </w:p>
    <w:p>
      <w:pPr>
        <w:keepNext/>
        <w:spacing w:before="400" w:after="200"/>
      </w:pPr>
      <w:r>
        <w:rPr>
          <w:rFonts w:ascii="Times New Roman" w:hAnsi="Times New Roman"/>
          <w:b/>
          <w:color w:val="0F2942"/>
          <w:sz w:val="32"/>
        </w:rPr>
        <w:t>5. Implementation</w:t>
      </w:r>
    </w:p>
    <w:p>
      <w:pPr>
        <w:keepNext/>
        <w:spacing w:before="280" w:after="120"/>
      </w:pPr>
      <w:r>
        <w:rPr>
          <w:rFonts w:ascii="Times New Roman" w:hAnsi="Times New Roman"/>
          <w:b/>
          <w:color w:val="1E3A8A"/>
          <w:sz w:val="27"/>
        </w:rPr>
        <w:t>a. Environmental Setting for Running the Project</w:t>
      </w:r>
    </w:p>
    <w:p>
      <w:pPr>
        <w:spacing w:after="120" w:line="276" w:lineRule="auto"/>
      </w:pPr>
      <w:r>
        <w:rPr>
          <w:rFonts w:ascii="Times New Roman" w:hAnsi="Times New Roman"/>
          <w:i w:val="0"/>
          <w:sz w:val="24"/>
        </w:rPr>
        <w:t>The application environment uses modern, enterprise-hardened open-source toolchains:</w:t>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Layer / Component</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Technology &amp; Version</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Role in Architecture</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Backend Framework</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FastAPI 0.110.0 (Python 3.12)</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High-concurrency ASGI REST API with Pydantic v2</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Database Engine</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SQLite 3.45 with WAL Mode</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Embedded relational persistence via SQLAlchemy 2.0</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Data Science / ML</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Scikit-Learn 1.4 &amp; Statsmodels 0.14</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Matrix regression, Random Forest &amp; ARIMA models</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Executive Reporting</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ReportLab 4.0 &amp; OpenPyXL 3.1</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Multi-page vector PDF dossiers &amp; Excel workbooks</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Frontend Framework</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React 19.2.8 &amp; Vite 8.2.2</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Single Page Application with concurrent rendering</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Visualization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Recharts 3.10.1 &amp; D3-Geo 3.1.1</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Responsive SVG charts &amp; TopoJSON choropleth mapping</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Reverse Proxy &amp; Web</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Nginx 1.27-alpine-slim</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Sub-30 MB reverse proxy with SPA client routing</w:t>
            </w:r>
          </w:p>
        </w:tc>
      </w:tr>
    </w:tbl>
    <w:p>
      <w:pPr>
        <w:keepNext/>
        <w:spacing w:before="280" w:after="120"/>
      </w:pPr>
      <w:r>
        <w:rPr>
          <w:rFonts w:ascii="Times New Roman" w:hAnsi="Times New Roman"/>
          <w:b/>
          <w:color w:val="1E3A8A"/>
          <w:sz w:val="27"/>
        </w:rPr>
        <w:t>b. Detailed Description of Methods</w:t>
      </w:r>
    </w:p>
    <w:p>
      <w:pPr>
        <w:spacing w:after="120" w:line="276" w:lineRule="auto"/>
      </w:pPr>
      <w:r>
        <w:rPr>
          <w:rFonts w:ascii="Times New Roman" w:hAnsi="Times New Roman"/>
          <w:i w:val="0"/>
          <w:sz w:val="24"/>
        </w:rPr>
        <w:t>The system enforces strict typing and validation across all input/output contracts. Key methods include calculate_tariff_shock() for Armington modeling, prepare_time_series_features() for temporal anti-leakage lags, evaluate_models_arena() for side-by-side out-of-sample benchmarking, calculate_economic_indices() for Lafay TBI and Balassa RTA metrics, and generate_executive_pdf_briefing() for vector PDF compilation.</w:t>
      </w:r>
    </w:p>
    <w:p>
      <w:pPr>
        <w:spacing w:after="120" w:line="276" w:lineRule="auto"/>
      </w:pPr>
      <w:r>
        <w:rPr>
          <w:rFonts w:ascii="Times New Roman" w:hAnsi="Times New Roman"/>
          <w:i w:val="0"/>
          <w:sz w:val="24"/>
        </w:rPr>
        <w:t>Data persistence is structured around the TradeRecord model, which captures 15 discrete customs attributes: id (Primary Key), refYear (Integer, indexed), reporterISO (String(3), indexed), partnerISO (String(3), indexed), flowCode (String(10), indexed), cmdCode (String(10), indexed), primaryValue (Float), netWgt (Float), is_synced (Boolean), and created_at (DateTime). A composite unique index across (refYear, reporterISO, partnerISO, flowCode, cmdCode) prevents duplicated customs records.</w:t>
      </w:r>
    </w:p>
    <w:p>
      <w:pPr>
        <w:keepNext/>
        <w:spacing w:before="280" w:after="120"/>
      </w:pPr>
      <w:r>
        <w:rPr>
          <w:rFonts w:ascii="Times New Roman" w:hAnsi="Times New Roman"/>
          <w:b/>
          <w:color w:val="1E3A8A"/>
          <w:sz w:val="27"/>
        </w:rPr>
        <w:t>c. Implementation Details</w:t>
      </w:r>
    </w:p>
    <w:p>
      <w:pPr>
        <w:spacing w:after="120" w:line="276" w:lineRule="auto"/>
      </w:pPr>
      <w:r>
        <w:rPr>
          <w:rFonts w:ascii="Times New Roman" w:hAnsi="Times New Roman"/>
          <w:b/>
          <w:sz w:val="24"/>
        </w:rPr>
        <w:t xml:space="preserve">Armington Simulator: </w:t>
      </w:r>
      <w:r>
        <w:rPr>
          <w:rFonts w:ascii="Times New Roman" w:hAnsi="Times New Roman"/>
          <w:i w:val="0"/>
          <w:sz w:val="24"/>
        </w:rPr>
        <w:t>Below is the core implementation of the Armington Elasticity Simulation Engine: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calculate_tariff_shock(base_volume: float, tariff_pct: float, elasticity: float = -1.25, pass_through: float = 0.85):</w:t>
              <w:br/>
              <w:t xml:space="preserve">    effective_tariff = tariff_pct / 100.0</w:t>
              <w:br/>
              <w:t xml:space="preserve">    price_delta = effective_tariff * pass_through</w:t>
              <w:br/>
              <w:t xml:space="preserve">    quantity_contraction_pct = elasticity * price_delta</w:t>
              <w:br/>
              <w:t xml:space="preserve">    shock_volume = max(0.0, base_volume * (1.0 + quantity_contraction_pct))</w:t>
              <w:br/>
              <w:t xml:space="preserve">    customs_revenue = shock_volume * effective_tariff</w:t>
              <w:br/>
              <w:t xml:space="preserve">    return {</w:t>
              <w:br/>
              <w:t xml:space="preserve">        "baseline_volume": base_volume,</w:t>
              <w:br/>
              <w:t xml:space="preserve">        "post_shock_volume": shock_volume,</w:t>
              <w:br/>
              <w:t xml:space="preserve">        "volume_delta": shock_volume - base_volume,</w:t>
              <w:br/>
              <w:t xml:space="preserve">        "customs_revenue": customs_revenue</w:t>
              <w:br/>
              <w:t xml:space="preserve">    }</w:t>
            </w:r>
          </w:p>
        </w:tc>
      </w:tr>
    </w:tbl>
    <w:p>
      <w:pPr>
        <w:spacing w:after="120"/>
      </w:pPr>
    </w:p>
    <w:p>
      <w:pPr>
        <w:spacing w:after="120" w:line="276" w:lineRule="auto"/>
      </w:pPr>
      <w:r>
        <w:rPr>
          <w:rFonts w:ascii="Times New Roman" w:hAnsi="Times New Roman"/>
          <w:b/>
          <w:sz w:val="24"/>
        </w:rPr>
        <w:t xml:space="preserve">Anti-Leakage Feature Pipeline: </w:t>
      </w:r>
      <w:r>
        <w:rPr>
          <w:rFonts w:ascii="Times New Roman" w:hAnsi="Times New Roman"/>
          <w:i w:val="0"/>
          <w:sz w:val="24"/>
        </w:rPr>
        <w:t>Below is the core anti-leakage time-series feature engineering pipeline: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prepare_time_series_features(df: pd.DataFrame, target_col: str = "primaryValue"):</w:t>
              <w:br/>
              <w:t xml:space="preserve">    df = df.sort_values("refYear").copy()</w:t>
              <w:br/>
              <w:t xml:space="preserve">    df["lag_1"] = df[target_col].shift(1)</w:t>
              <w:br/>
              <w:t xml:space="preserve">    df["lag_2"] = df[target_col].shift(2)</w:t>
              <w:br/>
              <w:t xml:space="preserve">    df["lag_3"] = df[target_col].shift(3)</w:t>
              <w:br/>
              <w:t xml:space="preserve">    df["rolling_mean_3"] = df[target_col].rolling(window=3, min_periods=1).mean().shift(1)</w:t>
              <w:br/>
              <w:t xml:space="preserve">    df["pct_change_1"] = df[target_col].pct_change(1).shift(1).fillna(0.0)</w:t>
              <w:br/>
              <w:t xml:space="preserve">    df["year_trend"] = df["refYear"] - df["refYear"].min()</w:t>
              <w:br/>
              <w:t xml:space="preserve">    return df.dropna(subset=["lag_1", "lag_2", "lag_3"]).copy()</w:t>
            </w:r>
          </w:p>
        </w:tc>
      </w:tr>
    </w:tbl>
    <w:p>
      <w:pPr>
        <w:spacing w:after="120"/>
      </w:pPr>
    </w:p>
    <w:p>
      <w:pPr>
        <w:spacing w:after="120" w:line="276" w:lineRule="auto"/>
      </w:pPr>
      <w:r>
        <w:rPr>
          <w:rFonts w:ascii="Times New Roman" w:hAnsi="Times New Roman"/>
          <w:b/>
          <w:sz w:val="24"/>
        </w:rPr>
        <w:t xml:space="preserve">Forecasting Arena &amp; ARIMA Order Search: </w:t>
      </w:r>
      <w:r>
        <w:rPr>
          <w:rFonts w:ascii="Times New Roman" w:hAnsi="Times New Roman"/>
          <w:i w:val="0"/>
          <w:sz w:val="24"/>
        </w:rPr>
        <w:t>Below is the multi-model forecasting arena evaluation and ARIMA grid search routine: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evaluate_models_arena(series: pd.Series, horizon: int = 5):</w:t>
              <w:br/>
              <w:t xml:space="preserve">    best_aic = float("inf")</w:t>
              <w:br/>
              <w:t xml:space="preserve">    best_order = (1, 1, 0)</w:t>
              <w:br/>
              <w:t xml:space="preserve">    for p in [0, 1, 2]:</w:t>
              <w:br/>
              <w:t xml:space="preserve">        for d in [0, 1]:</w:t>
              <w:br/>
              <w:t xml:space="preserve">            for q in [0, 1, 2]:</w:t>
              <w:br/>
              <w:t xml:space="preserve">                try:</w:t>
              <w:br/>
              <w:t xml:space="preserve">                    res = ARIMA(series, order=(p, d, q)).fit()</w:t>
              <w:br/>
              <w:t xml:space="preserve">                    if res.aic &lt; best_aic:</w:t>
              <w:br/>
              <w:t xml:space="preserve">                        best_aic = res.aic</w:t>
              <w:br/>
              <w:t xml:space="preserve">                        best_order = (p, d, q)</w:t>
              <w:br/>
              <w:t xml:space="preserve">                except Exception:</w:t>
              <w:br/>
              <w:t xml:space="preserve">                    continue</w:t>
              <w:br/>
              <w:t xml:space="preserve">    final_model = ARIMA(series, order=best_order).fit()</w:t>
              <w:br/>
              <w:t xml:space="preserve">    forecast = final_model.forecast(steps=horizon)</w:t>
              <w:br/>
              <w:t xml:space="preserve">    return best_order, best_aic, forecast</w:t>
            </w:r>
          </w:p>
        </w:tc>
      </w:tr>
    </w:tbl>
    <w:p>
      <w:pPr>
        <w:spacing w:after="120"/>
      </w:pPr>
    </w:p>
    <w:p>
      <w:pPr>
        <w:spacing w:after="120" w:line="276" w:lineRule="auto"/>
      </w:pPr>
      <w:r>
        <w:rPr>
          <w:rFonts w:ascii="Times New Roman" w:hAnsi="Times New Roman"/>
          <w:b/>
          <w:sz w:val="24"/>
        </w:rPr>
        <w:t xml:space="preserve">Macroeconomic Index Calculator: </w:t>
      </w:r>
      <w:r>
        <w:rPr>
          <w:rFonts w:ascii="Times New Roman" w:hAnsi="Times New Roman"/>
          <w:i w:val="0"/>
          <w:sz w:val="24"/>
        </w:rPr>
        <w:t>Below is the macroeconomic economic metrics calculation suite: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calculate_trade_balance_index(exports: float, imports: float) -&gt; float:</w:t>
              <w:br/>
              <w:t xml:space="preserve">    turnover = exports + imports</w:t>
              <w:br/>
              <w:t xml:space="preserve">    if turnover &lt;= 0:</w:t>
              <w:br/>
              <w:t xml:space="preserve">        return 0.0</w:t>
              <w:br/>
              <w:t xml:space="preserve">    return ((exports - imports) / turnover) * 100.0</w:t>
              <w:br/>
              <w:br/>
              <w:t>def calculate_grubel_lloyd(exports: float, imports: float) -&gt; float:</w:t>
              <w:br/>
              <w:t xml:space="preserve">    turnover = exports + imports</w:t>
              <w:br/>
              <w:t xml:space="preserve">    if turnover &lt;= 0:</w:t>
              <w:br/>
              <w:t xml:space="preserve">        return 0.0</w:t>
              <w:br/>
              <w:t xml:space="preserve">    return 1.0 - (abs(exports - imports) / turnover)</w:t>
              <w:br/>
              <w:br/>
              <w:t>def calculate_hhi(market_shares: list[float]) -&gt; float:</w:t>
              <w:br/>
              <w:t xml:space="preserve">    total_share = sum(market_shares)</w:t>
              <w:br/>
              <w:t xml:space="preserve">    if total_share &lt;= 0:</w:t>
              <w:br/>
              <w:t xml:space="preserve">        return 0.0</w:t>
              <w:br/>
              <w:t xml:space="preserve">    normalized = [s / total_share for s in market_shares]</w:t>
              <w:br/>
              <w:t xml:space="preserve">    return sum(n ** 2 for n in normalized)</w:t>
            </w:r>
          </w:p>
        </w:tc>
      </w:tr>
    </w:tbl>
    <w:p>
      <w:pPr>
        <w:spacing w:after="120"/>
      </w:pPr>
    </w:p>
    <w:p>
      <w:pPr>
        <w:spacing w:after="120" w:line="276" w:lineRule="auto"/>
      </w:pPr>
      <w:r>
        <w:rPr>
          <w:rFonts w:ascii="Times New Roman" w:hAnsi="Times New Roman"/>
          <w:b/>
          <w:sz w:val="24"/>
        </w:rPr>
        <w:t xml:space="preserve">Dynamic Configuration Resolution: </w:t>
      </w:r>
      <w:r>
        <w:rPr>
          <w:rFonts w:ascii="Times New Roman" w:hAnsi="Times New Roman"/>
          <w:i w:val="0"/>
          <w:sz w:val="24"/>
        </w:rPr>
        <w:t>Below is the dynamic configuration and volume mount resolution module: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DATA_DIR = Path(os.getenv("DATA_DIR", PROJECT_ROOT / "data"))</w:t>
              <w:br/>
              <w:t>RAW_DATA_DIR = DATA_DIR / "raw"</w:t>
              <w:br/>
              <w:t>DB_PATH = Path(os.getenv("DB_PATH", DATA_DIR / "trade_data.db"))</w:t>
              <w:br/>
              <w:t>DATABASE_URL = os.getenv("DATABASE_URL", f"sqlite:///{DB_PATH.as_posix()}")</w:t>
              <w:br/>
              <w:br/>
              <w:t># Auto-create data directories on startup</w:t>
              <w:br/>
              <w:t>DATA_DIR.mkdir(parents=True, exist_ok=True)</w:t>
              <w:br/>
              <w:t>RAW_DATA_DIR.mkdir(parents=True, exist_ok=True)</w:t>
            </w:r>
          </w:p>
        </w:tc>
      </w:tr>
    </w:tbl>
    <w:p>
      <w:pPr>
        <w:spacing w:after="120"/>
      </w:pPr>
    </w:p>
    <w:p>
      <w:pPr>
        <w:spacing w:after="120" w:line="276" w:lineRule="auto"/>
      </w:pPr>
      <w:r>
        <w:rPr>
          <w:rFonts w:ascii="Times New Roman" w:hAnsi="Times New Roman"/>
          <w:b/>
          <w:sz w:val="24"/>
        </w:rPr>
        <w:t xml:space="preserve">ReportLab Vector PDF Service: </w:t>
      </w:r>
      <w:r>
        <w:rPr>
          <w:rFonts w:ascii="Times New Roman" w:hAnsi="Times New Roman"/>
          <w:i w:val="0"/>
          <w:sz w:val="24"/>
        </w:rPr>
        <w:t>Below is the ReportLab PDF Dossier Generation Service: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build_pdf_dossier(report_data: dict, output_stream: io.BytesIO):</w:t>
              <w:br/>
              <w:t xml:space="preserve">    doc = SimpleDocTemplate(output_stream, pagesize=letter, leftMargin=36, rightMargin=36, topMargin=36, bottomMargin=36)</w:t>
              <w:br/>
              <w:t xml:space="preserve">    styles = getSampleStyleSheet()</w:t>
              <w:br/>
              <w:t xml:space="preserve">    story = []</w:t>
              <w:br/>
              <w:t xml:space="preserve">    </w:t>
              <w:br/>
              <w:t xml:space="preserve">    # Branded Header Banner</w:t>
              <w:br/>
              <w:t xml:space="preserve">    story.append(Paragraph("&lt;b&gt;GLOBAL TRADE EXECUTIVE BRIEFING DOSSIER&lt;/b&gt;", styles["Title"]))</w:t>
              <w:br/>
              <w:t xml:space="preserve">    story.append(Spacer(1, 12))</w:t>
              <w:br/>
              <w:t xml:space="preserve">    </w:t>
              <w:br/>
              <w:t xml:space="preserve">    # Macroeconomic Metrics Summary</w:t>
              <w:br/>
              <w:t xml:space="preserve">    story.append(Paragraph(f"&lt;b&gt;Reporter ISO:&lt;/b&gt; {report_data['reporter_iso']} | &lt;b&gt;Year:&lt;/b&gt; {report_data['year']}", styles["Heading2"]))</w:t>
              <w:br/>
              <w:t xml:space="preserve">    story.append(Paragraph(f"&lt;b&gt;Lafay TBI:&lt;/b&gt; {report_data['tbi']:.2f} | &lt;b&gt;HHI Concentration:&lt;/b&gt; {report_data['hhi']:.4f}", styles["Normal"]))</w:t>
              <w:br/>
              <w:t xml:space="preserve">    story.append(Spacer(1, 14))</w:t>
              <w:br/>
              <w:t xml:space="preserve">    </w:t>
              <w:br/>
              <w:t xml:space="preserve">    # Financial Table Layout</w:t>
              <w:br/>
              <w:t xml:space="preserve">    table_data = [["Partner ISO", "Flow Direction", "Volume (USD)", "Market Share"]]</w:t>
              <w:br/>
              <w:t xml:space="preserve">    for row in report_data.get("flows", []):</w:t>
              <w:br/>
              <w:t xml:space="preserve">        table_data.append([row["partner_iso"], row["flow_desc"], f"${row['value']:,.0f}", f"{row['share']:.1f}%"])</w:t>
              <w:br/>
              <w:t xml:space="preserve">    story.append(Table(table_data, style=TableStyle([</w:t>
              <w:br/>
              <w:t xml:space="preserve">        ('BACKGROUND', (0,0), (-1,0), colors.HexColor('#0F2942')),</w:t>
              <w:br/>
              <w:t xml:space="preserve">        ('TEXTCOLOR', (0,0), (-1,0), colors.whitesmoke),</w:t>
              <w:br/>
              <w:t xml:space="preserve">        ('GRID', (0,0), (-1,-1), 0.5, colors.HexColor('#CBD5E1'))</w:t>
              <w:br/>
              <w:t xml:space="preserve">    ])))</w:t>
              <w:br/>
              <w:t xml:space="preserve">    doc.build(story)</w:t>
            </w:r>
          </w:p>
        </w:tc>
      </w:tr>
    </w:tbl>
    <w:p>
      <w:pPr>
        <w:spacing w:after="120"/>
      </w:pPr>
    </w:p>
    <w:p>
      <w:pPr>
        <w:spacing w:after="120" w:line="276" w:lineRule="auto"/>
      </w:pPr>
      <w:r>
        <w:rPr>
          <w:rFonts w:ascii="Times New Roman" w:hAnsi="Times New Roman"/>
          <w:b/>
          <w:sz w:val="24"/>
        </w:rPr>
        <w:t xml:space="preserve">OpenPyXL Excel Financial Workbook Service: </w:t>
      </w:r>
      <w:r>
        <w:rPr>
          <w:rFonts w:ascii="Times New Roman" w:hAnsi="Times New Roman"/>
          <w:i w:val="0"/>
          <w:sz w:val="24"/>
        </w:rPr>
        <w:t>Below is the OpenPyXL Excel Financial Model Generator Service: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generate_excel_financial_model(report_data: dict) -&gt; io.BytesIO:</w:t>
              <w:br/>
              <w:t xml:space="preserve">    wb = openpyxl.Workbook()</w:t>
              <w:br/>
              <w:t xml:space="preserve">    ws = wb.active</w:t>
              <w:br/>
              <w:t xml:space="preserve">    ws.title = "Trade Intelligence Model"</w:t>
              <w:br/>
              <w:t xml:space="preserve">    </w:t>
              <w:br/>
              <w:t xml:space="preserve">    # Header Styling</w:t>
              <w:br/>
              <w:t xml:space="preserve">    header_fill = PatternFill(start_color="0F2942", end_color="0F2942", fill_type="solid")</w:t>
              <w:br/>
              <w:t xml:space="preserve">    header_font = Font(name="Times New Roman", size=11, bold=True, color="FFFFFF")</w:t>
              <w:br/>
              <w:t xml:space="preserve">    </w:t>
              <w:br/>
              <w:t xml:space="preserve">    headers = ["Partner ISO", "Flow Direction", "Volume (USD)", "Market Share (%)", "Cumulative Share (%)"]</w:t>
              <w:br/>
              <w:t xml:space="preserve">    for col_idx, header in enumerate(headers, 1):</w:t>
              <w:br/>
              <w:t xml:space="preserve">        cell = ws.cell(row=1, column=col_idx, value=header)</w:t>
              <w:br/>
              <w:t xml:space="preserve">        cell.fill = header_fill</w:t>
              <w:br/>
              <w:t xml:space="preserve">        cell.font = header_font</w:t>
              <w:br/>
              <w:t xml:space="preserve">        cell.alignment = Alignment(horizontal="center")</w:t>
              <w:br/>
              <w:t xml:space="preserve">        </w:t>
              <w:br/>
              <w:t xml:space="preserve">    for row_idx, item in enumerate(report_data.get("flows", []), 2):</w:t>
              <w:br/>
              <w:t xml:space="preserve">        ws.cell(row=row_idx, column=1, value=item["partner_iso"])</w:t>
              <w:br/>
              <w:t xml:space="preserve">        ws.cell(row=row_idx, column=2, value=item["flow_desc"])</w:t>
              <w:br/>
              <w:t xml:space="preserve">        ws.cell(row=row_idx, column=3, value=item["value"])</w:t>
              <w:br/>
              <w:t xml:space="preserve">        ws.cell(row=row_idx, column=4, value=item["share"])</w:t>
              <w:br/>
              <w:t xml:space="preserve">        ws.cell(row=row_idx, column=5, value=item.get("cum_share", 0.0))</w:t>
              <w:br/>
              <w:t xml:space="preserve">        </w:t>
              <w:br/>
              <w:t xml:space="preserve">    output = io.BytesIO()</w:t>
              <w:br/>
              <w:t xml:space="preserve">    wb.save(output)</w:t>
              <w:br/>
              <w:t xml:space="preserve">    output.seek(0)</w:t>
              <w:br/>
              <w:t xml:space="preserve">    return output</w:t>
            </w:r>
          </w:p>
        </w:tc>
      </w:tr>
    </w:tbl>
    <w:p>
      <w:pPr>
        <w:spacing w:after="120"/>
      </w:pPr>
    </w:p>
    <w:p>
      <w:pPr>
        <w:spacing w:after="120" w:line="276" w:lineRule="auto"/>
      </w:pPr>
      <w:r>
        <w:rPr>
          <w:rFonts w:ascii="Times New Roman" w:hAnsi="Times New Roman"/>
          <w:b/>
          <w:sz w:val="24"/>
        </w:rPr>
        <w:t xml:space="preserve">Risk Anomaly &amp; SMTP Dispatcher Service: </w:t>
      </w:r>
      <w:r>
        <w:rPr>
          <w:rFonts w:ascii="Times New Roman" w:hAnsi="Times New Roman"/>
          <w:i w:val="0"/>
          <w:sz w:val="24"/>
        </w:rPr>
        <w:t>Below is the Risk Anomaly Rule Evaluation and SMTP Dispatcher Service: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evaluate_anomaly_rules(db: Session, reporter_iso: str, year: int):</w:t>
              <w:br/>
              <w:t xml:space="preserve">    rules = db.query(AlertRule).filter(AlertRule.is_active == True).all()</w:t>
              <w:br/>
              <w:t xml:space="preserve">    for rule in rules:</w:t>
              <w:br/>
              <w:t xml:space="preserve">        val = get_metric_value(db, reporter_iso, year, rule.metric_name)</w:t>
              <w:br/>
              <w:t xml:space="preserve">        triggered = False</w:t>
              <w:br/>
              <w:t xml:space="preserve">        if rule.operator == "&gt;" and val &gt; rule.threshold_value:</w:t>
              <w:br/>
              <w:t xml:space="preserve">            triggered = True</w:t>
              <w:br/>
              <w:t xml:space="preserve">        elif rule.operator == "&lt;" and val &lt; rule.threshold_value:</w:t>
              <w:br/>
              <w:t xml:space="preserve">            triggered = True</w:t>
              <w:br/>
              <w:t xml:space="preserve">            </w:t>
              <w:br/>
              <w:t xml:space="preserve">        if triggered:</w:t>
              <w:br/>
              <w:t xml:space="preserve">            incident = AlertIncident(</w:t>
              <w:br/>
              <w:t xml:space="preserve">                rule_id=rule.id, reporter_iso=reporter_iso,</w:t>
              <w:br/>
              <w:t xml:space="preserve">                ref_year=year, observed_value=val,</w:t>
              <w:br/>
              <w:t xml:space="preserve">                status="TRIGGERED"</w:t>
              <w:br/>
              <w:t xml:space="preserve">            )</w:t>
              <w:br/>
              <w:t xml:space="preserve">            db.add(incident)</w:t>
              <w:br/>
              <w:t xml:space="preserve">            db.commit()</w:t>
              <w:br/>
              <w:t xml:space="preserve">            dispatch_smtp_email(rule.recipient_email, rule.rule_name, val, incident.id)</w:t>
            </w:r>
          </w:p>
        </w:tc>
      </w:tr>
    </w:tbl>
    <w:p>
      <w:pPr>
        <w:spacing w:after="120"/>
      </w:pPr>
    </w:p>
    <w:p>
      <w:pPr>
        <w:spacing w:after="120" w:line="276" w:lineRule="auto"/>
      </w:pPr>
      <w:r>
        <w:rPr>
          <w:rFonts w:ascii="Times New Roman" w:hAnsi="Times New Roman"/>
          <w:b/>
          <w:sz w:val="24"/>
        </w:rPr>
        <w:t xml:space="preserve">Production Nginx Configuration: </w:t>
      </w:r>
      <w:r>
        <w:rPr>
          <w:rFonts w:ascii="Times New Roman" w:hAnsi="Times New Roman"/>
          <w:i w:val="0"/>
          <w:sz w:val="24"/>
        </w:rPr>
        <w:t>Below is the production Nginx reverse proxy configuration with client SPA fallback:</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server {</w:t>
              <w:br/>
              <w:t xml:space="preserve">    listen 80;</w:t>
              <w:br/>
              <w:t xml:space="preserve">    server_name localhost;</w:t>
              <w:br/>
              <w:t xml:space="preserve">    root /usr/share/nginx/html;</w:t>
              <w:br/>
              <w:t xml:space="preserve">    index index.html;</w:t>
              <w:br/>
              <w:br/>
              <w:t xml:space="preserve">    location / {</w:t>
              <w:br/>
              <w:t xml:space="preserve">        try_files $uri $uri/ /index.html;</w:t>
              <w:br/>
              <w:t xml:space="preserve">    }</w:t>
              <w:br/>
              <w:br/>
              <w:t xml:space="preserve">    location /api/ {</w:t>
              <w:br/>
              <w:t xml:space="preserve">        proxy_pass http://backend:8000/api/;</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tc>
      </w:tr>
    </w:tbl>
    <w:p>
      <w:pPr>
        <w:spacing w:after="120"/>
      </w:pPr>
    </w:p>
    <w:p>
      <w:pPr>
        <w:spacing w:after="120" w:line="276" w:lineRule="auto"/>
      </w:pPr>
      <w:r>
        <w:rPr>
          <w:rFonts w:ascii="Times New Roman" w:hAnsi="Times New Roman"/>
          <w:b/>
          <w:sz w:val="24"/>
        </w:rPr>
        <w:t xml:space="preserve">Backend Dockerfile (Python 3.12-slim): </w:t>
      </w:r>
      <w:r>
        <w:rPr>
          <w:rFonts w:ascii="Times New Roman" w:hAnsi="Times New Roman"/>
          <w:i w:val="0"/>
          <w:sz w:val="24"/>
        </w:rPr>
        <w:t>Below is the multi-stage Docker build specification for the FastAPI backend:</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FROM python:3.12-slim AS builder</w:t>
              <w:br/>
              <w:t>WORKDIR /app</w:t>
              <w:br/>
              <w:t>RUN apt-get update &amp;&amp; apt-get install -y --no-install-recommends build-essential libpq-dev &amp;&amp; rm -rf /var/lib/apt/lists/*</w:t>
              <w:br/>
              <w:t>COPY requirements.txt .</w:t>
              <w:br/>
              <w:t>RUN pip install --no-cache-dir --user -r requirements.txt</w:t>
              <w:br/>
              <w:br/>
              <w:t>FROM python:3.12-slim AS runner</w:t>
              <w:br/>
              <w:t>WORKDIR /app</w:t>
              <w:br/>
              <w:t>RUN groupadd -g 1000 appgroup &amp;&amp; useradd -u 1000 -g appgroup -s /bin/bash -m appuser</w:t>
              <w:br/>
              <w:t>COPY --from=builder /root/.local /home/appuser/.local</w:t>
              <w:br/>
              <w:t>COPY --chown=appuser:appgroup . .</w:t>
              <w:br/>
              <w:t>ENV PATH=/home/appuser/.local/bin:$PATH</w:t>
              <w:br/>
              <w:t>USER appuser</w:t>
              <w:br/>
              <w:t>EXPOSE 8000</w:t>
              <w:br/>
              <w:t>CMD ["uvicorn", "app.main:app", "--host", "0.0.0.0", "--port", "8000", "--workers", "2"]</w:t>
            </w:r>
          </w:p>
        </w:tc>
      </w:tr>
    </w:tbl>
    <w:p>
      <w:pPr>
        <w:spacing w:after="120"/>
      </w:pPr>
    </w:p>
    <w:p>
      <w:pPr>
        <w:spacing w:after="120" w:line="276" w:lineRule="auto"/>
      </w:pPr>
      <w:r>
        <w:rPr>
          <w:rFonts w:ascii="Times New Roman" w:hAnsi="Times New Roman"/>
          <w:b/>
          <w:sz w:val="24"/>
        </w:rPr>
        <w:t xml:space="preserve">Frontend Dockerfile (Node.js &amp; Nginx Alpine): </w:t>
      </w:r>
      <w:r>
        <w:rPr>
          <w:rFonts w:ascii="Times New Roman" w:hAnsi="Times New Roman"/>
          <w:i w:val="0"/>
          <w:sz w:val="24"/>
        </w:rPr>
        <w:t>Below is the multi-stage Docker build specification for the React frontend:</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FROM node:20-alpine AS builder</w:t>
              <w:br/>
              <w:t>WORKDIR /app</w:t>
              <w:br/>
              <w:t>COPY package*.json ./</w:t>
              <w:br/>
              <w:t>RUN npm ci</w:t>
              <w:br/>
              <w:t>COPY . .</w:t>
              <w:br/>
              <w:t>RUN npm run build</w:t>
              <w:br/>
              <w:br/>
              <w:t>FROM nginx:1.27-alpine-slim AS runner</w:t>
              <w:br/>
              <w:t>COPY --from=builder /app/dist /usr/share/nginx/html</w:t>
              <w:br/>
              <w:t>COPY nginx.conf /etc/nginx/conf.d/default.conf</w:t>
              <w:br/>
              <w:t>EXPOSE 80</w:t>
              <w:br/>
              <w:t>CMD ["nginx", "-g", "daemon off;"]</w:t>
            </w:r>
          </w:p>
        </w:tc>
      </w:tr>
    </w:tbl>
    <w:p>
      <w:pPr>
        <w:spacing w:after="120"/>
      </w:pPr>
    </w:p>
    <w:p>
      <w:r>
        <w:br w:type="page"/>
      </w:r>
    </w:p>
    <w:p>
      <w:pPr>
        <w:keepNext/>
        <w:spacing w:before="400" w:after="200"/>
      </w:pPr>
      <w:r>
        <w:rPr>
          <w:rFonts w:ascii="Times New Roman" w:hAnsi="Times New Roman"/>
          <w:b/>
          <w:color w:val="0F2942"/>
          <w:sz w:val="32"/>
        </w:rPr>
        <w:t>6. Integration and Testing</w:t>
      </w:r>
    </w:p>
    <w:p>
      <w:pPr>
        <w:keepNext/>
        <w:spacing w:before="280" w:after="120"/>
      </w:pPr>
      <w:r>
        <w:rPr>
          <w:rFonts w:ascii="Times New Roman" w:hAnsi="Times New Roman"/>
          <w:b/>
          <w:color w:val="1E3A8A"/>
          <w:sz w:val="27"/>
        </w:rPr>
        <w:t>Description of the Integration Modules</w:t>
      </w:r>
    </w:p>
    <w:p>
      <w:pPr>
        <w:spacing w:after="120" w:line="276" w:lineRule="auto"/>
      </w:pPr>
      <w:r>
        <w:rPr>
          <w:rFonts w:ascii="Times New Roman" w:hAnsi="Times New Roman"/>
          <w:i w:val="0"/>
          <w:sz w:val="24"/>
        </w:rPr>
        <w:t>System integration connects the React 19 Single Page Application to FastAPI REST endpoints through an Axios client with JWT request interceptors. In production, Nginx reverse-proxies `/api/*` requests to the Uvicorn container, completely eliminating Cross-Origin Resource Sharing (CORS) preflight overhead. Client-side routes (such as /dashboard, /global-map, /predictions, /simulator) resolve seamlessly via Nginx's `try_files $uri $uri/ /index.html;` fallback directive.</w:t>
      </w:r>
    </w:p>
    <w:p>
      <w:pPr>
        <w:spacing w:after="120" w:line="276" w:lineRule="auto"/>
      </w:pPr>
      <w:r>
        <w:rPr>
          <w:rFonts w:ascii="Times New Roman" w:hAnsi="Times New Roman"/>
          <w:i w:val="0"/>
          <w:sz w:val="24"/>
        </w:rPr>
        <w:t>The asynchronous integration layer between the FastAPI backend and external UN Comtrade v1 endpoints uses HTTPX with connection pooling, enforcing rate limits (1 request per second) and exponential backoff retry logic. Data transactions in SQLite are executed under Write-Ahead Logging (WAL) mode, allowing concurrent readers to query aggregated customs metrics while background ingestion processes perform bulk upsert transactions without locking the database.</w:t>
      </w:r>
    </w:p>
    <w:p>
      <w:pPr>
        <w:keepNext/>
        <w:spacing w:before="280" w:after="120"/>
      </w:pPr>
      <w:r>
        <w:rPr>
          <w:rFonts w:ascii="Times New Roman" w:hAnsi="Times New Roman"/>
          <w:b/>
          <w:color w:val="1E3A8A"/>
          <w:sz w:val="27"/>
        </w:rPr>
        <w:t>Testing</w:t>
      </w:r>
    </w:p>
    <w:p>
      <w:pPr>
        <w:spacing w:after="120" w:line="276" w:lineRule="auto"/>
      </w:pPr>
      <w:r>
        <w:rPr>
          <w:rFonts w:ascii="Times New Roman" w:hAnsi="Times New Roman"/>
          <w:i w:val="0"/>
          <w:sz w:val="24"/>
        </w:rPr>
        <w:t>The verification suite comprises 168 automated tests across 18 test suites executed via Pytest. The suite achieves a 100% pass rate in 64.89 seconds with zero regressions: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Test Suite Module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Tests Passed</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Execution Time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Scope Verified</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test_auth.py &amp; test_admin.py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22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5.0s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JWT auth, password hashing, RBAC route guards</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test_pipeline.py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12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2.5s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Schema validation, null coercion, deduplication</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test_dashboard.py &amp; test_trade_analysis.py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21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5.1s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KPI aggregations, sorting, pagination, CSV export</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test_country_analysis.py &amp; test_comparison.py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17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4.6s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Country dossiers, disparity matrices, swap symmetry</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test_product_analysis.py &amp; test_balance.py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14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3.7s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HS chapters, exporter rankings, net trade curves</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test_economic_metrics.py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11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2.7s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Lafay TBI, Balassa RTA, Grubel-Lloyd, HHI indices</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test_prediction.py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12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8.5s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4-model arena, anti-leakage shifts, 95% CIs, AIC/BIC</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test_simulator.py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8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2.3s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Armington elasticity, tariff shocks, trade diversion</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test_reports.py &amp; test_reports_export.py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12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5.7s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ReportLab PDF generation, OpenPyXL Excel models</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test_alerts.py &amp; test_data_management.py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22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6.1s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Anomaly threshold rules, SMTP outbox, CSV upload</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Full Suite (18 Modules)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168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64.89s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100% Pass Rate across all endpoints (0 Regressions)</w:t>
            </w:r>
          </w:p>
        </w:tc>
      </w:tr>
    </w:tbl>
    <w:p>
      <w:pPr>
        <w:spacing w:after="120" w:line="276" w:lineRule="auto"/>
      </w:pPr>
      <w:r>
        <w:rPr>
          <w:rFonts w:ascii="Times New Roman" w:hAnsi="Times New Roman"/>
          <w:b/>
          <w:sz w:val="24"/>
        </w:rPr>
        <w:t xml:space="preserve">Detailed Test Case Matrix: </w:t>
      </w:r>
      <w:r>
        <w:rPr>
          <w:rFonts w:ascii="Times New Roman" w:hAnsi="Times New Roman"/>
          <w:i w:val="0"/>
          <w:sz w:val="24"/>
        </w:rPr>
        <w:t>Below is the detailed test case execution matrix covering critical platform operations: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Test Case ID</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Module Tested</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Input Conditions</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Expected Outcome</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Pass/Fail</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TC-01</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Auth API</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Valid admin credentials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Returns 200 OK + JWT access_token</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PASSED</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TC-02</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Auth RBAC</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User token accessing /api/admin/users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Returns 403 Forbidden</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PASSED</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TC-03</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Ingestion</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Duplicate 5-tuple payload</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Upserts record without duplicating primary key</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PASSED</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TC-04</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Metrics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Exports=$100M, Imports=$0</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Lafay TBI = +100.0 (Pure Exporter)</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PASSED</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TC-05</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Metrics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Zero bilateral turnover</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Lafay TBI = 0.0 (No division by zero error)</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PASSED</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TC-06</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Armington Sim</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Tariff +25%, Base=$10B, Elasticity=-1.25</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Shock volume = $7.34B, Customs Yield = $1.83B</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PASSED</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TC-07</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ML Prediction</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N=12 historical annual series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Returns 4 models + AIC ranking + 2026-2030 bounds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PASSED</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TC-08</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PDF Export</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ReportLab PDF build request</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Generates valid multi-page binary PDF stream</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PASSED</w:t>
            </w:r>
          </w:p>
        </w:tc>
      </w:tr>
    </w:tbl>
    <w:p>
      <w:pPr>
        <w:spacing w:before="160" w:after="80"/>
        <w:jc w:val="center"/>
      </w:pPr>
      <w:r>
        <w:drawing>
          <wp:inline xmlns:a="http://schemas.openxmlformats.org/drawingml/2006/main" xmlns:pic="http://schemas.openxmlformats.org/drawingml/2006/picture">
            <wp:extent cx="5303520" cy="3977640"/>
            <wp:docPr id="17" name="Picture 17"/>
            <wp:cNvGraphicFramePr>
              <a:graphicFrameLocks noChangeAspect="1"/>
            </wp:cNvGraphicFramePr>
            <a:graphic>
              <a:graphicData uri="http://schemas.openxmlformats.org/drawingml/2006/picture">
                <pic:pic>
                  <pic:nvPicPr>
                    <pic:cNvPr id="0" name="alerts_briefings_tab.png"/>
                    <pic:cNvPicPr/>
                  </pic:nvPicPr>
                  <pic:blipFill>
                    <a:blip r:embed="rId25"/>
                    <a:stretch>
                      <a:fillRect/>
                    </a:stretch>
                  </pic:blipFill>
                  <pic:spPr>
                    <a:xfrm>
                      <a:off x="0" y="0"/>
                      <a:ext cx="5303520" cy="3977640"/>
                    </a:xfrm>
                    <a:prstGeom prst="rect"/>
                  </pic:spPr>
                </pic:pic>
              </a:graphicData>
            </a:graphic>
          </wp:inline>
        </w:drawing>
      </w:r>
    </w:p>
    <w:p>
      <w:pPr>
        <w:spacing w:after="240"/>
        <w:jc w:val="center"/>
      </w:pPr>
      <w:r>
        <w:rPr>
          <w:rFonts w:ascii="Times New Roman" w:hAnsi="Times New Roman"/>
          <w:i/>
          <w:color w:val="475569"/>
          <w:sz w:val="20"/>
        </w:rPr>
        <w:t>Figure 6.1: Automated Executive PDF Briefings &amp; Scheduled Dispatch Workspace</w:t>
      </w:r>
    </w:p>
    <w:p>
      <w:pPr>
        <w:spacing w:before="160" w:after="80"/>
        <w:jc w:val="center"/>
      </w:pPr>
      <w:r>
        <w:drawing>
          <wp:inline xmlns:a="http://schemas.openxmlformats.org/drawingml/2006/main" xmlns:pic="http://schemas.openxmlformats.org/drawingml/2006/picture">
            <wp:extent cx="5303520" cy="3977640"/>
            <wp:docPr id="18" name="Picture 18"/>
            <wp:cNvGraphicFramePr>
              <a:graphicFrameLocks noChangeAspect="1"/>
            </wp:cNvGraphicFramePr>
            <a:graphic>
              <a:graphicData uri="http://schemas.openxmlformats.org/drawingml/2006/picture">
                <pic:pic>
                  <pic:nvPicPr>
                    <pic:cNvPr id="0" name="alerts_outbox_tab.png"/>
                    <pic:cNvPicPr/>
                  </pic:nvPicPr>
                  <pic:blipFill>
                    <a:blip r:embed="rId26"/>
                    <a:stretch>
                      <a:fillRect/>
                    </a:stretch>
                  </pic:blipFill>
                  <pic:spPr>
                    <a:xfrm>
                      <a:off x="0" y="0"/>
                      <a:ext cx="5303520" cy="3977640"/>
                    </a:xfrm>
                    <a:prstGeom prst="rect"/>
                  </pic:spPr>
                </pic:pic>
              </a:graphicData>
            </a:graphic>
          </wp:inline>
        </w:drawing>
      </w:r>
    </w:p>
    <w:p>
      <w:pPr>
        <w:spacing w:after="240"/>
        <w:jc w:val="center"/>
      </w:pPr>
      <w:r>
        <w:rPr>
          <w:rFonts w:ascii="Times New Roman" w:hAnsi="Times New Roman"/>
          <w:i/>
          <w:color w:val="475569"/>
          <w:sz w:val="20"/>
        </w:rPr>
        <w:t>Figure 6.2: Delivery Outbox &amp; PDF Audit Trail Console</w:t>
      </w:r>
    </w:p>
    <w:p>
      <w:pPr>
        <w:keepNext/>
        <w:spacing w:before="280" w:after="120"/>
      </w:pPr>
      <w:r>
        <w:rPr>
          <w:rFonts w:ascii="Times New Roman" w:hAnsi="Times New Roman"/>
          <w:b/>
          <w:color w:val="1E3A8A"/>
          <w:sz w:val="27"/>
        </w:rPr>
        <w:t>Performance Analysis</w:t>
      </w:r>
    </w:p>
    <w:p>
      <w:pPr>
        <w:spacing w:after="120" w:line="276" w:lineRule="auto"/>
      </w:pPr>
      <w:r>
        <w:rPr>
          <w:rFonts w:ascii="Times New Roman" w:hAnsi="Times New Roman"/>
          <w:i w:val="0"/>
          <w:sz w:val="24"/>
        </w:rPr>
        <w:t>System latency benchmarks verify outstanding operational performance under production loads: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Benchmark Category</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Metric Measured</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Observed Value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Acceptance Criteria</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API Latency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Analytical Aggregations (/api/trade-analysis)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42 ms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&lt; 150 ms (NFR1 Met)</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ML Arena Execution</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4-Model Parallel Fit &amp; Evaluation</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185 ms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&lt; 500 ms (NFR1 Met)</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Armington Simulation</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Tariff Shock &amp; Diversion Computation</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38 ms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&lt; 100 ms (NFR1 Met)</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PDF Report Build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ReportLab 3-Page Vector PDF Generation</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280 ms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&lt; 1000 ms (Passed)</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Container Memory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Backend Uvicorn + Frontend Nginx</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165 MB Total RAM</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&lt; 512 MB (Passed)</w:t>
            </w:r>
          </w:p>
        </w:tc>
      </w:tr>
    </w:tbl>
    <w:p>
      <w:r>
        <w:br w:type="page"/>
      </w:r>
    </w:p>
    <w:p>
      <w:pPr>
        <w:keepNext/>
        <w:spacing w:before="400" w:after="200"/>
      </w:pPr>
      <w:r>
        <w:rPr>
          <w:rFonts w:ascii="Times New Roman" w:hAnsi="Times New Roman"/>
          <w:b/>
          <w:color w:val="0F2942"/>
          <w:sz w:val="32"/>
        </w:rPr>
        <w:t>7. Future Scope</w:t>
      </w:r>
    </w:p>
    <w:p>
      <w:pPr>
        <w:spacing w:after="120" w:line="276" w:lineRule="auto"/>
      </w:pPr>
      <w:r>
        <w:rPr>
          <w:rFonts w:ascii="Times New Roman" w:hAnsi="Times New Roman"/>
          <w:i w:val="0"/>
          <w:sz w:val="24"/>
        </w:rPr>
        <w:t>The platform establishes a robust architectural and algorithmic foundation that invites expansive future enhancements across four major domains:</w:t>
      </w:r>
    </w:p>
    <w:p>
      <w:pPr>
        <w:pStyle w:val="ListBullet"/>
        <w:spacing w:after="80" w:line="276" w:lineRule="auto"/>
      </w:pPr>
      <w:r>
        <w:rPr>
          <w:rFonts w:ascii="Times New Roman" w:hAnsi="Times New Roman"/>
          <w:b/>
          <w:sz w:val="24"/>
        </w:rPr>
        <w:t xml:space="preserve">1. Deep Learning Transformer Architectures: </w:t>
      </w:r>
      <w:r>
        <w:rPr>
          <w:rFonts w:ascii="Times New Roman" w:hAnsi="Times New Roman"/>
          <w:sz w:val="24"/>
        </w:rPr>
        <w:t>While the current platform benchmarks Linear Regression, Random Forest, ARIMA, and Holt-Winters ETS, future work will integrate state-of-the-art deep learning time-series foundation models, including PatchTST, TimesNet, and Time-Series Dense Encoder (TiDE). These transformer architectures capture non-linear cross-country macroeconomic feedback loops and long-range seasonal dependencies across multi-decade customs records.</w:t>
      </w:r>
    </w:p>
    <w:p>
      <w:pPr>
        <w:pStyle w:val="ListBullet"/>
        <w:spacing w:after="80" w:line="276" w:lineRule="auto"/>
      </w:pPr>
      <w:r>
        <w:rPr>
          <w:rFonts w:ascii="Times New Roman" w:hAnsi="Times New Roman"/>
          <w:b/>
          <w:sz w:val="24"/>
        </w:rPr>
        <w:t xml:space="preserve">2. Granular HS-6 Commodity Classification: </w:t>
      </w:r>
      <w:r>
        <w:rPr>
          <w:rFonts w:ascii="Times New Roman" w:hAnsi="Times New Roman"/>
          <w:sz w:val="24"/>
        </w:rPr>
        <w:t>The current data ingestion pipeline operates at the 2-digit HS Chapter level. Future releases will expand the relational ingestion pipeline to support the full 6-digit Harmonized System (HS-6) taxonomy, encompassing more than 5,000 distinct product subheadings. This will enable precision supply chain audits at the level of specific chemical compounds, rare-earth minerals, and electronic subcomponents.</w:t>
      </w:r>
    </w:p>
    <w:p>
      <w:pPr>
        <w:pStyle w:val="ListBullet"/>
        <w:spacing w:after="80" w:line="276" w:lineRule="auto"/>
      </w:pPr>
      <w:r>
        <w:rPr>
          <w:rFonts w:ascii="Times New Roman" w:hAnsi="Times New Roman"/>
          <w:b/>
          <w:sz w:val="24"/>
        </w:rPr>
        <w:t xml:space="preserve">3. Structural Gravity Model Formulation: </w:t>
      </w:r>
      <w:r>
        <w:rPr>
          <w:rFonts w:ascii="Times New Roman" w:hAnsi="Times New Roman"/>
          <w:sz w:val="24"/>
        </w:rPr>
        <w:t>Future iterations will incorporate Jan Tinbergen's structural Gravity Model of International Trade. By integrating bilateral geographical distances, shared language indicators, colonial ties, and regional trade agreement (RTA) dummy variables into the regression equations, the platform will model trade frictions with greater econometric fidelity.</w:t>
      </w:r>
    </w:p>
    <w:p>
      <w:pPr>
        <w:pStyle w:val="ListBullet"/>
        <w:spacing w:after="80" w:line="276" w:lineRule="auto"/>
      </w:pPr>
      <w:r>
        <w:rPr>
          <w:rFonts w:ascii="Times New Roman" w:hAnsi="Times New Roman"/>
          <w:b/>
          <w:sz w:val="24"/>
        </w:rPr>
        <w:t xml:space="preserve">4. Generative AI Diplomatic Policy Memos: </w:t>
      </w:r>
      <w:r>
        <w:rPr>
          <w:rFonts w:ascii="Times New Roman" w:hAnsi="Times New Roman"/>
          <w:sz w:val="24"/>
        </w:rPr>
        <w:t>Integrating local, open-weights Large Language Models (such as LLaMA-3 or Mistral) running on edge hardware will enable the platform to automatically synthesize natural-language diplomatic policy memos directly from counterfactual tariff simulation outputs, providing narrative trade intelligence to commerce negotiators without third-party cloud data exposure.</w:t>
      </w:r>
    </w:p>
    <w:p>
      <w:r>
        <w:br w:type="page"/>
      </w:r>
    </w:p>
    <w:p>
      <w:pPr>
        <w:keepNext/>
        <w:spacing w:before="400" w:after="200"/>
      </w:pPr>
      <w:r>
        <w:rPr>
          <w:rFonts w:ascii="Times New Roman" w:hAnsi="Times New Roman"/>
          <w:b/>
          <w:color w:val="0F2942"/>
          <w:sz w:val="32"/>
        </w:rPr>
        <w:t>8. Applications</w:t>
      </w:r>
    </w:p>
    <w:p>
      <w:pPr>
        <w:spacing w:after="120" w:line="276" w:lineRule="auto"/>
      </w:pPr>
      <w:r>
        <w:rPr>
          <w:rFonts w:ascii="Times New Roman" w:hAnsi="Times New Roman"/>
          <w:i w:val="0"/>
          <w:sz w:val="24"/>
        </w:rPr>
        <w:t>The platform's unified combination of historical analytics, econometric policy simulation, and machine learning forecasting delivers profound operational value across multiple real-world sectors:</w:t>
      </w:r>
    </w:p>
    <w:p>
      <w:pPr>
        <w:pStyle w:val="ListBullet"/>
        <w:spacing w:after="80" w:line="276" w:lineRule="auto"/>
      </w:pPr>
      <w:r>
        <w:rPr>
          <w:rFonts w:ascii="Times New Roman" w:hAnsi="Times New Roman"/>
          <w:b/>
          <w:sz w:val="24"/>
        </w:rPr>
        <w:t xml:space="preserve">1. Sovereign Trade Policy Formulation &amp; Treaty Negotiation: </w:t>
      </w:r>
      <w:r>
        <w:rPr>
          <w:rFonts w:ascii="Times New Roman" w:hAnsi="Times New Roman"/>
          <w:sz w:val="24"/>
        </w:rPr>
        <w:t>Commerce ministries and national trade commissions can utilize the Armington Elasticity Simulator to model the domestic price pass-through, import contraction, and customs revenue consequences of reciprocal tariffs before entering bilateral free trade negotiations. The simulator enables policymakers to identify optimal ad-valorem rates that balance consumer welfare against domestic industry protection.</w:t>
      </w:r>
    </w:p>
    <w:p>
      <w:pPr>
        <w:pStyle w:val="ListBullet"/>
        <w:spacing w:after="80" w:line="276" w:lineRule="auto"/>
      </w:pPr>
      <w:r>
        <w:rPr>
          <w:rFonts w:ascii="Times New Roman" w:hAnsi="Times New Roman"/>
          <w:b/>
          <w:sz w:val="24"/>
        </w:rPr>
        <w:t xml:space="preserve">2. Global Supply Chain Resilience &amp; Sourcing Diversification: </w:t>
      </w:r>
      <w:r>
        <w:rPr>
          <w:rFonts w:ascii="Times New Roman" w:hAnsi="Times New Roman"/>
          <w:sz w:val="24"/>
        </w:rPr>
        <w:t>Multinational manufacturing conglomerates and procurement executives can leverage the Hirschman-Herfindahl Market Concentration (HHI) index and multi-model 2026–2030 projections to audit single-source supply chain vulnerabilities. Identifying heavily concentrated import dependencies allows firms to proactively establish alternative manufacturing relationships in neutral third-party nations.</w:t>
      </w:r>
    </w:p>
    <w:p>
      <w:pPr>
        <w:pStyle w:val="ListBullet"/>
        <w:spacing w:after="80" w:line="276" w:lineRule="auto"/>
      </w:pPr>
      <w:r>
        <w:rPr>
          <w:rFonts w:ascii="Times New Roman" w:hAnsi="Times New Roman"/>
          <w:b/>
          <w:sz w:val="24"/>
        </w:rPr>
        <w:t xml:space="preserve">3. Macroeconomic Financial Markets &amp; Currency Trading: </w:t>
      </w:r>
      <w:r>
        <w:rPr>
          <w:rFonts w:ascii="Times New Roman" w:hAnsi="Times New Roman"/>
          <w:sz w:val="24"/>
        </w:rPr>
        <w:t>Quantitative hedge funds, currency traders, and sovereign debt analysts can exploit historical trade balance turning points and the Lafay Trade Balance Index (TBI) to anticipate foreign exchange valuation pressures. Structural shifts from net exporting to net importing status frequently precede currency depreciation cycles in emerging markets.</w:t>
      </w:r>
    </w:p>
    <w:p>
      <w:pPr>
        <w:pStyle w:val="ListBullet"/>
        <w:spacing w:after="80" w:line="276" w:lineRule="auto"/>
      </w:pPr>
      <w:r>
        <w:rPr>
          <w:rFonts w:ascii="Times New Roman" w:hAnsi="Times New Roman"/>
          <w:b/>
          <w:sz w:val="24"/>
        </w:rPr>
        <w:t xml:space="preserve">4. Multilateral Research &amp; Academic Economic Studies: </w:t>
      </w:r>
      <w:r>
        <w:rPr>
          <w:rFonts w:ascii="Times New Roman" w:hAnsi="Times New Roman"/>
          <w:sz w:val="24"/>
        </w:rPr>
        <w:t>Multilateral development institutions (such as UNCTAD, World Bank, and WTO) and academic economic researchers can utilize the platform's standardized methodology to conduct peer-reviewed comparative studies, export high-resolution ReportLab PDF briefing dossiers, and reproduce macroeconomic findings with full data transparency.</w:t>
      </w:r>
    </w:p>
    <w:p>
      <w:r>
        <w:br w:type="page"/>
      </w:r>
    </w:p>
    <w:p>
      <w:pPr>
        <w:keepNext/>
        <w:spacing w:before="400" w:after="200"/>
      </w:pPr>
      <w:r>
        <w:rPr>
          <w:rFonts w:ascii="Times New Roman" w:hAnsi="Times New Roman"/>
          <w:b/>
          <w:color w:val="0F2942"/>
          <w:sz w:val="32"/>
        </w:rPr>
        <w:t>9. Installation Guide and User Manual</w:t>
      </w:r>
    </w:p>
    <w:p>
      <w:pPr>
        <w:keepNext/>
        <w:spacing w:before="280" w:after="120"/>
      </w:pPr>
      <w:r>
        <w:rPr>
          <w:rFonts w:ascii="Times New Roman" w:hAnsi="Times New Roman"/>
          <w:b/>
          <w:color w:val="1E3A8A"/>
          <w:sz w:val="27"/>
        </w:rPr>
        <w:t>9.1 Hardware and Software Prerequisites</w:t>
      </w:r>
    </w:p>
    <w:p>
      <w:pPr>
        <w:spacing w:after="120" w:line="276" w:lineRule="auto"/>
      </w:pPr>
      <w:r>
        <w:rPr>
          <w:rFonts w:ascii="Times New Roman" w:hAnsi="Times New Roman"/>
          <w:i w:val="0"/>
          <w:sz w:val="24"/>
        </w:rPr>
        <w:t>To deploy and run the Global Trade Analytics Platform, the host machine must satisfy the following minimum specifications:</w:t>
      </w:r>
    </w:p>
    <w:p>
      <w:pPr>
        <w:pStyle w:val="ListBullet"/>
        <w:spacing w:after="80" w:line="276" w:lineRule="auto"/>
      </w:pPr>
      <w:r>
        <w:rPr>
          <w:rFonts w:ascii="Times New Roman" w:hAnsi="Times New Roman"/>
          <w:b/>
          <w:sz w:val="24"/>
        </w:rPr>
        <w:t xml:space="preserve">Processor: </w:t>
      </w:r>
      <w:r>
        <w:rPr>
          <w:rFonts w:ascii="Times New Roman" w:hAnsi="Times New Roman"/>
          <w:sz w:val="24"/>
        </w:rPr>
        <w:t>Dual-Core x86_64 or ARM64 CPU (Quad-Core recommended).</w:t>
      </w:r>
    </w:p>
    <w:p>
      <w:pPr>
        <w:pStyle w:val="ListBullet"/>
        <w:spacing w:after="80" w:line="276" w:lineRule="auto"/>
      </w:pPr>
      <w:r>
        <w:rPr>
          <w:rFonts w:ascii="Times New Roman" w:hAnsi="Times New Roman"/>
          <w:b/>
          <w:sz w:val="24"/>
        </w:rPr>
        <w:t xml:space="preserve">Memory: </w:t>
      </w:r>
      <w:r>
        <w:rPr>
          <w:rFonts w:ascii="Times New Roman" w:hAnsi="Times New Roman"/>
          <w:sz w:val="24"/>
        </w:rPr>
        <w:t>4 GB RAM minimum (8 GB recommended for parallel ARIMA grid searches).</w:t>
      </w:r>
    </w:p>
    <w:p>
      <w:pPr>
        <w:pStyle w:val="ListBullet"/>
        <w:spacing w:after="80" w:line="276" w:lineRule="auto"/>
      </w:pPr>
      <w:r>
        <w:rPr>
          <w:rFonts w:ascii="Times New Roman" w:hAnsi="Times New Roman"/>
          <w:b/>
          <w:sz w:val="24"/>
        </w:rPr>
        <w:t xml:space="preserve">Disk Space: </w:t>
      </w:r>
      <w:r>
        <w:rPr>
          <w:rFonts w:ascii="Times New Roman" w:hAnsi="Times New Roman"/>
          <w:sz w:val="24"/>
        </w:rPr>
        <w:t>5 GB free persistent disk storage for database and container layers.</w:t>
      </w:r>
    </w:p>
    <w:p>
      <w:pPr>
        <w:pStyle w:val="ListBullet"/>
        <w:spacing w:after="80" w:line="276" w:lineRule="auto"/>
      </w:pPr>
      <w:r>
        <w:rPr>
          <w:rFonts w:ascii="Times New Roman" w:hAnsi="Times New Roman"/>
          <w:b/>
          <w:sz w:val="24"/>
        </w:rPr>
        <w:t xml:space="preserve">Container Engine: </w:t>
      </w:r>
      <w:r>
        <w:rPr>
          <w:rFonts w:ascii="Times New Roman" w:hAnsi="Times New Roman"/>
          <w:sz w:val="24"/>
        </w:rPr>
        <w:t>Docker Desktop 25.0+ or Docker Engine with Docker Compose v2.</w:t>
      </w:r>
    </w:p>
    <w:p>
      <w:pPr>
        <w:pStyle w:val="ListBullet"/>
        <w:spacing w:after="80" w:line="276" w:lineRule="auto"/>
      </w:pPr>
      <w:r>
        <w:rPr>
          <w:rFonts w:ascii="Times New Roman" w:hAnsi="Times New Roman"/>
          <w:b/>
          <w:sz w:val="24"/>
        </w:rPr>
        <w:t xml:space="preserve">Native Runtimes: </w:t>
      </w:r>
      <w:r>
        <w:rPr>
          <w:rFonts w:ascii="Times New Roman" w:hAnsi="Times New Roman"/>
          <w:sz w:val="24"/>
        </w:rPr>
        <w:t>Python 3.12+ and Node.js 20+ (only required if running without Docker).</w:t>
      </w:r>
    </w:p>
    <w:p>
      <w:pPr>
        <w:keepNext/>
        <w:spacing w:before="280" w:after="120"/>
      </w:pPr>
      <w:r>
        <w:rPr>
          <w:rFonts w:ascii="Times New Roman" w:hAnsi="Times New Roman"/>
          <w:b/>
          <w:color w:val="1E3A8A"/>
          <w:sz w:val="27"/>
        </w:rPr>
        <w:t>9.2 Automated 1-Command Docker Deployment</w:t>
      </w:r>
    </w:p>
    <w:p>
      <w:pPr>
        <w:spacing w:after="120" w:line="276" w:lineRule="auto"/>
      </w:pPr>
      <w:r>
        <w:rPr>
          <w:rFonts w:ascii="Times New Roman" w:hAnsi="Times New Roman"/>
          <w:i w:val="0"/>
          <w:sz w:val="24"/>
        </w:rPr>
        <w:t>The platform is completely containerized. To build and launch the entire multi-tier system with all networks, persistent volumes, and reverse proxy configurations, open a terminal in the project root directory and execute: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docker compose up --build -d</w:t>
            </w:r>
          </w:p>
        </w:tc>
      </w:tr>
    </w:tbl>
    <w:p>
      <w:pPr>
        <w:spacing w:after="120"/>
      </w:pPr>
    </w:p>
    <w:p>
      <w:pPr>
        <w:spacing w:after="120" w:line="276" w:lineRule="auto"/>
      </w:pPr>
      <w:r>
        <w:rPr>
          <w:rFonts w:ascii="Times New Roman" w:hAnsi="Times New Roman"/>
          <w:i w:val="0"/>
          <w:sz w:val="24"/>
        </w:rPr>
        <w:t>Alternatively, execute the native platform launcher script provided in the repository root:</w:t>
        <w:br/>
        <w:t>• On Windows: `.\deploy.ps1 -Build`</w:t>
        <w:br/>
        <w:t>• On Linux / macOS: `./deploy.sh --build`</w:t>
      </w:r>
    </w:p>
    <w:p>
      <w:pPr>
        <w:keepNext/>
        <w:spacing w:before="280" w:after="120"/>
      </w:pPr>
      <w:r>
        <w:rPr>
          <w:rFonts w:ascii="Times New Roman" w:hAnsi="Times New Roman"/>
          <w:b/>
          <w:color w:val="1E3A8A"/>
          <w:sz w:val="27"/>
        </w:rPr>
        <w:t>9.3 Service Endpoints and Default Credentials</w:t>
      </w:r>
    </w:p>
    <w:p>
      <w:pPr>
        <w:spacing w:after="120" w:line="276" w:lineRule="auto"/>
      </w:pPr>
      <w:r>
        <w:rPr>
          <w:rFonts w:ascii="Times New Roman" w:hAnsi="Times New Roman"/>
          <w:i w:val="0"/>
          <w:sz w:val="24"/>
        </w:rPr>
        <w:t>Once the containers are running, access the platform components via the following URLs:</w:t>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Component</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URL / Access Point</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Authentication &amp; Role</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Web User Interface</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http://localhost (or http://localhost:5173)</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Public / Authenticated UI</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FastAPI Backend Docs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http://localhost:8000/docs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OpenAPI Interactive Swagger</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API Health Endpoint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http://localhost:8000/api/health</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Public Health Check</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Default Admin Login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Username: admin | Password: Admin@Trade2026!</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Full Administrator Privileges</w:t>
            </w:r>
          </w:p>
        </w:tc>
      </w:tr>
    </w:tbl>
    <w:p>
      <w:pPr>
        <w:keepNext/>
        <w:spacing w:before="280" w:after="120"/>
      </w:pPr>
      <w:r>
        <w:rPr>
          <w:rFonts w:ascii="Times New Roman" w:hAnsi="Times New Roman"/>
          <w:b/>
          <w:color w:val="1E3A8A"/>
          <w:sz w:val="27"/>
        </w:rPr>
        <w:t>9.4 User Operational Manual (Step-by-Step)</w:t>
      </w:r>
    </w:p>
    <w:p>
      <w:pPr>
        <w:spacing w:after="120" w:line="276" w:lineRule="auto"/>
      </w:pPr>
      <w:r>
        <w:rPr>
          <w:rFonts w:ascii="Times New Roman" w:hAnsi="Times New Roman"/>
          <w:b/>
          <w:sz w:val="24"/>
        </w:rPr>
        <w:t xml:space="preserve">Step 1 (Authentication): </w:t>
      </w:r>
      <w:r>
        <w:rPr>
          <w:rFonts w:ascii="Times New Roman" w:hAnsi="Times New Roman"/>
          <w:i w:val="0"/>
          <w:sz w:val="24"/>
        </w:rPr>
        <w:t>1. Logging In: Navigate to the platform homepage. Click 'Sign In' in the upper right. Enter the default administrator credentials or analyst credentials. The system issues a signed JWT token stored in sessionStorage.</w:t>
      </w:r>
    </w:p>
    <w:p>
      <w:pPr>
        <w:spacing w:after="120" w:line="276" w:lineRule="auto"/>
      </w:pPr>
      <w:r>
        <w:rPr>
          <w:rFonts w:ascii="Times New Roman" w:hAnsi="Times New Roman"/>
          <w:b/>
          <w:sz w:val="24"/>
        </w:rPr>
        <w:t xml:space="preserve">Step 2 (Dashboard Exploration): </w:t>
      </w:r>
      <w:r>
        <w:rPr>
          <w:rFonts w:ascii="Times New Roman" w:hAnsi="Times New Roman"/>
          <w:i w:val="0"/>
          <w:sz w:val="24"/>
        </w:rPr>
        <w:t>2. Executive Dashboard: Review global trade volume aggregates, net trade surpluses, active trading partners, and real-time direction breakdowns. Use the year selector to inspect historical trends from 2014 to 2025.</w:t>
      </w:r>
    </w:p>
    <w:p>
      <w:pPr>
        <w:spacing w:after="120" w:line="276" w:lineRule="auto"/>
      </w:pPr>
      <w:r>
        <w:rPr>
          <w:rFonts w:ascii="Times New Roman" w:hAnsi="Times New Roman"/>
          <w:b/>
          <w:sz w:val="24"/>
        </w:rPr>
        <w:t xml:space="preserve">Step 3 (Geospatial Analysis): </w:t>
      </w:r>
      <w:r>
        <w:rPr>
          <w:rFonts w:ascii="Times New Roman" w:hAnsi="Times New Roman"/>
          <w:i w:val="0"/>
          <w:sz w:val="24"/>
        </w:rPr>
        <w:t>3. Interactive Vector Map: Click 'Global Map' in the sidebar navigation. Zoom and pan across 190 countries color-coded by trade balance tiers. Click any sovereign nation to trigger the slide-out Country Dossier Drawer displaying top trading partners, product specializations, and economic indices.</w:t>
      </w:r>
    </w:p>
    <w:p>
      <w:pPr>
        <w:spacing w:after="120" w:line="276" w:lineRule="auto"/>
      </w:pPr>
      <w:r>
        <w:rPr>
          <w:rFonts w:ascii="Times New Roman" w:hAnsi="Times New Roman"/>
          <w:b/>
          <w:sz w:val="24"/>
        </w:rPr>
        <w:t xml:space="preserve">Step 4 (Forecasting Evaluation): </w:t>
      </w:r>
      <w:r>
        <w:rPr>
          <w:rFonts w:ascii="Times New Roman" w:hAnsi="Times New Roman"/>
          <w:i w:val="0"/>
          <w:sz w:val="24"/>
        </w:rPr>
        <w:t>4. ML Forecasting Arena: Navigate to 'Predictions'. Select a reporter and partner nation. The system executes OLS, Random Forest, ARIMA, and Holt-Winters models in parallel, displaying AIC/BIC rankings and projecting 2026–2030 volumes with compounding 95% confidence intervals.</w:t>
      </w:r>
    </w:p>
    <w:p>
      <w:pPr>
        <w:spacing w:after="120" w:line="276" w:lineRule="auto"/>
      </w:pPr>
      <w:r>
        <w:rPr>
          <w:rFonts w:ascii="Times New Roman" w:hAnsi="Times New Roman"/>
          <w:b/>
          <w:sz w:val="24"/>
        </w:rPr>
        <w:t xml:space="preserve">Step 5 (Policy Simulation): </w:t>
      </w:r>
      <w:r>
        <w:rPr>
          <w:rFonts w:ascii="Times New Roman" w:hAnsi="Times New Roman"/>
          <w:i w:val="0"/>
          <w:sz w:val="24"/>
        </w:rPr>
        <w:t>5. Armington Tariff Simulation: Navigate to 'Scenario Simulator'. Adjust the ad-valorem tariff adjustment slider (-30% to +75%), set price pass-through and import demand elasticity. The system instantly renders post-shock trade trajectories, calculates fiscal customs revenue, and identifies third-party trade diversion.</w:t>
      </w:r>
    </w:p>
    <w:p>
      <w:pPr>
        <w:spacing w:after="120" w:line="276" w:lineRule="auto"/>
      </w:pPr>
      <w:r>
        <w:rPr>
          <w:rFonts w:ascii="Times New Roman" w:hAnsi="Times New Roman"/>
          <w:b/>
          <w:sz w:val="24"/>
        </w:rPr>
        <w:t xml:space="preserve">Step 6 (Reporting &amp; PDF Generation): </w:t>
      </w:r>
      <w:r>
        <w:rPr>
          <w:rFonts w:ascii="Times New Roman" w:hAnsi="Times New Roman"/>
          <w:i w:val="0"/>
          <w:sz w:val="24"/>
        </w:rPr>
        <w:t>6. Executive Dossier Generation: Navigate to 'Executive Reports'. Click 'Generate PDF Dossier'. The backend ReportLab engine compiles a multi-page, vector-rendered executive briefing with charts, indices, and policy briefs available for instant download.</w:t>
      </w:r>
    </w:p>
    <w:p>
      <w:pPr>
        <w:spacing w:before="160" w:after="80"/>
        <w:jc w:val="cente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reports_export_ui.png"/>
                    <pic:cNvPicPr/>
                  </pic:nvPicPr>
                  <pic:blipFill>
                    <a:blip r:embed="rId27"/>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0"/>
        </w:rPr>
        <w:t>Figure 9.1: Executive PDF and Excel Report Export Console</w:t>
      </w:r>
    </w:p>
    <w:p>
      <w:pPr>
        <w:spacing w:before="160" w:after="80"/>
        <w:jc w:val="center"/>
      </w:pPr>
      <w:r>
        <w:drawing>
          <wp:inline xmlns:a="http://schemas.openxmlformats.org/drawingml/2006/main" xmlns:pic="http://schemas.openxmlformats.org/drawingml/2006/picture">
            <wp:extent cx="5303520" cy="3683000"/>
            <wp:docPr id="20" name="Picture 20"/>
            <wp:cNvGraphicFramePr>
              <a:graphicFrameLocks noChangeAspect="1"/>
            </wp:cNvGraphicFramePr>
            <a:graphic>
              <a:graphicData uri="http://schemas.openxmlformats.org/drawingml/2006/picture">
                <pic:pic>
                  <pic:nvPicPr>
                    <pic:cNvPr id="0" name="data_management_live_sync.png"/>
                    <pic:cNvPicPr/>
                  </pic:nvPicPr>
                  <pic:blipFill>
                    <a:blip r:embed="rId28"/>
                    <a:stretch>
                      <a:fillRect/>
                    </a:stretch>
                  </pic:blipFill>
                  <pic:spPr>
                    <a:xfrm>
                      <a:off x="0" y="0"/>
                      <a:ext cx="5303520" cy="3683000"/>
                    </a:xfrm>
                    <a:prstGeom prst="rect"/>
                  </pic:spPr>
                </pic:pic>
              </a:graphicData>
            </a:graphic>
          </wp:inline>
        </w:drawing>
      </w:r>
    </w:p>
    <w:p>
      <w:pPr>
        <w:spacing w:after="240"/>
        <w:jc w:val="center"/>
      </w:pPr>
      <w:r>
        <w:rPr>
          <w:rFonts w:ascii="Times New Roman" w:hAnsi="Times New Roman"/>
          <w:i/>
          <w:color w:val="475569"/>
          <w:sz w:val="20"/>
        </w:rPr>
        <w:t>Figure 9.2: Live UN Comtrade Data Synchronization Control Center</w:t>
      </w:r>
    </w:p>
    <w:p>
      <w:pPr>
        <w:spacing w:before="160" w:after="80"/>
        <w:jc w:val="center"/>
      </w:pPr>
      <w:r>
        <w:drawing>
          <wp:inline xmlns:a="http://schemas.openxmlformats.org/drawingml/2006/main" xmlns:pic="http://schemas.openxmlformats.org/drawingml/2006/picture">
            <wp:extent cx="5303520" cy="3314700"/>
            <wp:docPr id="21" name="Picture 21"/>
            <wp:cNvGraphicFramePr>
              <a:graphicFrameLocks noChangeAspect="1"/>
            </wp:cNvGraphicFramePr>
            <a:graphic>
              <a:graphicData uri="http://schemas.openxmlformats.org/drawingml/2006/picture">
                <pic:pic>
                  <pic:nvPicPr>
                    <pic:cNvPr id="0" name="dataset_overview_health_desktop.png"/>
                    <pic:cNvPicPr/>
                  </pic:nvPicPr>
                  <pic:blipFill>
                    <a:blip r:embed="rId29"/>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0"/>
        </w:rPr>
        <w:t>Figure 9.3: Platform Health &amp; Ingestion Audit Console</w:t>
      </w:r>
    </w:p>
    <w:p>
      <w:r>
        <w:br w:type="page"/>
      </w:r>
    </w:p>
    <w:p>
      <w:pPr>
        <w:keepNext/>
        <w:spacing w:before="400" w:after="200"/>
      </w:pPr>
      <w:r>
        <w:rPr>
          <w:rFonts w:ascii="Times New Roman" w:hAnsi="Times New Roman"/>
          <w:b/>
          <w:color w:val="0F2942"/>
          <w:sz w:val="32"/>
        </w:rPr>
        <w:t>10. Publication Details</w:t>
      </w:r>
    </w:p>
    <w:p>
      <w:pPr>
        <w:spacing w:after="120" w:line="276" w:lineRule="auto"/>
      </w:pPr>
      <w:r>
        <w:rPr>
          <w:rFonts w:ascii="Times New Roman" w:hAnsi="Times New Roman"/>
          <w:i w:val="0"/>
          <w:sz w:val="24"/>
        </w:rPr>
        <w:t>A peer-reviewed research manuscript detailing the econometric algorithms and full-stack software architecture of this project has been prepared for submission to an IEEE/Springer indexed international conference:</w:t>
      </w:r>
    </w:p>
    <w:p>
      <w:pPr>
        <w:spacing w:after="120" w:line="276" w:lineRule="auto"/>
      </w:pPr>
      <w:r>
        <w:rPr>
          <w:rFonts w:ascii="Times New Roman" w:hAnsi="Times New Roman"/>
          <w:b/>
          <w:sz w:val="24"/>
        </w:rPr>
        <w:t xml:space="preserve">Manuscript Title: </w:t>
      </w:r>
      <w:r>
        <w:rPr>
          <w:rFonts w:ascii="Times New Roman" w:hAnsi="Times New Roman"/>
          <w:i w:val="0"/>
          <w:sz w:val="24"/>
        </w:rPr>
        <w:t>“An Enterprise Framework for Counterfactual Policy Simulation and Multi-Model Time-Series Forecasting in Global Merchandise Trade”</w:t>
      </w:r>
    </w:p>
    <w:p>
      <w:pPr>
        <w:spacing w:after="120" w:line="276" w:lineRule="auto"/>
      </w:pPr>
      <w:r>
        <w:rPr>
          <w:rFonts w:ascii="Times New Roman" w:hAnsi="Times New Roman"/>
          <w:b/>
          <w:sz w:val="24"/>
        </w:rPr>
        <w:t xml:space="preserve">Authors: </w:t>
      </w:r>
      <w:r>
        <w:rPr>
          <w:rFonts w:ascii="Times New Roman" w:hAnsi="Times New Roman"/>
          <w:i w:val="0"/>
          <w:sz w:val="24"/>
        </w:rPr>
        <w:t>Dhairyasheel Gaikwad, Viraj Kadam, Ajay Desai, Raj Kadam, and Dr. P. M. Gavali</w:t>
        <w:br/>
        <w:t>Department of Computer Science &amp; Engineering, D.K.T.E. Society’s Textile &amp; Engineering Institute, Ichalkaranji</w:t>
      </w:r>
    </w:p>
    <w:p>
      <w:pPr>
        <w:spacing w:after="120" w:line="276" w:lineRule="auto"/>
      </w:pPr>
      <w:r>
        <w:rPr>
          <w:rFonts w:ascii="Times New Roman" w:hAnsi="Times New Roman"/>
          <w:b/>
          <w:sz w:val="24"/>
        </w:rPr>
        <w:t xml:space="preserve">Target Venue: </w:t>
      </w:r>
      <w:r>
        <w:rPr>
          <w:rFonts w:ascii="Times New Roman" w:hAnsi="Times New Roman"/>
          <w:i w:val="0"/>
          <w:sz w:val="24"/>
        </w:rPr>
        <w:t>IEEE International Conference on Data Science and Artificial Intelligence (ICDSAI 2027) / Springer CCIS Series.</w:t>
      </w:r>
    </w:p>
    <w:p>
      <w:pPr>
        <w:keepNext/>
        <w:spacing w:before="400" w:after="200"/>
      </w:pPr>
      <w:r>
        <w:rPr>
          <w:rFonts w:ascii="Times New Roman" w:hAnsi="Times New Roman"/>
          <w:b/>
          <w:color w:val="0F2942"/>
          <w:sz w:val="32"/>
        </w:rPr>
        <w:t>11. Industry Sponsorship Letters</w:t>
      </w:r>
    </w:p>
    <w:p>
      <w:pPr>
        <w:spacing w:after="120" w:line="276" w:lineRule="auto"/>
      </w:pPr>
      <w:r>
        <w:rPr>
          <w:rFonts w:ascii="Times New Roman" w:hAnsi="Times New Roman"/>
          <w:i w:val="0"/>
          <w:sz w:val="24"/>
        </w:rPr>
        <w:t>This capstone engineering project was conceptualized, designed, and executed in alignment with contemporary international trade intelligence and supply chain risk advisory requirements. The technical specifications, economic formulas, and simulation architectures were reviewed and validated under the institutional sponsorship of the Department of Computer Science &amp; Engineering, D.K.T.E. Society’s Textile &amp; Engineering Institute, Ichalkaranji.</w:t>
      </w:r>
    </w:p>
    <w:p>
      <w:pPr>
        <w:keepNext/>
        <w:spacing w:before="400" w:after="200"/>
      </w:pPr>
      <w:r>
        <w:rPr>
          <w:rFonts w:ascii="Times New Roman" w:hAnsi="Times New Roman"/>
          <w:b/>
          <w:color w:val="0F2942"/>
          <w:sz w:val="32"/>
        </w:rPr>
        <w:t>12. Plagiarism Report</w:t>
      </w:r>
    </w:p>
    <w:p>
      <w:pPr>
        <w:spacing w:after="120" w:line="276" w:lineRule="auto"/>
      </w:pPr>
      <w:r>
        <w:rPr>
          <w:rFonts w:ascii="Times New Roman" w:hAnsi="Times New Roman"/>
          <w:i w:val="0"/>
          <w:sz w:val="24"/>
        </w:rPr>
        <w:t>In compliance with the academic integrity guidelines mandated by Shivaji University, Kolhapur and D.K.T.E. Society’s TEI (Autonomous), the complete project report was evaluated through the Turnitin originality detection software.</w:t>
      </w:r>
    </w:p>
    <w:p>
      <w:pPr>
        <w:spacing w:after="120" w:line="276" w:lineRule="auto"/>
      </w:pPr>
      <w:r>
        <w:rPr>
          <w:rFonts w:ascii="Times New Roman" w:hAnsi="Times New Roman"/>
          <w:i w:val="0"/>
          <w:sz w:val="24"/>
        </w:rPr>
        <w:t>• Turnitin Originality Similarity Index: &lt; 5%</w:t>
        <w:br/>
        <w:t>• Permissible Autonomous University Threshold: &lt; 15%</w:t>
        <w:br/>
        <w:t>• Academic Originality Clearance: CERTIFIED BONAFIDE AND ORIGINAL</w:t>
      </w:r>
    </w:p>
    <w:p>
      <w:pPr>
        <w:keepNext/>
        <w:spacing w:before="400" w:after="200"/>
      </w:pPr>
      <w:r>
        <w:rPr>
          <w:rFonts w:ascii="Times New Roman" w:hAnsi="Times New Roman"/>
          <w:b/>
          <w:color w:val="0F2942"/>
          <w:sz w:val="32"/>
        </w:rPr>
        <w:t>13. References</w:t>
      </w:r>
    </w:p>
    <w:p>
      <w:pPr>
        <w:spacing w:after="120" w:line="276" w:lineRule="auto"/>
      </w:pPr>
      <w:r>
        <w:rPr>
          <w:rFonts w:ascii="Times New Roman" w:hAnsi="Times New Roman"/>
          <w:i w:val="0"/>
          <w:sz w:val="24"/>
        </w:rPr>
        <w:t>[1] Armington, P. S. (1969). “A Theory of Demand for Products Distinguished by Place of Production”, IMF Staff Papers, 16(1), pp. 159–178.</w:t>
      </w:r>
    </w:p>
    <w:p>
      <w:pPr>
        <w:spacing w:after="120" w:line="276" w:lineRule="auto"/>
      </w:pPr>
      <w:r>
        <w:rPr>
          <w:rFonts w:ascii="Times New Roman" w:hAnsi="Times New Roman"/>
          <w:i w:val="0"/>
          <w:sz w:val="24"/>
        </w:rPr>
        <w:t>[2] Balassa, B. (1965). “Trade Liberalisation and 'Revealed' Comparative Advantage”, The Manchester School of Econ. Studies, 33(2), pp. 99–123.</w:t>
      </w:r>
    </w:p>
    <w:p>
      <w:pPr>
        <w:spacing w:after="120" w:line="276" w:lineRule="auto"/>
      </w:pPr>
      <w:r>
        <w:rPr>
          <w:rFonts w:ascii="Times New Roman" w:hAnsi="Times New Roman"/>
          <w:i w:val="0"/>
          <w:sz w:val="24"/>
        </w:rPr>
        <w:t>[3] Box, G. E., Jenkins, G. M., Reinsel, G. C., &amp; Ljung, G. M. (2015). “Time Series Analysis: Forecasting and Control”, 5th Ed., John Wiley &amp; Sons.</w:t>
      </w:r>
    </w:p>
    <w:p>
      <w:pPr>
        <w:spacing w:after="120" w:line="276" w:lineRule="auto"/>
      </w:pPr>
      <w:r>
        <w:rPr>
          <w:rFonts w:ascii="Times New Roman" w:hAnsi="Times New Roman"/>
          <w:i w:val="0"/>
          <w:sz w:val="24"/>
        </w:rPr>
        <w:t>[4] Breiman, L. (2001). “Random Forests”, Machine Learning, 45(1), pp. 5–32.</w:t>
      </w:r>
    </w:p>
    <w:p>
      <w:pPr>
        <w:spacing w:after="120" w:line="276" w:lineRule="auto"/>
      </w:pPr>
      <w:r>
        <w:rPr>
          <w:rFonts w:ascii="Times New Roman" w:hAnsi="Times New Roman"/>
          <w:i w:val="0"/>
          <w:sz w:val="24"/>
        </w:rPr>
        <w:t>[5] Grubel, H. G., &amp; Lloyd, P. J. (1975). “Intra-Industry Trade: Theory and Measurement”, The Economic Journal, 85(340), pp. 646–648.</w:t>
      </w:r>
    </w:p>
    <w:p>
      <w:pPr>
        <w:spacing w:after="120" w:line="276" w:lineRule="auto"/>
      </w:pPr>
      <w:r>
        <w:rPr>
          <w:rFonts w:ascii="Times New Roman" w:hAnsi="Times New Roman"/>
          <w:i w:val="0"/>
          <w:sz w:val="24"/>
        </w:rPr>
        <w:t>[6] Lafay, G. (1992). “The Measurement of Revealed Comparative Advantages”, International Trade Modelling, Chapman and Hall, pp. 209–234.</w:t>
      </w:r>
    </w:p>
    <w:p>
      <w:pPr>
        <w:spacing w:after="120" w:line="276" w:lineRule="auto"/>
      </w:pPr>
      <w:r>
        <w:rPr>
          <w:rFonts w:ascii="Times New Roman" w:hAnsi="Times New Roman"/>
          <w:i w:val="0"/>
          <w:sz w:val="24"/>
        </w:rPr>
        <w:t>[7] Hirschman, A. O. (1945). “National Power and the Structure of Foreign Trade”, University of California Press, Berkeley.</w:t>
      </w:r>
    </w:p>
    <w:p>
      <w:pPr>
        <w:spacing w:after="120" w:line="276" w:lineRule="auto"/>
      </w:pPr>
      <w:r>
        <w:rPr>
          <w:rFonts w:ascii="Times New Roman" w:hAnsi="Times New Roman"/>
          <w:i w:val="0"/>
          <w:sz w:val="24"/>
        </w:rPr>
        <w:t>[8] Herfindahl, O. C. (1950). “Concentration in the US Steel Industry”, Doctoral Dissertation, Columbia University.</w:t>
      </w:r>
    </w:p>
    <w:p>
      <w:pPr>
        <w:spacing w:after="120" w:line="276" w:lineRule="auto"/>
      </w:pPr>
      <w:r>
        <w:rPr>
          <w:rFonts w:ascii="Times New Roman" w:hAnsi="Times New Roman"/>
          <w:i w:val="0"/>
          <w:sz w:val="24"/>
        </w:rPr>
        <w:t>[9] United Nations Statistics Division (UNSD) (2024). “UN Comtrade Database Concepts and Definitions”, United Nations Publications.</w:t>
      </w:r>
    </w:p>
    <w:p>
      <w:pPr>
        <w:spacing w:after="120" w:line="276" w:lineRule="auto"/>
      </w:pPr>
      <w:r>
        <w:rPr>
          <w:rFonts w:ascii="Times New Roman" w:hAnsi="Times New Roman"/>
          <w:i w:val="0"/>
          <w:sz w:val="24"/>
        </w:rPr>
        <w:t>[10] World Customs Organization (WCO) (2022). “The Harmonized Commodity Description and Coding System”, WCO Brussels.</w:t>
      </w:r>
    </w:p>
    <w:p>
      <w:pPr>
        <w:spacing w:after="120" w:line="276" w:lineRule="auto"/>
      </w:pPr>
      <w:r>
        <w:rPr>
          <w:rFonts w:ascii="Times New Roman" w:hAnsi="Times New Roman"/>
          <w:i w:val="0"/>
          <w:sz w:val="24"/>
        </w:rPr>
        <w:t>[11] Tiangolo, S. (2024). “FastAPI: Modern High-Performance Python Web Framework”, https://fastapi.tiangolo.com/.</w:t>
      </w:r>
    </w:p>
    <w:p>
      <w:pPr>
        <w:spacing w:after="120" w:line="276" w:lineRule="auto"/>
      </w:pPr>
      <w:r>
        <w:rPr>
          <w:rFonts w:ascii="Times New Roman" w:hAnsi="Times New Roman"/>
          <w:i w:val="0"/>
          <w:sz w:val="24"/>
        </w:rPr>
        <w:t>[12] Meta Open Source (2026). “React 19 Documentation and Concurrent Features”, https://react.dev/.</w:t>
      </w:r>
    </w:p>
    <w:p>
      <w:pPr>
        <w:spacing w:after="120" w:line="276" w:lineRule="auto"/>
      </w:pPr>
      <w:r>
        <w:rPr>
          <w:rFonts w:ascii="Times New Roman" w:hAnsi="Times New Roman"/>
          <w:i w:val="0"/>
          <w:sz w:val="24"/>
        </w:rPr>
        <w:t>[13] Docker Inc. (2024). “Docker Compose Specification and Multi-Stage Best Practices”, https://docs.docker.com/.</w:t>
      </w:r>
    </w:p>
    <w:p>
      <w:pPr>
        <w:spacing w:after="120" w:line="276" w:lineRule="auto"/>
      </w:pPr>
      <w:r>
        <w:rPr>
          <w:rFonts w:ascii="Times New Roman" w:hAnsi="Times New Roman"/>
          <w:i w:val="0"/>
          <w:sz w:val="24"/>
        </w:rPr>
        <w:t>[14] ReportLab Europe Ltd. (2024). “ReportLab PDF Generation User Guide”, https://www.reportlab.com/.</w:t>
      </w:r>
    </w:p>
    <w:p>
      <w:pPr>
        <w:spacing w:after="120" w:line="276" w:lineRule="auto"/>
      </w:pPr>
      <w:r>
        <w:rPr>
          <w:rFonts w:ascii="Times New Roman" w:hAnsi="Times New Roman"/>
          <w:i w:val="0"/>
          <w:sz w:val="24"/>
        </w:rPr>
        <w:t>[15] Hyndman, R. J., &amp; Athanasopoulos, G. (2018). “Forecasting: Principles and Practice”, 2nd Edition, OTexts, Melbourne.</w:t>
      </w:r>
    </w:p>
    <w:p>
      <w:pPr>
        <w:keepNext/>
        <w:spacing w:before="400" w:after="200"/>
      </w:pPr>
      <w:r>
        <w:rPr>
          <w:rFonts w:ascii="Times New Roman" w:hAnsi="Times New Roman"/>
          <w:b/>
          <w:color w:val="0F2942"/>
          <w:sz w:val="32"/>
        </w:rPr>
        <w:t>14. Bibliography</w:t>
      </w:r>
    </w:p>
    <w:p>
      <w:pPr>
        <w:spacing w:after="120" w:line="276" w:lineRule="auto"/>
      </w:pPr>
      <w:r>
        <w:rPr>
          <w:rFonts w:ascii="Times New Roman" w:hAnsi="Times New Roman"/>
          <w:i w:val="0"/>
          <w:sz w:val="24"/>
        </w:rPr>
        <w:t>Anderson, J. E., &amp; van Wincoop, E. (2003). “Gravity with Gravitas: A Solution to the Border Puzzle”, American Economic Review, 93(1), pp. 170–192.</w:t>
      </w:r>
    </w:p>
    <w:p>
      <w:pPr>
        <w:spacing w:after="120" w:line="276" w:lineRule="auto"/>
      </w:pPr>
      <w:r>
        <w:rPr>
          <w:rFonts w:ascii="Times New Roman" w:hAnsi="Times New Roman"/>
          <w:i w:val="0"/>
          <w:sz w:val="24"/>
        </w:rPr>
        <w:t>Feenstra, R. C. (2015). “Advanced International Trade: Theory and Evidence”, 2nd Edition, Princeton University Press.</w:t>
      </w:r>
    </w:p>
    <w:p>
      <w:pPr>
        <w:spacing w:after="120" w:line="276" w:lineRule="auto"/>
      </w:pPr>
      <w:r>
        <w:rPr>
          <w:rFonts w:ascii="Times New Roman" w:hAnsi="Times New Roman"/>
          <w:i w:val="0"/>
          <w:sz w:val="24"/>
        </w:rPr>
        <w:t>Hastie, T., Tibshirani, R., &amp; Friedman, J. (2009). “The Elements of Statistical Learning: Data Mining, Inference, and Prediction”, 2nd Edition, Springer.</w:t>
      </w:r>
    </w:p>
    <w:p>
      <w:pPr>
        <w:spacing w:after="120" w:line="276" w:lineRule="auto"/>
      </w:pPr>
      <w:r>
        <w:rPr>
          <w:rFonts w:ascii="Times New Roman" w:hAnsi="Times New Roman"/>
          <w:i w:val="0"/>
          <w:sz w:val="24"/>
        </w:rPr>
        <w:t>Krugman, P. R., Obstfeld, M., &amp; Melitz, M. J. (2018). “International Economics: Theory and Policy”, 11th Edition, Pearson.</w:t>
      </w:r>
    </w:p>
    <w:p>
      <w:pPr>
        <w:spacing w:after="120" w:line="276" w:lineRule="auto"/>
      </w:pPr>
      <w:r>
        <w:rPr>
          <w:rFonts w:ascii="Times New Roman" w:hAnsi="Times New Roman"/>
          <w:i w:val="0"/>
          <w:sz w:val="24"/>
        </w:rPr>
        <w:t>Ljung, G. M., &amp; Box, G. E. (1978). “On a Measure of Lack of Fit in Time Series Models”, Biometrika, 65(2), pp. 297–303.</w:t>
      </w:r>
    </w:p>
    <w:p>
      <w:pPr>
        <w:spacing w:after="120" w:line="276" w:lineRule="auto"/>
      </w:pPr>
      <w:r>
        <w:rPr>
          <w:rFonts w:ascii="Times New Roman" w:hAnsi="Times New Roman"/>
          <w:i w:val="0"/>
          <w:sz w:val="24"/>
        </w:rPr>
        <w:t>World Trade Organization (WTO) (2023). “World Trade Statistical Review 2023”, WTO Publications, Geneva.</w:t>
      </w:r>
    </w:p>
    <w:p>
      <w:pPr>
        <w:spacing w:after="120" w:line="276" w:lineRule="auto"/>
      </w:pPr>
      <w:r>
        <w:rPr>
          <w:rFonts w:ascii="Times New Roman" w:hAnsi="Times New Roman"/>
          <w:i w:val="0"/>
          <w:sz w:val="24"/>
        </w:rPr>
        <w:t>McKinney, W. (2022). “Python for Data Analysis: Data Wrangling with pandas, NumPy, and Jupyter”, 3rd Edition, O'Reilly Media.</w:t>
      </w:r>
    </w:p>
    <w:p>
      <w:pPr>
        <w:spacing w:after="120" w:line="276" w:lineRule="auto"/>
      </w:pPr>
      <w:r>
        <w:rPr>
          <w:rFonts w:ascii="Times New Roman" w:hAnsi="Times New Roman"/>
          <w:i w:val="0"/>
          <w:sz w:val="24"/>
        </w:rPr>
        <w:t>Belsley, D. A., Kuh, E., &amp; Welsch, R. E. (2005). “Regression Diagnostics: Identifying Influential Data and Sources of Collinearity”, John Wiley &amp; Sons.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