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Times New Roman" w:hAnsi="Times New Roman"/>
          <w:b/>
          <w:sz w:val="28"/>
        </w:rPr>
        <w:t>A</w:t>
        <w:br/>
        <w:t>PROJECT REPORT</w:t>
        <w:br/>
        <w:t>ON</w:t>
        <w:br/>
      </w:r>
      <w:r>
        <w:rPr>
          <w:rFonts w:ascii="Times New Roman" w:hAnsi="Times New Roman"/>
          <w:b/>
          <w:color w:val="0F2942"/>
          <w:sz w:val="34"/>
        </w:rPr>
        <w:t>“GLOBAL TRADE ANALYTICS AND PREDICTIVE INTELLIGENCE PLATFORM”</w:t>
        <w:br/>
      </w:r>
    </w:p>
    <w:p>
      <w:pPr>
        <w:spacing w:after="280"/>
        <w:jc w:val="center"/>
      </w:pPr>
      <w:r>
        <w:rPr>
          <w:rFonts w:ascii="Times New Roman" w:hAnsi="Times New Roman"/>
          <w:b/>
          <w:sz w:val="24"/>
        </w:rPr>
        <w:t>SUBMITTED TO</w:t>
        <w:br/>
        <w:t>SHIVAJI UNIVERSITY, KOLHAPUR</w:t>
        <w:br/>
        <w:t>IN THE PARTIAL FULFILLMENT OF THE REQUIREMENT</w:t>
        <w:br/>
        <w:t>FOR THE AWARD OF DEGREE</w:t>
        <w:br/>
        <w:t>BACHELOR OF TECHNOLOGY IN COMPUTER SCIENCE AND ENGINEERING</w:t>
        <w:br/>
      </w:r>
    </w:p>
    <w:p>
      <w:pPr>
        <w:spacing w:after="200"/>
        <w:jc w:val="center"/>
      </w:pPr>
      <w:r>
        <w:rPr>
          <w:rFonts w:ascii="Times New Roman" w:hAnsi="Times New Roman"/>
          <w:b/>
          <w:sz w:val="24"/>
        </w:rPr>
        <w:t>SUBMITTED BY:</w:t>
        <w:br/>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Title</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Name of Student</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PRN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DHAIRYASHEEL GAIKWAD</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2103001</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PRATIK PATIL</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2103014</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SANIKA KULKARNI</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2103028</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ANANYA JOSHI</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2103042</w:t>
            </w:r>
          </w:p>
        </w:tc>
      </w:tr>
    </w:tbl>
    <w:p>
      <w:pPr>
        <w:spacing w:before="320" w:after="320"/>
        <w:jc w:val="center"/>
      </w:pPr>
      <w:r>
        <w:rPr>
          <w:rFonts w:ascii="Times New Roman" w:hAnsi="Times New Roman"/>
          <w:b/>
          <w:sz w:val="24"/>
        </w:rPr>
        <w:t>UNDER THE GUIDANCE OF</w:t>
        <w:br/>
      </w:r>
      <w:r>
        <w:rPr>
          <w:rFonts w:ascii="Times New Roman" w:hAnsi="Times New Roman"/>
          <w:b/>
          <w:color w:val="0F2942"/>
          <w:sz w:val="26"/>
        </w:rPr>
        <w:t>DR. P. M. GAVALI</w:t>
        <w:br/>
        <w:t>(Associate Professor, Dept. of CSE)</w:t>
      </w:r>
    </w:p>
    <w:p>
      <w:pPr>
        <w:spacing w:before="240" w:after="0"/>
        <w:jc w:val="center"/>
      </w:pPr>
      <w:r>
        <w:rPr>
          <w:rFonts w:ascii="Times New Roman" w:hAnsi="Times New Roman"/>
          <w:b/>
          <w:sz w:val="24"/>
        </w:rPr>
        <w:t>DEPARTMENT OF COMPUTER SCIENCE AND ENGINEERING</w:t>
        <w:br/>
        <w:t>DKTE SOCIETY’S TEXTILE AND ENGINEERING INSTITUTE, ICHALKARANJI</w:t>
        <w:br/>
        <w:t>(AN AUTONOMOUS INSTITUTE)</w:t>
        <w:br/>
        <w:t>2026-2027</w:t>
      </w:r>
    </w:p>
    <w:p>
      <w:r>
        <w:br w:type="page"/>
      </w:r>
    </w:p>
    <w:p>
      <w:pPr>
        <w:jc w:val="center"/>
      </w:pPr>
      <w:r>
        <w:rPr>
          <w:rFonts w:ascii="Times New Roman" w:hAnsi="Times New Roman"/>
          <w:b/>
          <w:sz w:val="26"/>
        </w:rPr>
        <w:t>D.K.T.E. SOCIETY’S</w:t>
        <w:br/>
        <w:t>TEXTILE AND ENGINEERING INSTITUTE, ICHALKARANJI</w:t>
        <w:br/>
        <w:t>(AN AUTONOMOUS INSTITUTE)</w:t>
        <w:br/>
        <w:t>DEPARTMENT OF COMPUTER SCIENCE &amp; ENGINEERING</w:t>
        <w:br/>
        <w:br/>
      </w:r>
      <w:r>
        <w:rPr>
          <w:rFonts w:ascii="Times New Roman" w:hAnsi="Times New Roman"/>
          <w:b/>
          <w:color w:val="0F2942"/>
          <w:sz w:val="36"/>
        </w:rPr>
        <w:t>CERTIFICATE</w:t>
        <w:br/>
      </w:r>
    </w:p>
    <w:p>
      <w:pPr>
        <w:spacing w:line="312" w:lineRule="auto" w:after="240"/>
      </w:pPr>
      <w:r>
        <w:rPr>
          <w:rFonts w:ascii="Times New Roman" w:hAnsi="Times New Roman"/>
          <w:sz w:val="24"/>
        </w:rPr>
        <w:t>This is to certify that, project work entitled “GLOBAL TRADE ANALYTICS AND PREDICTIVE INTELLIGENCE PLATFORM” is a bonafide record of project work carried out in this college by:</w:t>
        <w:br/>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Title</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Name of Student</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PRN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DHAIRYASHEEL GAIKWAD</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2103001</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PRATIK PATIL</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2103014</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SANIKA KULKARNI</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2103028</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ANANYA JOSHI</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2103042</w:t>
            </w:r>
          </w:p>
        </w:tc>
      </w:tr>
    </w:tbl>
    <w:p>
      <w:pPr>
        <w:spacing w:before="240" w:line="312" w:lineRule="auto"/>
      </w:pPr>
      <w:r>
        <w:rPr>
          <w:rFonts w:ascii="Times New Roman" w:hAnsi="Times New Roman"/>
          <w:sz w:val="24"/>
        </w:rPr>
        <w:t>is in the partial fulfillment of award of degree Bachelor of Technology in Computer Science &amp; Engineering prescribed by Shivaji University, Kolhapur for the academic year 2026-2027.</w:t>
      </w:r>
    </w:p>
    <w:p>
      <w:pPr>
        <w:spacing w:before="560" w:after="360"/>
      </w:pPr>
      <w:r>
        <w:rPr>
          <w:rFonts w:ascii="Times New Roman" w:hAnsi="Times New Roman"/>
          <w:b/>
          <w:sz w:val="22"/>
        </w:rPr>
        <w:t>DR. P. M. GAVALI</w:t>
        <w:br/>
        <w:t>(PROJECT GUIDE)</w:t>
        <w:br/>
        <w:br/>
        <w:br/>
        <w:t>PROF. (DR.) D. V. KODAVADE                  PROF. (DR.) L. S. ADMUTHE</w:t>
        <w:br/>
        <w:t>(HOD CSE DEPT.)                             (DIRECTOR)</w:t>
        <w:br/>
        <w:br/>
        <w:br/>
        <w:t>EXAMINER: ________________</w:t>
        <w:br/>
        <w:t xml:space="preserve">          ________________</w:t>
      </w:r>
    </w:p>
    <w:p>
      <w:r>
        <w:br w:type="page"/>
      </w:r>
    </w:p>
    <w:p>
      <w:pPr>
        <w:keepNext/>
        <w:spacing w:before="360" w:after="160"/>
      </w:pPr>
      <w:r>
        <w:rPr>
          <w:rFonts w:ascii="Times New Roman" w:hAnsi="Times New Roman"/>
          <w:b/>
          <w:color w:val="0F2942"/>
          <w:sz w:val="32"/>
        </w:rPr>
        <w:t>DECLARATION</w:t>
      </w:r>
    </w:p>
    <w:p>
      <w:pPr>
        <w:spacing w:after="120" w:line="276" w:lineRule="auto"/>
      </w:pPr>
      <w:r>
        <w:rPr>
          <w:rFonts w:ascii="Times New Roman" w:hAnsi="Times New Roman"/>
          <w:i w:val="0"/>
          <w:sz w:val="24"/>
        </w:rPr>
        <w:t>We hereby declare that, the project work report entitled “GLOBAL TRADE ANALYTICS AND PREDICTIVE INTELLIGENCE PLATFORM” which is being submitted to D.K.T.E. Society’s Textile and Engineering Institute Ichalkaranji, affiliated to Shivaji University,Kolhapur is in partial fulfillment of degree B.Tech.(CSE). It is a bonafide report of the work carried out by us. The material contained in this report has not been submitted to any university or institution for the award of any degree. Further, we declare that we have not violated any of the provisions under Copyright and Piracy / Cyber / IPR Act amended from time to time.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Title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Name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PRN</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Signature</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DHAIRYASHEEL GAIKWAD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2103001</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PRATIK PATIL</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2103014</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SANIKA KULKARNI</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2103028</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ANANYA JOSHI</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2103042</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bl>
    <w:p>
      <w:r>
        <w:br w:type="page"/>
      </w:r>
    </w:p>
    <w:p>
      <w:pPr>
        <w:keepNext/>
        <w:spacing w:before="360" w:after="160"/>
      </w:pPr>
      <w:r>
        <w:rPr>
          <w:rFonts w:ascii="Times New Roman" w:hAnsi="Times New Roman"/>
          <w:b/>
          <w:color w:val="0F2942"/>
          <w:sz w:val="32"/>
        </w:rPr>
        <w:t>ACKNOWLEDGEMENT</w:t>
      </w:r>
    </w:p>
    <w:p>
      <w:pPr>
        <w:spacing w:after="120" w:line="276" w:lineRule="auto"/>
      </w:pPr>
      <w:r>
        <w:rPr>
          <w:rFonts w:ascii="Times New Roman" w:hAnsi="Times New Roman"/>
          <w:i w:val="0"/>
          <w:sz w:val="24"/>
        </w:rPr>
        <w:t>With great pleasure we wish to express our deep sense of gratitude to Dr. P. M. Gavali for his valuable guidance, support, and encouragement in the completion of this project report.</w:t>
      </w:r>
    </w:p>
    <w:p>
      <w:pPr>
        <w:spacing w:after="120" w:line="276" w:lineRule="auto"/>
      </w:pPr>
      <w:r>
        <w:rPr>
          <w:rFonts w:ascii="Times New Roman" w:hAnsi="Times New Roman"/>
          <w:i w:val="0"/>
          <w:sz w:val="24"/>
        </w:rPr>
        <w:t>Also, we would like to take the opportunity to thank our head of department Dr. D. V. Kodavade for his cooperation in preparing this project report.</w:t>
      </w:r>
    </w:p>
    <w:p>
      <w:pPr>
        <w:spacing w:after="120" w:line="276" w:lineRule="auto"/>
      </w:pPr>
      <w:r>
        <w:rPr>
          <w:rFonts w:ascii="Times New Roman" w:hAnsi="Times New Roman"/>
          <w:i w:val="0"/>
          <w:sz w:val="24"/>
        </w:rPr>
        <w:t>We feel gratified to record our cordial thanks to other staff members of the Computer Science and Engineering Department for their support, help, and assistance which they extended as and when required.</w:t>
      </w:r>
    </w:p>
    <w:p>
      <w:pPr>
        <w:spacing w:before="360"/>
      </w:pPr>
      <w:r>
        <w:rPr>
          <w:rFonts w:ascii="Times New Roman" w:hAnsi="Times New Roman"/>
        </w:rPr>
        <w:t>Thank you,</w:t>
        <w:br/>
        <w:t>MR.   DHAIRYASHEEL GAIKWAD       2103001</w:t>
        <w:br/>
        <w:t>MR.   PRATIK PATIL               2103014</w:t>
        <w:br/>
        <w:t>MISS. SANIKA KULKARNI            2103028</w:t>
        <w:br/>
        <w:t>MISS. ANANYA JOSHI               2103042</w:t>
      </w:r>
    </w:p>
    <w:p>
      <w:r>
        <w:br w:type="page"/>
      </w:r>
    </w:p>
    <w:p>
      <w:pPr>
        <w:keepNext/>
        <w:spacing w:before="360" w:after="160"/>
      </w:pPr>
      <w:r>
        <w:rPr>
          <w:rFonts w:ascii="Times New Roman" w:hAnsi="Times New Roman"/>
          <w:b/>
          <w:color w:val="0F2942"/>
          <w:sz w:val="32"/>
        </w:rPr>
        <w:t>ABSTRACT</w:t>
      </w:r>
    </w:p>
    <w:p>
      <w:pPr>
        <w:spacing w:after="120" w:line="276" w:lineRule="auto"/>
      </w:pPr>
      <w:r>
        <w:rPr>
          <w:rFonts w:ascii="Times New Roman" w:hAnsi="Times New Roman"/>
          <w:i w:val="0"/>
          <w:sz w:val="24"/>
        </w:rPr>
        <w:t>Cross-border merchandise trade accounts for over $25 Trillion in annual transactions and serves as the primary engine of sovereign economic expansion and international supply chain security. Despite the vast repository governed by the United Nations Statistics Division (UN Comtrade), current analytical frameworks suffer from three severe limitations: data fragmentation across static files, absence of interactive counterfactual policy simulation tools for tariff shocks, and black-box time-series forecasting suffering from temporal lookahead data leakage.</w:t>
      </w:r>
    </w:p>
    <w:p>
      <w:pPr>
        <w:spacing w:after="120" w:line="276" w:lineRule="auto"/>
      </w:pPr>
      <w:r>
        <w:rPr>
          <w:rFonts w:ascii="Times New Roman" w:hAnsi="Times New Roman"/>
          <w:i w:val="0"/>
          <w:sz w:val="24"/>
        </w:rPr>
        <w:t>This project delivers the Global Trade Analytics and Predictive Intelligence Platform—a containerized full-stack enterprise architecture engineered using FastAPI (Python 3.12), React 19, SQLite with Write-Ahead Logging (WAL), and Nginx reverse proxying. The platform provides: (1) An automated data engineering pipeline enforcing composite deduplication (refYear, reporterISO, partnerISO, flowCode, cmdCode) with live UN Comtrade v1 REST API background synchronization; (2) Formal international trade economic indices including Lafay Trade Balance Index (TBI) [-100, +100], Balassa Revealed Comparative Advantage (RTA), Grubel-Lloyd intra-industry overlap (GLI), and Hirschman-Herfindahl concentration (HHI); (3) A 4-Model Machine Learning Forecasting Arena (Linear Regression OLS, 50-tree Random Forest, ARIMA Box-Jenkins with automated AIC minimization, and Holt-Winters ETS) delivering 2026–2030 recursive projections with compounding 95% confidence intervals and anti-leakage temporal feature shifts; (4) An Armington Elasticity Policy Simulator modeling ad-valorem tariff adjustments (-30% to +75%), consumer price pass-through, quantity contraction, customs revenue yields, and third-party trade diversion rankings; and (5) Executive reporting and risk anomaly alert engines generating ReportLab PDF dossiers and OpenPyXL financial models with automated SMTP outbox dispatch.</w:t>
      </w:r>
    </w:p>
    <w:p>
      <w:pPr>
        <w:spacing w:after="120" w:line="276" w:lineRule="auto"/>
      </w:pPr>
      <w:r>
        <w:rPr>
          <w:rFonts w:ascii="Times New Roman" w:hAnsi="Times New Roman"/>
          <w:i w:val="0"/>
          <w:sz w:val="24"/>
        </w:rPr>
        <w:t>The complete system is containerized via multi-stage Docker builds (&lt; 30 MB Nginx frontend runtime, non-root Python 3.12 execution) with 1-command deployment orchestration. The architecture is verified through 168 automated unit and integration tests achieving a 100% pass rate in 64.89 seconds.</w:t>
      </w:r>
    </w:p>
    <w:p>
      <w:r>
        <w:br w:type="page"/>
      </w:r>
    </w:p>
    <w:p>
      <w:pPr>
        <w:keepNext/>
        <w:spacing w:before="360" w:after="160"/>
      </w:pPr>
      <w:r>
        <w:rPr>
          <w:rFonts w:ascii="Times New Roman" w:hAnsi="Times New Roman"/>
          <w:b/>
          <w:color w:val="0F2942"/>
          <w:sz w:val="32"/>
        </w:rPr>
        <w:t>INDEX</w:t>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Section</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Chapter / Section Name</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Page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Introduction</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Introduction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Problem Statement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Objectives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Scope of the project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5</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Timeline of the project</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6</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Project Cost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7</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Literature Review</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9</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Literature overview</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9</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Comparative Study of Existing Solutions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12</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Research Gap Identified</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14</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Requirement analysis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16</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a. Requirement Gathering</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16</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b. Requirement Specification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17</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c. Use case Diagram</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20</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System design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23</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Architectural Design</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User Interface Design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26</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System Modeling</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28</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Dataflow Diagram</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28</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Sequence Diagram</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30</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Activity Diagram</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32</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Component Diagram</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34</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Deployment Diagram</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36</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Algorithmic description of each module</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38</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5</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Implementation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44</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a. Environmental Setting for Running the Project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44</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b. Detailed Description of Methods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46</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c. Implementation Details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49</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6</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Integration and Testing</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54</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Description of the Integration Modules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54</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 xml:space="preserve">  Testing</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56</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 xml:space="preserve">  Performance Analysis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59</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7</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Future Scope</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61</w:t>
            </w:r>
          </w:p>
        </w:tc>
      </w:tr>
    </w:tbl>
    <w:p>
      <w:r>
        <w:br w:type="page"/>
      </w:r>
    </w:p>
    <w:p>
      <w:pPr>
        <w:keepNext/>
        <w:spacing w:before="360" w:after="160"/>
      </w:pPr>
      <w:r>
        <w:rPr>
          <w:rFonts w:ascii="Times New Roman" w:hAnsi="Times New Roman"/>
          <w:b/>
          <w:color w:val="0F2942"/>
          <w:sz w:val="32"/>
        </w:rPr>
        <w:t>1. Introduction</w:t>
      </w:r>
    </w:p>
    <w:p>
      <w:pPr>
        <w:keepNext/>
        <w:spacing w:before="280" w:after="120"/>
      </w:pPr>
      <w:r>
        <w:rPr>
          <w:rFonts w:ascii="Times New Roman" w:hAnsi="Times New Roman"/>
          <w:b/>
          <w:color w:val="1E3A8A"/>
          <w:sz w:val="28"/>
        </w:rPr>
        <w:t>Introduction</w:t>
      </w:r>
    </w:p>
    <w:p>
      <w:pPr>
        <w:spacing w:after="120" w:line="276" w:lineRule="auto"/>
      </w:pPr>
      <w:r>
        <w:rPr>
          <w:rFonts w:ascii="Times New Roman" w:hAnsi="Times New Roman"/>
          <w:i w:val="0"/>
          <w:sz w:val="24"/>
        </w:rPr>
        <w:t>In the contemporary globalized economy, merchandise trade constitutes the primary driver of national economic expansion, industrial manufacturing employment, and foreign exchange reserves. Sovereign commerce ministries, international organizations (WTO, World Bank, IMF), commercial investment banks, and multinational logistics operators make multi-billion dollar capital allocation and hedging decisions based on trade volumes, bilateral balance discrepancies, and tariff barriers.</w:t>
      </w:r>
    </w:p>
    <w:p>
      <w:pPr>
        <w:spacing w:after="120" w:line="276" w:lineRule="auto"/>
      </w:pPr>
      <w:r>
        <w:rPr>
          <w:rFonts w:ascii="Times New Roman" w:hAnsi="Times New Roman"/>
          <w:i w:val="0"/>
          <w:sz w:val="24"/>
        </w:rPr>
        <w:t>The primary repository of global merchandise trade statistics is the United Nations Statistics Division (UNSD) Comtrade database, which aggregates customs data from 190 sovereign nations and territories. While UN Comtrade provides comprehensive historical coverage, analyzing these records presents severe software engineering challenges: datasets are massive, multidimensional, noisy, and subject to valuation asymmetries (FOB exports vs. CIF imports).</w:t>
      </w:r>
    </w:p>
    <w:p>
      <w:pPr>
        <w:keepNext/>
        <w:spacing w:before="280" w:after="120"/>
      </w:pPr>
      <w:r>
        <w:rPr>
          <w:rFonts w:ascii="Times New Roman" w:hAnsi="Times New Roman"/>
          <w:b/>
          <w:color w:val="1E3A8A"/>
          <w:sz w:val="28"/>
        </w:rPr>
        <w:t>Problem Statement</w:t>
      </w:r>
    </w:p>
    <w:p>
      <w:pPr>
        <w:spacing w:after="120" w:line="276" w:lineRule="auto"/>
      </w:pPr>
      <w:r>
        <w:rPr>
          <w:rFonts w:ascii="Times New Roman" w:hAnsi="Times New Roman"/>
          <w:i w:val="0"/>
          <w:sz w:val="24"/>
        </w:rPr>
        <w:t>Decision-makers face three fundamental obstacles when attempting to extract strategic intelligence from international trade data:</w:t>
      </w:r>
    </w:p>
    <w:p>
      <w:pPr>
        <w:pStyle w:val="ListBullet"/>
        <w:spacing w:after="80" w:line="276" w:lineRule="auto"/>
      </w:pPr>
      <w:r>
        <w:rPr>
          <w:rFonts w:ascii="Times New Roman" w:hAnsi="Times New Roman"/>
          <w:b/>
          <w:sz w:val="24"/>
        </w:rPr>
        <w:t xml:space="preserve">1. Analytical Fragmentation: </w:t>
      </w:r>
      <w:r>
        <w:rPr>
          <w:rFonts w:ascii="Times New Roman" w:hAnsi="Times New Roman"/>
          <w:sz w:val="24"/>
        </w:rPr>
        <w:t>Lack of unified platforms providing formalized macroeconomic indices such as Lafay TBI, Balassa RTA, Grubel-Lloyd GLI, and HHI.</w:t>
      </w:r>
    </w:p>
    <w:p>
      <w:pPr>
        <w:pStyle w:val="ListBullet"/>
        <w:spacing w:after="80" w:line="276" w:lineRule="auto"/>
      </w:pPr>
      <w:r>
        <w:rPr>
          <w:rFonts w:ascii="Times New Roman" w:hAnsi="Times New Roman"/>
          <w:b/>
          <w:sz w:val="24"/>
        </w:rPr>
        <w:t xml:space="preserve">2. Absence of Policy Simulation: </w:t>
      </w:r>
      <w:r>
        <w:rPr>
          <w:rFonts w:ascii="Times New Roman" w:hAnsi="Times New Roman"/>
          <w:sz w:val="24"/>
        </w:rPr>
        <w:t>Inability to simulate the quantitative impact of bilateral tariff escalations, price pass-through, and third-party trade diversion before policy enactment.</w:t>
      </w:r>
    </w:p>
    <w:p>
      <w:pPr>
        <w:pStyle w:val="ListBullet"/>
        <w:spacing w:after="80" w:line="276" w:lineRule="auto"/>
      </w:pPr>
      <w:r>
        <w:rPr>
          <w:rFonts w:ascii="Times New Roman" w:hAnsi="Times New Roman"/>
          <w:b/>
          <w:sz w:val="24"/>
        </w:rPr>
        <w:t xml:space="preserve">3. Flawed Forecasting Methodologies: </w:t>
      </w:r>
      <w:r>
        <w:rPr>
          <w:rFonts w:ascii="Times New Roman" w:hAnsi="Times New Roman"/>
          <w:sz w:val="24"/>
        </w:rPr>
        <w:t>Widespread prevalence of temporal data leakage in predictive models, coupled with an absence of multi-model benchmarking arenas that evaluate parsimony (AIC/BIC).</w:t>
      </w:r>
    </w:p>
    <w:p>
      <w:pPr>
        <w:keepNext/>
        <w:spacing w:before="280" w:after="120"/>
      </w:pPr>
      <w:r>
        <w:rPr>
          <w:rFonts w:ascii="Times New Roman" w:hAnsi="Times New Roman"/>
          <w:b/>
          <w:color w:val="1E3A8A"/>
          <w:sz w:val="28"/>
        </w:rPr>
        <w:t>Objectives</w:t>
      </w:r>
    </w:p>
    <w:p>
      <w:pPr>
        <w:pStyle w:val="ListBullet"/>
        <w:spacing w:after="80" w:line="276" w:lineRule="auto"/>
      </w:pPr>
      <w:r>
        <w:rPr>
          <w:rFonts w:ascii="Times New Roman" w:hAnsi="Times New Roman"/>
          <w:b/>
          <w:sz w:val="24"/>
        </w:rPr>
        <w:t xml:space="preserve">Objective 1: </w:t>
      </w:r>
      <w:r>
        <w:rPr>
          <w:rFonts w:ascii="Times New Roman" w:hAnsi="Times New Roman"/>
          <w:sz w:val="24"/>
        </w:rPr>
        <w:t>Build an automated ingestion pipeline with composite deduplication and live UN Comtrade REST API synchronization.</w:t>
      </w:r>
    </w:p>
    <w:p>
      <w:pPr>
        <w:pStyle w:val="ListBullet"/>
        <w:spacing w:after="80" w:line="276" w:lineRule="auto"/>
      </w:pPr>
      <w:r>
        <w:rPr>
          <w:rFonts w:ascii="Times New Roman" w:hAnsi="Times New Roman"/>
          <w:b/>
          <w:sz w:val="24"/>
        </w:rPr>
        <w:t xml:space="preserve">Objective 2: </w:t>
      </w:r>
      <w:r>
        <w:rPr>
          <w:rFonts w:ascii="Times New Roman" w:hAnsi="Times New Roman"/>
          <w:sz w:val="24"/>
        </w:rPr>
        <w:t>Implement peer-reviewed international economic indices (Lafay TBI, Balassa RTA, Grubel-Lloyd GLI, HHI).</w:t>
      </w:r>
    </w:p>
    <w:p>
      <w:pPr>
        <w:pStyle w:val="ListBullet"/>
        <w:spacing w:after="80" w:line="276" w:lineRule="auto"/>
      </w:pPr>
      <w:r>
        <w:rPr>
          <w:rFonts w:ascii="Times New Roman" w:hAnsi="Times New Roman"/>
          <w:b/>
          <w:sz w:val="24"/>
        </w:rPr>
        <w:t xml:space="preserve">Objective 3: </w:t>
      </w:r>
      <w:r>
        <w:rPr>
          <w:rFonts w:ascii="Times New Roman" w:hAnsi="Times New Roman"/>
          <w:sz w:val="24"/>
        </w:rPr>
        <w:t>Construct a 4-Model Machine Learning Forecasting Arena (OLS, Random Forest, ARIMA Box-Jenkins, Holt-Winters ETS) with 2026–2030 projections and compounding 95% confidence intervals.</w:t>
      </w:r>
    </w:p>
    <w:p>
      <w:pPr>
        <w:pStyle w:val="ListBullet"/>
        <w:spacing w:after="80" w:line="276" w:lineRule="auto"/>
      </w:pPr>
      <w:r>
        <w:rPr>
          <w:rFonts w:ascii="Times New Roman" w:hAnsi="Times New Roman"/>
          <w:b/>
          <w:sz w:val="24"/>
        </w:rPr>
        <w:t xml:space="preserve">Objective 4: </w:t>
      </w:r>
      <w:r>
        <w:rPr>
          <w:rFonts w:ascii="Times New Roman" w:hAnsi="Times New Roman"/>
          <w:sz w:val="24"/>
        </w:rPr>
        <w:t>Implement an Armington elasticity policy simulator modeling tariff shocks, price pass-through, and trade diversion.</w:t>
      </w:r>
    </w:p>
    <w:p>
      <w:pPr>
        <w:pStyle w:val="ListBullet"/>
        <w:spacing w:after="80" w:line="276" w:lineRule="auto"/>
      </w:pPr>
      <w:r>
        <w:rPr>
          <w:rFonts w:ascii="Times New Roman" w:hAnsi="Times New Roman"/>
          <w:b/>
          <w:sz w:val="24"/>
        </w:rPr>
        <w:t xml:space="preserve">Objective 5: </w:t>
      </w:r>
      <w:r>
        <w:rPr>
          <w:rFonts w:ascii="Times New Roman" w:hAnsi="Times New Roman"/>
          <w:sz w:val="24"/>
        </w:rPr>
        <w:t>Develop automated executive PDF (ReportLab) and Excel (OpenPyXL) report generation alongside anomaly alert threshold monitoring.</w:t>
      </w:r>
    </w:p>
    <w:p>
      <w:pPr>
        <w:pStyle w:val="ListBullet"/>
        <w:spacing w:after="80" w:line="276" w:lineRule="auto"/>
      </w:pPr>
      <w:r>
        <w:rPr>
          <w:rFonts w:ascii="Times New Roman" w:hAnsi="Times New Roman"/>
          <w:b/>
          <w:sz w:val="24"/>
        </w:rPr>
        <w:t xml:space="preserve">Objective 6: </w:t>
      </w:r>
      <w:r>
        <w:rPr>
          <w:rFonts w:ascii="Times New Roman" w:hAnsi="Times New Roman"/>
          <w:sz w:val="24"/>
        </w:rPr>
        <w:t>Package the system into multi-stage Docker containers with Nginx reverse proxying and achieve 100% test pass rate across 168 tests.</w:t>
      </w:r>
    </w:p>
    <w:p>
      <w:pPr>
        <w:keepNext/>
        <w:spacing w:before="280" w:after="120"/>
      </w:pPr>
      <w:r>
        <w:rPr>
          <w:rFonts w:ascii="Times New Roman" w:hAnsi="Times New Roman"/>
          <w:b/>
          <w:color w:val="1E3A8A"/>
          <w:sz w:val="28"/>
        </w:rPr>
        <w:t>Scope of the project</w:t>
      </w:r>
    </w:p>
    <w:p>
      <w:pPr>
        <w:spacing w:after="120" w:line="276" w:lineRule="auto"/>
      </w:pPr>
      <w:r>
        <w:rPr>
          <w:rFonts w:ascii="Times New Roman" w:hAnsi="Times New Roman"/>
          <w:i w:val="0"/>
          <w:sz w:val="24"/>
        </w:rPr>
        <w:t>The scope spans 190 sovereign states, historical data from 2014–2025 (4,877 verified tuples), and 5-year forecast horizons (2026–2030). The platform includes 11 full-stack interactive module pages, stateless JWT security, and 1-command Docker orchestration.</w:t>
      </w:r>
    </w:p>
    <w:p>
      <w:pPr>
        <w:keepNext/>
        <w:spacing w:before="280" w:after="120"/>
      </w:pPr>
      <w:r>
        <w:rPr>
          <w:rFonts w:ascii="Times New Roman" w:hAnsi="Times New Roman"/>
          <w:b/>
          <w:color w:val="1E3A8A"/>
          <w:sz w:val="28"/>
        </w:rPr>
        <w:t>Timeline of the project</w:t>
      </w:r>
    </w:p>
    <w:p>
      <w:pPr>
        <w:spacing w:after="120" w:line="276" w:lineRule="auto"/>
      </w:pPr>
      <w:r>
        <w:rPr>
          <w:rFonts w:ascii="Times New Roman" w:hAnsi="Times New Roman"/>
          <w:i w:val="0"/>
          <w:sz w:val="24"/>
        </w:rPr>
        <w:t>The project was executed across 14 development phases from August 2026 to April 2027, covering dataset engineering, backend microservices, React visualization, machine learning integration, policy simulation, executive reporting, automated alerting, and Docker deployment.</w:t>
      </w:r>
    </w:p>
    <w:p>
      <w:pPr>
        <w:keepNext/>
        <w:spacing w:before="280" w:after="120"/>
      </w:pPr>
      <w:r>
        <w:rPr>
          <w:rFonts w:ascii="Times New Roman" w:hAnsi="Times New Roman"/>
          <w:b/>
          <w:color w:val="1E3A8A"/>
          <w:sz w:val="28"/>
        </w:rPr>
        <w:t>Project Cost</w:t>
      </w:r>
    </w:p>
    <w:p>
      <w:pPr>
        <w:spacing w:after="120" w:line="276" w:lineRule="auto"/>
      </w:pPr>
      <w:r>
        <w:rPr>
          <w:rFonts w:ascii="Times New Roman" w:hAnsi="Times New Roman"/>
          <w:i w:val="0"/>
          <w:sz w:val="24"/>
        </w:rPr>
        <w:t>By utilizing modern open-source technologies (FastAPI, React 19, SQLite WAL, Scikit-learn, ReportLab, Docker), the platform achieves zero software licensing costs, compared to commercial terminals (Bloomberg/Refinitiv costing $25,000+/year) or proprietary enterprise BI stacks.</w:t>
      </w:r>
    </w:p>
    <w:p>
      <w:r>
        <w:br w:type="page"/>
      </w:r>
    </w:p>
    <w:p>
      <w:pPr>
        <w:keepNext/>
        <w:spacing w:before="360" w:after="160"/>
      </w:pPr>
      <w:r>
        <w:rPr>
          <w:rFonts w:ascii="Times New Roman" w:hAnsi="Times New Roman"/>
          <w:b/>
          <w:color w:val="0F2942"/>
          <w:sz w:val="32"/>
        </w:rPr>
        <w:t>2. Literature Review</w:t>
      </w:r>
    </w:p>
    <w:p>
      <w:pPr>
        <w:keepNext/>
        <w:spacing w:before="280" w:after="120"/>
      </w:pPr>
      <w:r>
        <w:rPr>
          <w:rFonts w:ascii="Times New Roman" w:hAnsi="Times New Roman"/>
          <w:b/>
          <w:color w:val="1E3A8A"/>
          <w:sz w:val="28"/>
        </w:rPr>
        <w:t>Literature overview</w:t>
      </w:r>
    </w:p>
    <w:p>
      <w:pPr>
        <w:spacing w:after="120" w:line="276" w:lineRule="auto"/>
      </w:pPr>
      <w:r>
        <w:rPr>
          <w:rFonts w:ascii="Times New Roman" w:hAnsi="Times New Roman"/>
          <w:i w:val="0"/>
          <w:sz w:val="24"/>
        </w:rPr>
        <w:t>The project integrates six foundational theoretical frameworks across trade economics and predictive data science:</w:t>
      </w:r>
    </w:p>
    <w:p>
      <w:pPr>
        <w:pStyle w:val="ListBullet"/>
        <w:spacing w:after="80" w:line="276" w:lineRule="auto"/>
      </w:pPr>
      <w:r>
        <w:rPr>
          <w:rFonts w:ascii="Times New Roman" w:hAnsi="Times New Roman"/>
          <w:b/>
          <w:sz w:val="24"/>
        </w:rPr>
        <w:t xml:space="preserve">1. Armington Elasticity Framework (Armington, 1969): </w:t>
      </w:r>
      <w:r>
        <w:rPr>
          <w:rFonts w:ascii="Times New Roman" w:hAnsi="Times New Roman"/>
          <w:sz w:val="24"/>
        </w:rPr>
        <w:t>Products differentiated by country of origin. Models import demand contraction (%ΔQ = ε_d * ΔP) and third-party trade diversion.</w:t>
      </w:r>
    </w:p>
    <w:p>
      <w:pPr>
        <w:pStyle w:val="ListBullet"/>
        <w:spacing w:after="80" w:line="276" w:lineRule="auto"/>
      </w:pPr>
      <w:r>
        <w:rPr>
          <w:rFonts w:ascii="Times New Roman" w:hAnsi="Times New Roman"/>
          <w:b/>
          <w:sz w:val="24"/>
        </w:rPr>
        <w:t xml:space="preserve">2. Revealed Comparative Advantage (Balassa, 1965): </w:t>
      </w:r>
      <w:r>
        <w:rPr>
          <w:rFonts w:ascii="Times New Roman" w:hAnsi="Times New Roman"/>
          <w:sz w:val="24"/>
        </w:rPr>
        <w:t>Evaluates sovereign export specialization without requiring unobservable cost data: RCA_ik = (X_ik / ΣX_ik) / (ΣX_ik / ΣΣX_ik).</w:t>
      </w:r>
    </w:p>
    <w:p>
      <w:pPr>
        <w:pStyle w:val="ListBullet"/>
        <w:spacing w:after="80" w:line="276" w:lineRule="auto"/>
      </w:pPr>
      <w:r>
        <w:rPr>
          <w:rFonts w:ascii="Times New Roman" w:hAnsi="Times New Roman"/>
          <w:b/>
          <w:sz w:val="24"/>
        </w:rPr>
        <w:t xml:space="preserve">3. Lafay Trade Balance Index (Lafay, 1992): </w:t>
      </w:r>
      <w:r>
        <w:rPr>
          <w:rFonts w:ascii="Times New Roman" w:hAnsi="Times New Roman"/>
          <w:sz w:val="24"/>
        </w:rPr>
        <w:t>Normalized scale-invariant trade balance: TBI_ij = ((X_ij - M_ij) / (X_ij + M_ij)) * 100 in [-100, +100].</w:t>
      </w:r>
    </w:p>
    <w:p>
      <w:pPr>
        <w:pStyle w:val="ListBullet"/>
        <w:spacing w:after="80" w:line="276" w:lineRule="auto"/>
      </w:pPr>
      <w:r>
        <w:rPr>
          <w:rFonts w:ascii="Times New Roman" w:hAnsi="Times New Roman"/>
          <w:b/>
          <w:sz w:val="24"/>
        </w:rPr>
        <w:t xml:space="preserve">4. Grubel-Lloyd Index (Grubel &amp; Lloyd, 1975): </w:t>
      </w:r>
      <w:r>
        <w:rPr>
          <w:rFonts w:ascii="Times New Roman" w:hAnsi="Times New Roman"/>
          <w:sz w:val="24"/>
        </w:rPr>
        <w:t>Quantifies intra-industry macro trade overlap: GLI_ik = 1 - (|X_ik - M_ik| / (X_ik + M_ik)) in [0.0, 1.0].</w:t>
      </w:r>
    </w:p>
    <w:p>
      <w:pPr>
        <w:pStyle w:val="ListBullet"/>
        <w:spacing w:after="80" w:line="276" w:lineRule="auto"/>
      </w:pPr>
      <w:r>
        <w:rPr>
          <w:rFonts w:ascii="Times New Roman" w:hAnsi="Times New Roman"/>
          <w:b/>
          <w:sz w:val="24"/>
        </w:rPr>
        <w:t xml:space="preserve">5. Hirschman-Herfindahl Concentration Index (1950): </w:t>
      </w:r>
      <w:r>
        <w:rPr>
          <w:rFonts w:ascii="Times New Roman" w:hAnsi="Times New Roman"/>
          <w:sz w:val="24"/>
        </w:rPr>
        <w:t>Evaluates market concentration and export vulnerability: HHI_i = Σ (s_ij)^2.</w:t>
      </w:r>
    </w:p>
    <w:p>
      <w:pPr>
        <w:pStyle w:val="ListBullet"/>
        <w:spacing w:after="80" w:line="276" w:lineRule="auto"/>
      </w:pPr>
      <w:r>
        <w:rPr>
          <w:rFonts w:ascii="Times New Roman" w:hAnsi="Times New Roman"/>
          <w:b/>
          <w:sz w:val="24"/>
        </w:rPr>
        <w:t xml:space="preserve">6. Box-Jenkins ARIMA Modeling (1970): </w:t>
      </w:r>
      <w:r>
        <w:rPr>
          <w:rFonts w:ascii="Times New Roman" w:hAnsi="Times New Roman"/>
          <w:sz w:val="24"/>
        </w:rPr>
        <w:t>Univariate time series state-space models with automated AIC parsimony search: AIC = 2k - 2ln(L).</w:t>
      </w:r>
    </w:p>
    <w:p>
      <w:pPr>
        <w:keepNext/>
        <w:spacing w:before="280" w:after="120"/>
      </w:pPr>
      <w:r>
        <w:rPr>
          <w:rFonts w:ascii="Times New Roman" w:hAnsi="Times New Roman"/>
          <w:b/>
          <w:color w:val="1E3A8A"/>
          <w:sz w:val="28"/>
        </w:rPr>
        <w:t>Comparative Study of Existing Solutions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Feature / Criterion</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UN Comtrade Portal</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World Bank WITS</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Generic BI (Tableau)</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Our Platform</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Automated Live Sync</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Manual CSV download</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Static queries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Pre-aggregated sync</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Async REST Worker</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Interactive Vector Map</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None (Tables)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Static SVG</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Requires custom GIS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Offline TopoJSON Map</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Trade Indices (TBI/RTA)</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Delayed RTA</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Manual formulas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Built-in Real-Time</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Forecasting Arena</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Linear trendline only</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4 Models + AIC/BIC</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Policy Tariff Simulation</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Static CGE models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Armington Simulator</w:t>
            </w:r>
          </w:p>
        </w:tc>
      </w:tr>
    </w:tbl>
    <w:p>
      <w:pPr>
        <w:keepNext/>
        <w:spacing w:before="280" w:after="120"/>
      </w:pPr>
      <w:r>
        <w:rPr>
          <w:rFonts w:ascii="Times New Roman" w:hAnsi="Times New Roman"/>
          <w:b/>
          <w:color w:val="1E3A8A"/>
          <w:sz w:val="28"/>
        </w:rPr>
        <w:t>Research Gap Identified</w:t>
      </w:r>
    </w:p>
    <w:p>
      <w:pPr>
        <w:spacing w:after="120" w:line="276" w:lineRule="auto"/>
      </w:pPr>
      <w:r>
        <w:rPr>
          <w:rFonts w:ascii="Times New Roman" w:hAnsi="Times New Roman"/>
          <w:i w:val="0"/>
          <w:sz w:val="24"/>
        </w:rPr>
        <w:t>Existing systems fail to provide lightweight, interactive counterfactual tariff simulation tools. Furthermore, machine learning studies in international trade frequently commit lookahead temporal data leakage by using unshifted rolling averages or random cross-validation. This project bridges these gaps by enforcing strict chronological validation, automated AIC/BIC benchmarking, and instant PDF reporting.</w:t>
      </w:r>
    </w:p>
    <w:p>
      <w:r>
        <w:br w:type="page"/>
      </w:r>
    </w:p>
    <w:p>
      <w:pPr>
        <w:keepNext/>
        <w:spacing w:before="360" w:after="160"/>
      </w:pPr>
      <w:r>
        <w:rPr>
          <w:rFonts w:ascii="Times New Roman" w:hAnsi="Times New Roman"/>
          <w:b/>
          <w:color w:val="0F2942"/>
          <w:sz w:val="32"/>
        </w:rPr>
        <w:t>3. Requirement analysis</w:t>
      </w:r>
    </w:p>
    <w:p>
      <w:pPr>
        <w:keepNext/>
        <w:spacing w:before="280" w:after="120"/>
      </w:pPr>
      <w:r>
        <w:rPr>
          <w:rFonts w:ascii="Times New Roman" w:hAnsi="Times New Roman"/>
          <w:b/>
          <w:color w:val="1E3A8A"/>
          <w:sz w:val="28"/>
        </w:rPr>
        <w:t>a. Requirement Gathering</w:t>
      </w:r>
    </w:p>
    <w:p>
      <w:pPr>
        <w:spacing w:after="120" w:line="276" w:lineRule="auto"/>
      </w:pPr>
      <w:r>
        <w:rPr>
          <w:rFonts w:ascii="Times New Roman" w:hAnsi="Times New Roman"/>
          <w:i w:val="0"/>
          <w:sz w:val="24"/>
        </w:rPr>
        <w:t>Requirements were synthesized through structured interviews with trade policy researchers, corporate supply chain risk managers, and quantitative macro analysts. Stakeholders requested real-time spatial visualization, 2026–2030 projections with confidence intervals, and automated executive PDF briefings.</w:t>
      </w:r>
    </w:p>
    <w:p>
      <w:pPr>
        <w:keepNext/>
        <w:spacing w:before="280" w:after="120"/>
      </w:pPr>
      <w:r>
        <w:rPr>
          <w:rFonts w:ascii="Times New Roman" w:hAnsi="Times New Roman"/>
          <w:b/>
          <w:color w:val="1E3A8A"/>
          <w:sz w:val="28"/>
        </w:rPr>
        <w:t>b. Requirement Specification</w:t>
      </w:r>
    </w:p>
    <w:p>
      <w:pPr>
        <w:pStyle w:val="ListBullet"/>
        <w:spacing w:after="80" w:line="276" w:lineRule="auto"/>
      </w:pPr>
      <w:r>
        <w:rPr>
          <w:rFonts w:ascii="Times New Roman" w:hAnsi="Times New Roman"/>
          <w:b/>
          <w:sz w:val="24"/>
        </w:rPr>
        <w:t xml:space="preserve">FR1 (Data Pipeline): </w:t>
      </w:r>
      <w:r>
        <w:rPr>
          <w:rFonts w:ascii="Times New Roman" w:hAnsi="Times New Roman"/>
          <w:sz w:val="24"/>
        </w:rPr>
        <w:t>Ingest and sanitize UN Comtrade data; enforce 5-tuple composite key (refYear, reporterISO, partnerISO, flowCode, cmdCode).</w:t>
      </w:r>
    </w:p>
    <w:p>
      <w:pPr>
        <w:pStyle w:val="ListBullet"/>
        <w:spacing w:after="80" w:line="276" w:lineRule="auto"/>
      </w:pPr>
      <w:r>
        <w:rPr>
          <w:rFonts w:ascii="Times New Roman" w:hAnsi="Times New Roman"/>
          <w:b/>
          <w:sz w:val="24"/>
        </w:rPr>
        <w:t xml:space="preserve">FR2 (Analytics Filtering): </w:t>
      </w:r>
      <w:r>
        <w:rPr>
          <w:rFonts w:ascii="Times New Roman" w:hAnsi="Times New Roman"/>
          <w:sz w:val="24"/>
        </w:rPr>
        <w:t>Multi-dimensional temporal, reporter, partner, and commodity filtering.</w:t>
      </w:r>
    </w:p>
    <w:p>
      <w:pPr>
        <w:pStyle w:val="ListBullet"/>
        <w:spacing w:after="80" w:line="276" w:lineRule="auto"/>
      </w:pPr>
      <w:r>
        <w:rPr>
          <w:rFonts w:ascii="Times New Roman" w:hAnsi="Times New Roman"/>
          <w:b/>
          <w:sz w:val="24"/>
        </w:rPr>
        <w:t xml:space="preserve">FR3 (Geospatial Map): </w:t>
      </w:r>
      <w:r>
        <w:rPr>
          <w:rFonts w:ascii="Times New Roman" w:hAnsi="Times New Roman"/>
          <w:sz w:val="24"/>
        </w:rPr>
        <w:t>Offline TopoJSON vector choropleth map with slide-out country dossier drawers.</w:t>
      </w:r>
    </w:p>
    <w:p>
      <w:pPr>
        <w:pStyle w:val="ListBullet"/>
        <w:spacing w:after="80" w:line="276" w:lineRule="auto"/>
      </w:pPr>
      <w:r>
        <w:rPr>
          <w:rFonts w:ascii="Times New Roman" w:hAnsi="Times New Roman"/>
          <w:b/>
          <w:sz w:val="24"/>
        </w:rPr>
        <w:t xml:space="preserve">FR4 (Trade Indices): </w:t>
      </w:r>
      <w:r>
        <w:rPr>
          <w:rFonts w:ascii="Times New Roman" w:hAnsi="Times New Roman"/>
          <w:sz w:val="24"/>
        </w:rPr>
        <w:t>Compute Lafay TBI, Balassa RTA, Grubel-Lloyd GLI, and HHI with zero-division guards.</w:t>
      </w:r>
    </w:p>
    <w:p>
      <w:pPr>
        <w:pStyle w:val="ListBullet"/>
        <w:spacing w:after="80" w:line="276" w:lineRule="auto"/>
      </w:pPr>
      <w:r>
        <w:rPr>
          <w:rFonts w:ascii="Times New Roman" w:hAnsi="Times New Roman"/>
          <w:b/>
          <w:sz w:val="24"/>
        </w:rPr>
        <w:t xml:space="preserve">FR5 (Forecasting Arena): </w:t>
      </w:r>
      <w:r>
        <w:rPr>
          <w:rFonts w:ascii="Times New Roman" w:hAnsi="Times New Roman"/>
          <w:sz w:val="24"/>
        </w:rPr>
        <w:t>Benchmark OLS, Random Forest, ARIMA, and Holt-Winters ETS in an interactive arena with AIC/BIC.</w:t>
      </w:r>
    </w:p>
    <w:p>
      <w:pPr>
        <w:pStyle w:val="ListBullet"/>
        <w:spacing w:after="80" w:line="276" w:lineRule="auto"/>
      </w:pPr>
      <w:r>
        <w:rPr>
          <w:rFonts w:ascii="Times New Roman" w:hAnsi="Times New Roman"/>
          <w:b/>
          <w:sz w:val="24"/>
        </w:rPr>
        <w:t xml:space="preserve">FR6 (Policy Simulator): </w:t>
      </w:r>
      <w:r>
        <w:rPr>
          <w:rFonts w:ascii="Times New Roman" w:hAnsi="Times New Roman"/>
          <w:sz w:val="24"/>
        </w:rPr>
        <w:t>Execute counterfactual Armington tariff shock simulations modeling diversion and customs revenue.</w:t>
      </w:r>
    </w:p>
    <w:p>
      <w:pPr>
        <w:pStyle w:val="ListBullet"/>
        <w:spacing w:after="80" w:line="276" w:lineRule="auto"/>
      </w:pPr>
      <w:r>
        <w:rPr>
          <w:rFonts w:ascii="Times New Roman" w:hAnsi="Times New Roman"/>
          <w:b/>
          <w:sz w:val="24"/>
        </w:rPr>
        <w:t xml:space="preserve">FR7 (Executive Reporting): </w:t>
      </w:r>
      <w:r>
        <w:rPr>
          <w:rFonts w:ascii="Times New Roman" w:hAnsi="Times New Roman"/>
          <w:sz w:val="24"/>
        </w:rPr>
        <w:t>Programmatic compilation of ReportLab PDF dossiers and OpenPyXL Excel models.</w:t>
      </w:r>
    </w:p>
    <w:p>
      <w:pPr>
        <w:pStyle w:val="ListBullet"/>
        <w:spacing w:after="80" w:line="276" w:lineRule="auto"/>
      </w:pPr>
      <w:r>
        <w:rPr>
          <w:rFonts w:ascii="Times New Roman" w:hAnsi="Times New Roman"/>
          <w:b/>
          <w:sz w:val="24"/>
        </w:rPr>
        <w:t xml:space="preserve">FR8 (Risk Alerts Engine): </w:t>
      </w:r>
      <w:r>
        <w:rPr>
          <w:rFonts w:ascii="Times New Roman" w:hAnsi="Times New Roman"/>
          <w:sz w:val="24"/>
        </w:rPr>
        <w:t>Anomaly rule engine monitoring YoY deficit spikes and contractions with deduplicated SMTP notifications.</w:t>
      </w:r>
    </w:p>
    <w:p>
      <w:pPr>
        <w:pStyle w:val="ListBullet"/>
        <w:spacing w:after="80" w:line="276" w:lineRule="auto"/>
      </w:pPr>
      <w:r>
        <w:rPr>
          <w:rFonts w:ascii="Times New Roman" w:hAnsi="Times New Roman"/>
          <w:b/>
          <w:sz w:val="24"/>
        </w:rPr>
        <w:t xml:space="preserve">FR9 (Security &amp; RBAC): </w:t>
      </w:r>
      <w:r>
        <w:rPr>
          <w:rFonts w:ascii="Times New Roman" w:hAnsi="Times New Roman"/>
          <w:sz w:val="24"/>
        </w:rPr>
        <w:t>Stateless JWT authentication (HS256) with role-based access control (ADMIN vs USER).</w:t>
      </w:r>
    </w:p>
    <w:p>
      <w:pPr>
        <w:pStyle w:val="ListBullet"/>
        <w:spacing w:after="80" w:line="276" w:lineRule="auto"/>
      </w:pPr>
      <w:r>
        <w:rPr>
          <w:rFonts w:ascii="Times New Roman" w:hAnsi="Times New Roman"/>
          <w:b/>
          <w:sz w:val="24"/>
        </w:rPr>
        <w:t xml:space="preserve">FR10 (DevOps &amp; Deployment): </w:t>
      </w:r>
      <w:r>
        <w:rPr>
          <w:rFonts w:ascii="Times New Roman" w:hAnsi="Times New Roman"/>
          <w:sz w:val="24"/>
        </w:rPr>
        <w:t>Production Docker containerization with Nginx reverse proxy and sub-30 MB runtime.</w:t>
      </w:r>
    </w:p>
    <w:p>
      <w:pPr>
        <w:keepNext/>
        <w:spacing w:before="280" w:after="120"/>
      </w:pPr>
      <w:r>
        <w:rPr>
          <w:rFonts w:ascii="Times New Roman" w:hAnsi="Times New Roman"/>
          <w:b/>
          <w:color w:val="1E3A8A"/>
          <w:sz w:val="28"/>
        </w:rPr>
        <w:t>c. Use case Diagram</w:t>
      </w:r>
    </w:p>
    <w:p>
      <w:pPr>
        <w:spacing w:after="120" w:line="276" w:lineRule="auto"/>
      </w:pPr>
      <w:r>
        <w:rPr>
          <w:rFonts w:ascii="Times New Roman" w:hAnsi="Times New Roman"/>
          <w:i w:val="0"/>
          <w:sz w:val="24"/>
        </w:rPr>
        <w:t>The system coordinates three primary actors: System Administrator (data upload, live sync, user management), Trade Analyst (forecasting, policy simulation, report exports, anomaly alerts), and Background System Worker (automated sync &amp; email dispatch).</w:t>
      </w:r>
    </w:p>
    <w:p>
      <w:pPr>
        <w:pStyle w:val="ListBullet"/>
        <w:spacing w:after="80" w:line="276" w:lineRule="auto"/>
      </w:pPr>
      <w:r>
        <w:rPr>
          <w:rFonts w:ascii="Times New Roman" w:hAnsi="Times New Roman"/>
          <w:b/>
          <w:sz w:val="24"/>
        </w:rPr>
        <w:t xml:space="preserve">Actor 1: System Administrator: </w:t>
      </w:r>
      <w:r>
        <w:rPr>
          <w:rFonts w:ascii="Times New Roman" w:hAnsi="Times New Roman"/>
          <w:sz w:val="24"/>
        </w:rPr>
        <w:t>Manage users, trigger Comtrade live API synchronization, configure SMTP email settings, and inspect data upload audit trails.</w:t>
      </w:r>
    </w:p>
    <w:p>
      <w:pPr>
        <w:pStyle w:val="ListBullet"/>
        <w:spacing w:after="80" w:line="276" w:lineRule="auto"/>
      </w:pPr>
      <w:r>
        <w:rPr>
          <w:rFonts w:ascii="Times New Roman" w:hAnsi="Times New Roman"/>
          <w:b/>
          <w:sz w:val="24"/>
        </w:rPr>
        <w:t xml:space="preserve">Actor 2: Trade Analyst / Policy Maker: </w:t>
      </w:r>
      <w:r>
        <w:rPr>
          <w:rFonts w:ascii="Times New Roman" w:hAnsi="Times New Roman"/>
          <w:sz w:val="24"/>
        </w:rPr>
        <w:t>Explore global trade KPIs, inspect country dossiers, run multi-model forecasts, execute tariff simulations, and export PDF dossiers.</w:t>
      </w:r>
    </w:p>
    <w:p>
      <w:pPr>
        <w:pStyle w:val="ListBullet"/>
        <w:spacing w:after="80" w:line="276" w:lineRule="auto"/>
      </w:pPr>
      <w:r>
        <w:rPr>
          <w:rFonts w:ascii="Times New Roman" w:hAnsi="Times New Roman"/>
          <w:b/>
          <w:sz w:val="24"/>
        </w:rPr>
        <w:t xml:space="preserve">Actor 3: Background System Worker: </w:t>
      </w:r>
      <w:r>
        <w:rPr>
          <w:rFonts w:ascii="Times New Roman" w:hAnsi="Times New Roman"/>
          <w:sz w:val="24"/>
        </w:rPr>
        <w:t>Executes automated background cron jobs for periodic UN Comtrade ingestion, rule evaluations, and scheduled PDF dispatches.</w:t>
      </w:r>
    </w:p>
    <w:p>
      <w:r>
        <w:br w:type="page"/>
      </w:r>
    </w:p>
    <w:p>
      <w:pPr>
        <w:keepNext/>
        <w:spacing w:before="360" w:after="160"/>
      </w:pPr>
      <w:r>
        <w:rPr>
          <w:rFonts w:ascii="Times New Roman" w:hAnsi="Times New Roman"/>
          <w:b/>
          <w:color w:val="0F2942"/>
          <w:sz w:val="32"/>
        </w:rPr>
        <w:t>4. System design</w:t>
      </w:r>
    </w:p>
    <w:p>
      <w:pPr>
        <w:keepNext/>
        <w:spacing w:before="280" w:after="120"/>
      </w:pPr>
      <w:r>
        <w:rPr>
          <w:rFonts w:ascii="Times New Roman" w:hAnsi="Times New Roman"/>
          <w:b/>
          <w:color w:val="1E3A8A"/>
          <w:sz w:val="28"/>
        </w:rPr>
        <w:t>Architectural Design</w:t>
      </w:r>
    </w:p>
    <w:p>
      <w:pPr>
        <w:spacing w:after="120" w:line="276" w:lineRule="auto"/>
      </w:pPr>
      <w:r>
        <w:rPr>
          <w:rFonts w:ascii="Times New Roman" w:hAnsi="Times New Roman"/>
          <w:i w:val="0"/>
          <w:sz w:val="24"/>
        </w:rPr>
        <w:t>The platform implements a 3-tier decoupled service-oriented architecture: React 19 Single Page Application in the presentation tier, FastAPI with 18 modular APIRouters in the application tier, and SQLite (WAL mode) with SQLAlchemy ORM in the data tier. An Nginx reverse proxy bridges ports 80/5173 to backend port 8000, eliminating CORS issues and handling SPA client routing.</w:t>
      </w:r>
    </w:p>
    <w:p>
      <w:pPr>
        <w:keepNext/>
        <w:spacing w:before="280" w:after="120"/>
      </w:pPr>
      <w:r>
        <w:rPr>
          <w:rFonts w:ascii="Times New Roman" w:hAnsi="Times New Roman"/>
          <w:b/>
          <w:color w:val="1E3A8A"/>
          <w:sz w:val="28"/>
        </w:rPr>
        <w:t>User Interface Design</w:t>
      </w:r>
    </w:p>
    <w:p>
      <w:pPr>
        <w:spacing w:after="120" w:line="276" w:lineRule="auto"/>
      </w:pPr>
      <w:r>
        <w:rPr>
          <w:rFonts w:ascii="Times New Roman" w:hAnsi="Times New Roman"/>
          <w:i w:val="0"/>
          <w:sz w:val="24"/>
        </w:rPr>
        <w:t>The UI follows a dark-mode glassmorphism design system (#0b1120 background, #111827 card containers, #1e293b border slate) featuring persistent sidebar navigation, executive KPI scorecards, interactive Recharts visualizations, and TopoJSON vector mapping.</w:t>
      </w: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global_map_desktop.png"/>
                    <pic:cNvPicPr/>
                  </pic:nvPicPr>
                  <pic:blipFill>
                    <a:blip r:embed="rId9"/>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0"/>
        </w:rPr>
        <w:t>Figure 4.1: Interactive TopoJSON Geospatial Vector Map with Country Dossier Drawer</w:t>
      </w:r>
    </w:p>
    <w:p>
      <w:pPr>
        <w:spacing w:before="160" w:after="8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ml_comparison_arena_overview.png"/>
                    <pic:cNvPicPr/>
                  </pic:nvPicPr>
                  <pic:blipFill>
                    <a:blip r:embed="rId10"/>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color w:val="475569"/>
          <w:sz w:val="20"/>
        </w:rPr>
        <w:t>Figure 4.2: Machine Learning Model Comparison Arena (OLS, RF, ARIMA, ETS)</w:t>
      </w:r>
    </w:p>
    <w:p>
      <w:pPr>
        <w:keepNext/>
        <w:spacing w:before="280" w:after="120"/>
      </w:pPr>
      <w:r>
        <w:rPr>
          <w:rFonts w:ascii="Times New Roman" w:hAnsi="Times New Roman"/>
          <w:b/>
          <w:color w:val="1E3A8A"/>
          <w:sz w:val="28"/>
        </w:rPr>
        <w:t>System Modeling</w:t>
      </w:r>
    </w:p>
    <w:p>
      <w:pPr>
        <w:keepNext/>
        <w:spacing w:before="200" w:after="80"/>
      </w:pPr>
      <w:r>
        <w:rPr>
          <w:rFonts w:ascii="Times New Roman" w:hAnsi="Times New Roman"/>
          <w:b/>
          <w:color w:val="334155"/>
          <w:sz w:val="24"/>
        </w:rPr>
        <w:t>Dataflow Diagram</w:t>
      </w:r>
    </w:p>
    <w:p>
      <w:pPr>
        <w:spacing w:after="120" w:line="276" w:lineRule="auto"/>
      </w:pPr>
      <w:r>
        <w:rPr>
          <w:rFonts w:ascii="Times New Roman" w:hAnsi="Times New Roman"/>
          <w:i w:val="0"/>
          <w:sz w:val="24"/>
        </w:rPr>
        <w:t>The Level 0 Context Diagram and Level 1 Data Flow Diagram illustrate the movement of customs records, query parameters, simulation shocks, and executive deliverables across external entities, computational processes, and the relational database store:</w:t>
      </w:r>
    </w:p>
    <w:p>
      <w:pPr>
        <w:spacing w:before="160" w:after="8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system_dfd_diagram.png"/>
                    <pic:cNvPicPr/>
                  </pic:nvPicPr>
                  <pic:blipFill>
                    <a:blip r:embed="rId11"/>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i/>
          <w:color w:val="475569"/>
          <w:sz w:val="20"/>
        </w:rPr>
        <w:t>Figure 4.3: Data Flow Diagram (Level 0 Context &amp; Level 1 Architecture)</w:t>
      </w:r>
    </w:p>
    <w:p>
      <w:pPr>
        <w:keepNext/>
        <w:spacing w:before="200" w:after="80"/>
      </w:pPr>
      <w:r>
        <w:rPr>
          <w:rFonts w:ascii="Times New Roman" w:hAnsi="Times New Roman"/>
          <w:b/>
          <w:color w:val="334155"/>
          <w:sz w:val="24"/>
        </w:rPr>
        <w:t>Sequence Diagram</w:t>
      </w:r>
    </w:p>
    <w:p>
      <w:pPr>
        <w:spacing w:after="120" w:line="276" w:lineRule="auto"/>
      </w:pPr>
      <w:r>
        <w:rPr>
          <w:rFonts w:ascii="Times New Roman" w:hAnsi="Times New Roman"/>
          <w:i w:val="0"/>
          <w:sz w:val="24"/>
        </w:rPr>
        <w:t>The sequence diagram details the exact message choreography when a policy advisor executes an Armington counterfactual tariff simulation:</w:t>
      </w:r>
    </w:p>
    <w:p>
      <w:pPr>
        <w:spacing w:before="160" w:after="8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system_sequence_diagram.png"/>
                    <pic:cNvPicPr/>
                  </pic:nvPicPr>
                  <pic:blipFill>
                    <a:blip r:embed="rId12"/>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i/>
          <w:color w:val="475569"/>
          <w:sz w:val="20"/>
        </w:rPr>
        <w:t>Figure 4.4: Sequence Diagram for Counterfactual Tariff Shock Simulation</w:t>
      </w:r>
    </w:p>
    <w:p>
      <w:pPr>
        <w:keepNext/>
        <w:spacing w:before="200" w:after="80"/>
      </w:pPr>
      <w:r>
        <w:rPr>
          <w:rFonts w:ascii="Times New Roman" w:hAnsi="Times New Roman"/>
          <w:b/>
          <w:color w:val="334155"/>
          <w:sz w:val="24"/>
        </w:rPr>
        <w:t>Activity Diagram</w:t>
      </w:r>
    </w:p>
    <w:p>
      <w:pPr>
        <w:spacing w:after="120" w:line="276" w:lineRule="auto"/>
      </w:pPr>
      <w:r>
        <w:rPr>
          <w:rFonts w:ascii="Times New Roman" w:hAnsi="Times New Roman"/>
          <w:i w:val="0"/>
          <w:sz w:val="24"/>
        </w:rPr>
        <w:t>The activity diagram outlines the chronological flow of the 4-model forecasting engine, detailing feature lag creation, data sufficiency validation, parallel model fitting, and 95% confidence interval computation:</w:t>
      </w:r>
    </w:p>
    <w:p>
      <w:pPr>
        <w:spacing w:before="160" w:after="8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system_activity_diagram.png"/>
                    <pic:cNvPicPr/>
                  </pic:nvPicPr>
                  <pic:blipFill>
                    <a:blip r:embed="rId13"/>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i/>
          <w:color w:val="475569"/>
          <w:sz w:val="20"/>
        </w:rPr>
        <w:t>Figure 4.5: Activity Diagram for Multi-Model Forecasting Pipeline</w:t>
      </w:r>
    </w:p>
    <w:p>
      <w:pPr>
        <w:keepNext/>
        <w:spacing w:before="200" w:after="80"/>
      </w:pPr>
      <w:r>
        <w:rPr>
          <w:rFonts w:ascii="Times New Roman" w:hAnsi="Times New Roman"/>
          <w:b/>
          <w:color w:val="334155"/>
          <w:sz w:val="24"/>
        </w:rPr>
        <w:t>Component Diagram</w:t>
      </w:r>
    </w:p>
    <w:p>
      <w:pPr>
        <w:spacing w:after="120" w:line="276" w:lineRule="auto"/>
      </w:pPr>
      <w:r>
        <w:rPr>
          <w:rFonts w:ascii="Times New Roman" w:hAnsi="Times New Roman"/>
          <w:i w:val="0"/>
          <w:sz w:val="24"/>
        </w:rPr>
        <w:t>The component diagram models the structural relationships and interfaces between React 19 UI modules, FastAPI APIRouters, domain microservices, and persistence abstractions:</w:t>
      </w:r>
    </w:p>
    <w:p>
      <w:pPr>
        <w:spacing w:before="160" w:after="80"/>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system_component_diagram.png"/>
                    <pic:cNvPicPr/>
                  </pic:nvPicPr>
                  <pic:blipFill>
                    <a:blip r:embed="rId14"/>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i/>
          <w:color w:val="475569"/>
          <w:sz w:val="20"/>
        </w:rPr>
        <w:t>Figure 4.6: Component Diagram of Global Trade Platform</w:t>
      </w:r>
    </w:p>
    <w:p>
      <w:pPr>
        <w:keepNext/>
        <w:spacing w:before="200" w:after="80"/>
      </w:pPr>
      <w:r>
        <w:rPr>
          <w:rFonts w:ascii="Times New Roman" w:hAnsi="Times New Roman"/>
          <w:b/>
          <w:color w:val="334155"/>
          <w:sz w:val="24"/>
        </w:rPr>
        <w:t>Deployment Diagram</w:t>
      </w:r>
    </w:p>
    <w:p>
      <w:pPr>
        <w:spacing w:after="120" w:line="276" w:lineRule="auto"/>
      </w:pPr>
      <w:r>
        <w:rPr>
          <w:rFonts w:ascii="Times New Roman" w:hAnsi="Times New Roman"/>
          <w:i w:val="0"/>
          <w:sz w:val="24"/>
        </w:rPr>
        <w:t>The deployment diagram depicts the containerized runtime environment hosted on Docker Engine, detailing Nginx Alpine frontend, Python 3.12 non-root backend, bridge networking, and persistent volume mounts:</w:t>
      </w:r>
    </w:p>
    <w:p>
      <w:pPr>
        <w:spacing w:before="160" w:after="80"/>
        <w:jc w:val="center"/>
      </w:pPr>
      <w:r>
        <w:drawing>
          <wp:inline xmlns:a="http://schemas.openxmlformats.org/drawingml/2006/main" xmlns:pic="http://schemas.openxmlformats.org/drawingml/2006/picture">
            <wp:extent cx="5303520" cy="3182112"/>
            <wp:docPr id="7" name="Picture 7"/>
            <wp:cNvGraphicFramePr>
              <a:graphicFrameLocks noChangeAspect="1"/>
            </wp:cNvGraphicFramePr>
            <a:graphic>
              <a:graphicData uri="http://schemas.openxmlformats.org/drawingml/2006/picture">
                <pic:pic>
                  <pic:nvPicPr>
                    <pic:cNvPr id="0" name="system_deployment_diagram.png"/>
                    <pic:cNvPicPr/>
                  </pic:nvPicPr>
                  <pic:blipFill>
                    <a:blip r:embed="rId15"/>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i/>
          <w:color w:val="475569"/>
          <w:sz w:val="20"/>
        </w:rPr>
        <w:t>Figure 4.7: Deployment Diagram for Docker Container Orchestration</w:t>
      </w:r>
    </w:p>
    <w:p>
      <w:pPr>
        <w:keepNext/>
        <w:spacing w:before="280" w:after="120"/>
      </w:pPr>
      <w:r>
        <w:rPr>
          <w:rFonts w:ascii="Times New Roman" w:hAnsi="Times New Roman"/>
          <w:b/>
          <w:color w:val="1E3A8A"/>
          <w:sz w:val="28"/>
        </w:rPr>
        <w:t>Algorithmic description of each module</w:t>
      </w:r>
    </w:p>
    <w:p>
      <w:pPr>
        <w:spacing w:after="120" w:line="276" w:lineRule="auto"/>
      </w:pPr>
      <w:r>
        <w:rPr>
          <w:rFonts w:ascii="Times New Roman" w:hAnsi="Times New Roman"/>
          <w:b/>
          <w:sz w:val="24"/>
        </w:rPr>
        <w:t xml:space="preserve">Module 1 (Data Ingestion &amp; Deduplication): </w:t>
      </w:r>
      <w:r>
        <w:rPr>
          <w:rFonts w:ascii="Times New Roman" w:hAnsi="Times New Roman"/>
          <w:i w:val="0"/>
          <w:sz w:val="24"/>
        </w:rPr>
        <w:t>Deduplication key K = &lt;refYear, reporterISO, partnerISO, flowCode, cmdCode&gt;. Performs atomic upsert on conflict.</w:t>
      </w:r>
    </w:p>
    <w:p>
      <w:pPr>
        <w:spacing w:after="120" w:line="276" w:lineRule="auto"/>
      </w:pPr>
      <w:r>
        <w:rPr>
          <w:rFonts w:ascii="Times New Roman" w:hAnsi="Times New Roman"/>
          <w:b/>
          <w:sz w:val="24"/>
        </w:rPr>
        <w:t xml:space="preserve">Module 2 (Anti-Leakage Feature Pipeline): </w:t>
      </w:r>
      <w:r>
        <w:rPr>
          <w:rFonts w:ascii="Times New Roman" w:hAnsi="Times New Roman"/>
          <w:i w:val="0"/>
          <w:sz w:val="24"/>
        </w:rPr>
        <w:t>Strict backwards-looking features: lag_1, lag_2, lag_3, and rolling_mean_3 shifted by 1 (rolling(3).mean().shift(1)) to prevent current-year leakage.</w:t>
      </w:r>
    </w:p>
    <w:p>
      <w:pPr>
        <w:spacing w:after="120" w:line="276" w:lineRule="auto"/>
      </w:pPr>
      <w:r>
        <w:rPr>
          <w:rFonts w:ascii="Times New Roman" w:hAnsi="Times New Roman"/>
          <w:b/>
          <w:sz w:val="24"/>
        </w:rPr>
        <w:t xml:space="preserve">Module 3 (4-Model Forecasting Arena): </w:t>
      </w:r>
      <w:r>
        <w:rPr>
          <w:rFonts w:ascii="Times New Roman" w:hAnsi="Times New Roman"/>
          <w:i w:val="0"/>
          <w:sz w:val="24"/>
        </w:rPr>
        <w:t>Fits OLS, 50-tree Random Forest, Box-Jenkins ARIMA with AIC grid search, and Holt-Winters ETS. Benchmarks against historical mean baseline with compounding 95% CIs: y_hat +- 1.96 * std_err * sqrt(h).</w:t>
      </w:r>
    </w:p>
    <w:p>
      <w:pPr>
        <w:spacing w:after="120" w:line="276" w:lineRule="auto"/>
      </w:pPr>
      <w:r>
        <w:rPr>
          <w:rFonts w:ascii="Times New Roman" w:hAnsi="Times New Roman"/>
          <w:b/>
          <w:sz w:val="24"/>
        </w:rPr>
        <w:t xml:space="preserve">Module 4 (Armington Elasticity Simulator): </w:t>
      </w:r>
      <w:r>
        <w:rPr>
          <w:rFonts w:ascii="Times New Roman" w:hAnsi="Times New Roman"/>
          <w:i w:val="0"/>
          <w:sz w:val="24"/>
        </w:rPr>
        <w:t>Applies price pass-through (ΔP = τ * ρ), demand contraction (%ΔQ = ε_d * ΔP), customs revenues (Revenue = τ * Q_shock), and redistributes diverted trade to neutral third-party nations.</w:t>
      </w:r>
    </w:p>
    <w:p>
      <w:r>
        <w:br w:type="page"/>
      </w:r>
    </w:p>
    <w:p>
      <w:pPr>
        <w:keepNext/>
        <w:spacing w:before="360" w:after="160"/>
      </w:pPr>
      <w:r>
        <w:rPr>
          <w:rFonts w:ascii="Times New Roman" w:hAnsi="Times New Roman"/>
          <w:b/>
          <w:color w:val="0F2942"/>
          <w:sz w:val="32"/>
        </w:rPr>
        <w:t>5. Implementation</w:t>
      </w:r>
    </w:p>
    <w:p>
      <w:pPr>
        <w:keepNext/>
        <w:spacing w:before="280" w:after="120"/>
      </w:pPr>
      <w:r>
        <w:rPr>
          <w:rFonts w:ascii="Times New Roman" w:hAnsi="Times New Roman"/>
          <w:b/>
          <w:color w:val="1E3A8A"/>
          <w:sz w:val="28"/>
        </w:rPr>
        <w:t>a. Environmental Setting for Running the Project</w:t>
      </w:r>
    </w:p>
    <w:p>
      <w:pPr>
        <w:spacing w:after="120" w:line="276" w:lineRule="auto"/>
      </w:pPr>
      <w:r>
        <w:rPr>
          <w:rFonts w:ascii="Times New Roman" w:hAnsi="Times New Roman"/>
          <w:i w:val="0"/>
          <w:sz w:val="24"/>
        </w:rPr>
        <w:t>The backend is developed with Python 3.12, FastAPI 0.110, SQLAlchemy 2.0, Pydantic v2, Scikit-learn 1.4, Statsmodels 0.14, ReportLab 4.0, and OpenPyXL 3.1. The frontend utilizes React 19, Vite 8, Recharts 3.10, D3-Geo, and Lucide icons. Containerization uses multi-stage Alpine Docker images orchestrated with Docker Compose.</w:t>
      </w:r>
    </w:p>
    <w:p>
      <w:pPr>
        <w:keepNext/>
        <w:spacing w:before="280" w:after="120"/>
      </w:pPr>
      <w:r>
        <w:rPr>
          <w:rFonts w:ascii="Times New Roman" w:hAnsi="Times New Roman"/>
          <w:b/>
          <w:color w:val="1E3A8A"/>
          <w:sz w:val="28"/>
        </w:rPr>
        <w:t>b. Detailed Description of Methods</w:t>
      </w:r>
    </w:p>
    <w:p>
      <w:pPr>
        <w:spacing w:after="120" w:line="276" w:lineRule="auto"/>
      </w:pPr>
      <w:r>
        <w:rPr>
          <w:rFonts w:ascii="Times New Roman" w:hAnsi="Times New Roman"/>
          <w:i w:val="0"/>
          <w:sz w:val="24"/>
        </w:rPr>
        <w:t>The system enforces strict typing and validation across all input/output contracts. Key methods include calculate_tariff_shock() for Armington modeling, prepare_time_series_features() for temporal anti-leakage lags, and evaluate_models_arena() for side-by-side out-of-sample benchmarking.</w:t>
      </w:r>
    </w:p>
    <w:p>
      <w:pPr>
        <w:keepNext/>
        <w:spacing w:before="280" w:after="120"/>
      </w:pPr>
      <w:r>
        <w:rPr>
          <w:rFonts w:ascii="Times New Roman" w:hAnsi="Times New Roman"/>
          <w:b/>
          <w:color w:val="1E3A8A"/>
          <w:sz w:val="28"/>
        </w:rPr>
        <w:t>c. Implementation Details</w:t>
      </w:r>
    </w:p>
    <w:p>
      <w:pPr>
        <w:spacing w:after="120" w:line="276" w:lineRule="auto"/>
      </w:pPr>
      <w:r>
        <w:rPr>
          <w:rFonts w:ascii="Times New Roman" w:hAnsi="Times New Roman"/>
          <w:b/>
          <w:sz w:val="24"/>
        </w:rPr>
        <w:t xml:space="preserve">Armington Simulator: </w:t>
      </w:r>
      <w:r>
        <w:rPr>
          <w:rFonts w:ascii="Times New Roman" w:hAnsi="Times New Roman"/>
          <w:i w:val="0"/>
          <w:sz w:val="24"/>
        </w:rPr>
        <w:t>Below is the core implementation of the Armington Elasticity Engine: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calculate_tariff_shock(base_volume: float, tariff_pct: float, elasticity: float = -1.25, pass_through: float = 0.85):</w:t>
              <w:br/>
              <w:t xml:space="preserve">    effective_tariff = tariff_pct / 100.0</w:t>
              <w:br/>
              <w:t xml:space="preserve">    price_delta = effective_tariff * pass_through</w:t>
              <w:br/>
              <w:t xml:space="preserve">    quantity_contraction_pct = elasticity * price_delta</w:t>
              <w:br/>
              <w:t xml:space="preserve">    shock_volume = max(0.0, base_volume * (1.0 + quantity_contraction_pct))</w:t>
              <w:br/>
              <w:t xml:space="preserve">    customs_revenue = shock_volume * effective_tariff</w:t>
              <w:br/>
              <w:t xml:space="preserve">    return {</w:t>
              <w:br/>
              <w:t xml:space="preserve">        "baseline_volume": base_volume,</w:t>
              <w:br/>
              <w:t xml:space="preserve">        "post_shock_volume": shock_volume,</w:t>
              <w:br/>
              <w:t xml:space="preserve">        "volume_delta": shock_volume - base_volume,</w:t>
              <w:br/>
              <w:t xml:space="preserve">        "customs_revenue": customs_revenue</w:t>
              <w:br/>
              <w:t xml:space="preserve">    }</w:t>
            </w:r>
          </w:p>
        </w:tc>
      </w:tr>
    </w:tbl>
    <w:p>
      <w:pPr>
        <w:spacing w:after="120"/>
      </w:pPr>
    </w:p>
    <w:p>
      <w:pPr>
        <w:spacing w:after="120" w:line="276" w:lineRule="auto"/>
      </w:pPr>
      <w:r>
        <w:rPr>
          <w:rFonts w:ascii="Times New Roman" w:hAnsi="Times New Roman"/>
          <w:b/>
          <w:sz w:val="24"/>
        </w:rPr>
        <w:t xml:space="preserve">Anti-Leakage Feature Pipeline: </w:t>
      </w:r>
      <w:r>
        <w:rPr>
          <w:rFonts w:ascii="Times New Roman" w:hAnsi="Times New Roman"/>
          <w:i w:val="0"/>
          <w:sz w:val="24"/>
        </w:rPr>
        <w:t>Below is the core anti-leakage time-series feature engineering pipeline: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prepare_time_series_features(df: pd.DataFrame, target_col: str = "primaryValue"):</w:t>
              <w:br/>
              <w:t xml:space="preserve">    df = df.sort_values("refYear").copy()</w:t>
              <w:br/>
              <w:t xml:space="preserve">    df["lag_1"] = df[target_col].shift(1)</w:t>
              <w:br/>
              <w:t xml:space="preserve">    df["lag_2"] = df[target_col].shift(2)</w:t>
              <w:br/>
              <w:t xml:space="preserve">    df["lag_3"] = df[target_col].shift(3)</w:t>
              <w:br/>
              <w:t xml:space="preserve">    df["rolling_mean_3"] = df[target_col].rolling(window=3, min_periods=1).mean().shift(1)</w:t>
              <w:br/>
              <w:t xml:space="preserve">    df["pct_change_1"] = df[target_col].pct_change(1).shift(1).fillna(0.0)</w:t>
              <w:br/>
              <w:t xml:space="preserve">    df["year_trend"] = df["refYear"] - df["refYear"].min()</w:t>
              <w:br/>
              <w:t xml:space="preserve">    return df.dropna(subset=["lag_1", "lag_2", "lag_3"]).copy()</w:t>
            </w:r>
          </w:p>
        </w:tc>
      </w:tr>
    </w:tbl>
    <w:p>
      <w:pPr>
        <w:spacing w:after="120"/>
      </w:pPr>
    </w:p>
    <w:p>
      <w:r>
        <w:br w:type="page"/>
      </w:r>
    </w:p>
    <w:p>
      <w:pPr>
        <w:keepNext/>
        <w:spacing w:before="360" w:after="160"/>
      </w:pPr>
      <w:r>
        <w:rPr>
          <w:rFonts w:ascii="Times New Roman" w:hAnsi="Times New Roman"/>
          <w:b/>
          <w:color w:val="0F2942"/>
          <w:sz w:val="32"/>
        </w:rPr>
        <w:t>6. Integration and Testing</w:t>
      </w:r>
    </w:p>
    <w:p>
      <w:pPr>
        <w:keepNext/>
        <w:spacing w:before="280" w:after="120"/>
      </w:pPr>
      <w:r>
        <w:rPr>
          <w:rFonts w:ascii="Times New Roman" w:hAnsi="Times New Roman"/>
          <w:b/>
          <w:color w:val="1E3A8A"/>
          <w:sz w:val="28"/>
        </w:rPr>
        <w:t>Description of the Integration Modules</w:t>
      </w:r>
    </w:p>
    <w:p>
      <w:pPr>
        <w:spacing w:after="120" w:line="276" w:lineRule="auto"/>
      </w:pPr>
      <w:r>
        <w:rPr>
          <w:rFonts w:ascii="Times New Roman" w:hAnsi="Times New Roman"/>
          <w:i w:val="0"/>
          <w:sz w:val="24"/>
        </w:rPr>
        <w:t>Integration connects the React SPA to FastAPI endpoints via an Axios client with JWT interceptors. In production, Nginx reverse-proxies `/api/*` to the Uvicorn container, eliminating CORS preflight latency. Client routes resolve seamlessly via Nginx's `try_files $uri $uri/ /index.html;` directive.</w:t>
      </w:r>
    </w:p>
    <w:p>
      <w:pPr>
        <w:keepNext/>
        <w:spacing w:before="280" w:after="120"/>
      </w:pPr>
      <w:r>
        <w:rPr>
          <w:rFonts w:ascii="Times New Roman" w:hAnsi="Times New Roman"/>
          <w:b/>
          <w:color w:val="1E3A8A"/>
          <w:sz w:val="28"/>
        </w:rPr>
        <w:t>Testing</w:t>
      </w:r>
    </w:p>
    <w:p>
      <w:pPr>
        <w:spacing w:after="120" w:line="276" w:lineRule="auto"/>
      </w:pPr>
      <w:r>
        <w:rPr>
          <w:rFonts w:ascii="Times New Roman" w:hAnsi="Times New Roman"/>
          <w:i w:val="0"/>
          <w:sz w:val="24"/>
        </w:rPr>
        <w:t>The verification suite comprises 168 automated tests across 18 test suites executed via Pytest. The suite achieves a 100% pass rate in 64.89 seconds with zero regressions: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Test Suite Module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Tests Passed</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Execution Time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Scope Verified</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test_auth.py &amp; test_admin.py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22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5.0s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JWT auth, password hashing, RBAC route guards</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test_pipeline.py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12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2.5s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Schema validation, null coercion, deduplication</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test_dashboard.py &amp; test_trade_analysis.py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21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5.1s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KPI aggregations, sorting, pagination, CSV export</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test_economic_metrics.py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11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2.7s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Lafay TBI, Balassa RTA, Grubel-Lloyd, HHI indices</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test_prediction.py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12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8.5s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4-model arena, anti-leakage shifts, 95% CIs, AIC/BIC</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test_simulator.py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8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2.3s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Armington elasticity, tariff shocks, trade diversion</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test_reports.py &amp; test_reports_export.py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12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5.7s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ReportLab PDF generation, OpenPyXL Excel models</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test_alerts.py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13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3.5s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Anomaly threshold rules, deduplication, SMTP outbox</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Full Suite (18 Modules)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168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64.89s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100% Pass Rate across all endpoints (0 Regressions)</w:t>
            </w:r>
          </w:p>
        </w:tc>
      </w:tr>
    </w:tbl>
    <w:p>
      <w:pPr>
        <w:spacing w:before="160" w:after="80"/>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alerts_briefings_tab.png"/>
                    <pic:cNvPicPr/>
                  </pic:nvPicPr>
                  <pic:blipFill>
                    <a:blip r:embed="rId16"/>
                    <a:stretch>
                      <a:fillRect/>
                    </a:stretch>
                  </pic:blipFill>
                  <pic:spPr>
                    <a:xfrm>
                      <a:off x="0" y="0"/>
                      <a:ext cx="5303520" cy="3977640"/>
                    </a:xfrm>
                    <a:prstGeom prst="rect"/>
                  </pic:spPr>
                </pic:pic>
              </a:graphicData>
            </a:graphic>
          </wp:inline>
        </w:drawing>
      </w:r>
    </w:p>
    <w:p>
      <w:pPr>
        <w:spacing w:after="240"/>
        <w:jc w:val="center"/>
      </w:pPr>
      <w:r>
        <w:rPr>
          <w:rFonts w:ascii="Times New Roman" w:hAnsi="Times New Roman"/>
          <w:i/>
          <w:color w:val="475569"/>
          <w:sz w:val="20"/>
        </w:rPr>
        <w:t>Figure 6.1: Automated Executive PDF Briefings &amp; Scheduled Dispatch Workspace</w:t>
      </w:r>
    </w:p>
    <w:p>
      <w:pPr>
        <w:keepNext/>
        <w:spacing w:before="280" w:after="120"/>
      </w:pPr>
      <w:r>
        <w:rPr>
          <w:rFonts w:ascii="Times New Roman" w:hAnsi="Times New Roman"/>
          <w:b/>
          <w:color w:val="1E3A8A"/>
          <w:sz w:val="28"/>
        </w:rPr>
        <w:t>Performance Analysis</w:t>
      </w:r>
    </w:p>
    <w:p>
      <w:pPr>
        <w:spacing w:after="120" w:line="276" w:lineRule="auto"/>
      </w:pPr>
      <w:r>
        <w:rPr>
          <w:rFonts w:ascii="Times New Roman" w:hAnsi="Times New Roman"/>
          <w:i w:val="0"/>
          <w:sz w:val="24"/>
        </w:rPr>
        <w:t>API aggregation endpoints execute in under 45 ms over indexed tables. The Armington simulation runs in 38 ms. The multi-stage Nginx frontend container maintains a footprint under 30 MB, enabling rapid cold-start deployment.</w:t>
      </w:r>
    </w:p>
    <w:p>
      <w:r>
        <w:br w:type="page"/>
      </w:r>
    </w:p>
    <w:p>
      <w:pPr>
        <w:keepNext/>
        <w:spacing w:before="360" w:after="160"/>
      </w:pPr>
      <w:r>
        <w:rPr>
          <w:rFonts w:ascii="Times New Roman" w:hAnsi="Times New Roman"/>
          <w:b/>
          <w:color w:val="0F2942"/>
          <w:sz w:val="32"/>
        </w:rPr>
        <w:t>7. Future Scope</w:t>
      </w:r>
    </w:p>
    <w:p>
      <w:pPr>
        <w:pStyle w:val="ListBullet"/>
        <w:spacing w:after="80" w:line="276" w:lineRule="auto"/>
      </w:pPr>
      <w:r>
        <w:rPr>
          <w:rFonts w:ascii="Times New Roman" w:hAnsi="Times New Roman"/>
          <w:b/>
          <w:sz w:val="24"/>
        </w:rPr>
        <w:t xml:space="preserve">Deep Learning Transformers: </w:t>
      </w:r>
      <w:r>
        <w:rPr>
          <w:rFonts w:ascii="Times New Roman" w:hAnsi="Times New Roman"/>
          <w:sz w:val="24"/>
        </w:rPr>
        <w:t>Evaluate Transformer-based architectures (PatchTST, TimesNet) on multi-decade trade series.</w:t>
      </w:r>
    </w:p>
    <w:p>
      <w:pPr>
        <w:pStyle w:val="ListBullet"/>
        <w:spacing w:after="80" w:line="276" w:lineRule="auto"/>
      </w:pPr>
      <w:r>
        <w:rPr>
          <w:rFonts w:ascii="Times New Roman" w:hAnsi="Times New Roman"/>
          <w:b/>
          <w:sz w:val="24"/>
        </w:rPr>
        <w:t xml:space="preserve">HS-6 Granularity: </w:t>
      </w:r>
      <w:r>
        <w:rPr>
          <w:rFonts w:ascii="Times New Roman" w:hAnsi="Times New Roman"/>
          <w:sz w:val="24"/>
        </w:rPr>
        <w:t>Expand data ingestion from broad aggregates to 6-digit Harmonized System (HS-6) commodity codes covering 5,000+ products.</w:t>
      </w:r>
    </w:p>
    <w:p>
      <w:pPr>
        <w:pStyle w:val="ListBullet"/>
        <w:spacing w:after="80" w:line="276" w:lineRule="auto"/>
      </w:pPr>
      <w:r>
        <w:rPr>
          <w:rFonts w:ascii="Times New Roman" w:hAnsi="Times New Roman"/>
          <w:b/>
          <w:sz w:val="24"/>
        </w:rPr>
        <w:t xml:space="preserve">Gravity Formulation: </w:t>
      </w:r>
      <w:r>
        <w:rPr>
          <w:rFonts w:ascii="Times New Roman" w:hAnsi="Times New Roman"/>
          <w:sz w:val="24"/>
        </w:rPr>
        <w:t>Incorporate Jan Tinbergen's gravity equation modeling bilateral distance, shared borders, and trade pact frictions.</w:t>
      </w:r>
    </w:p>
    <w:p>
      <w:pPr>
        <w:keepNext/>
        <w:spacing w:before="360" w:after="160"/>
      </w:pPr>
      <w:r>
        <w:rPr>
          <w:rFonts w:ascii="Times New Roman" w:hAnsi="Times New Roman"/>
          <w:b/>
          <w:color w:val="0F2942"/>
          <w:sz w:val="32"/>
        </w:rPr>
        <w:t>8. Applications</w:t>
      </w:r>
    </w:p>
    <w:p>
      <w:pPr>
        <w:pStyle w:val="ListBullet"/>
        <w:spacing w:after="80" w:line="276" w:lineRule="auto"/>
      </w:pPr>
      <w:r>
        <w:rPr>
          <w:rFonts w:ascii="Times New Roman" w:hAnsi="Times New Roman"/>
          <w:b/>
          <w:sz w:val="24"/>
        </w:rPr>
        <w:t xml:space="preserve">1. Policy Formulation: </w:t>
      </w:r>
      <w:r>
        <w:rPr>
          <w:rFonts w:ascii="Times New Roman" w:hAnsi="Times New Roman"/>
          <w:sz w:val="24"/>
        </w:rPr>
        <w:t>Commerce Ministries: Running tariff shock simulations prior to free trade agreement negotiations.</w:t>
      </w:r>
    </w:p>
    <w:p>
      <w:pPr>
        <w:pStyle w:val="ListBullet"/>
        <w:spacing w:after="80" w:line="276" w:lineRule="auto"/>
      </w:pPr>
      <w:r>
        <w:rPr>
          <w:rFonts w:ascii="Times New Roman" w:hAnsi="Times New Roman"/>
          <w:b/>
          <w:sz w:val="24"/>
        </w:rPr>
        <w:t xml:space="preserve">2. Supply Chain Security: </w:t>
      </w:r>
      <w:r>
        <w:rPr>
          <w:rFonts w:ascii="Times New Roman" w:hAnsi="Times New Roman"/>
          <w:sz w:val="24"/>
        </w:rPr>
        <w:t>Supply Chain Leadership: Auditing single-source vulnerability (HHI) and booking ocean freight via 2026–2030 projections.</w:t>
      </w:r>
    </w:p>
    <w:p>
      <w:pPr>
        <w:pStyle w:val="ListBullet"/>
        <w:spacing w:after="80" w:line="276" w:lineRule="auto"/>
      </w:pPr>
      <w:r>
        <w:rPr>
          <w:rFonts w:ascii="Times New Roman" w:hAnsi="Times New Roman"/>
          <w:b/>
          <w:sz w:val="24"/>
        </w:rPr>
        <w:t xml:space="preserve">3. Financial Markets: </w:t>
      </w:r>
      <w:r>
        <w:rPr>
          <w:rFonts w:ascii="Times New Roman" w:hAnsi="Times New Roman"/>
          <w:sz w:val="24"/>
        </w:rPr>
        <w:t>Macro Hedge Funds: Anticipating currency fluctuations based on structural trade balance flips.</w:t>
      </w:r>
    </w:p>
    <w:p>
      <w:pPr>
        <w:keepNext/>
        <w:spacing w:before="360" w:after="160"/>
      </w:pPr>
      <w:r>
        <w:rPr>
          <w:rFonts w:ascii="Times New Roman" w:hAnsi="Times New Roman"/>
          <w:b/>
          <w:color w:val="0F2942"/>
          <w:sz w:val="32"/>
        </w:rPr>
        <w:t>9. Installation Guide and User Manual</w:t>
      </w:r>
    </w:p>
    <w:p>
      <w:pPr>
        <w:spacing w:after="120" w:line="276" w:lineRule="auto"/>
      </w:pPr>
      <w:r>
        <w:rPr>
          <w:rFonts w:ascii="Times New Roman" w:hAnsi="Times New Roman"/>
          <w:b/>
          <w:sz w:val="24"/>
        </w:rPr>
        <w:t xml:space="preserve">1-Command Docker Deployment: </w:t>
      </w:r>
      <w:r>
        <w:rPr>
          <w:rFonts w:ascii="Times New Roman" w:hAnsi="Times New Roman"/>
          <w:i w:val="0"/>
          <w:sz w:val="24"/>
        </w:rPr>
        <w:t>Run the full platform with a single command:</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docker compose up --build -d</w:t>
            </w:r>
          </w:p>
        </w:tc>
      </w:tr>
    </w:tbl>
    <w:p>
      <w:pPr>
        <w:spacing w:after="120"/>
      </w:pPr>
    </w:p>
    <w:p>
      <w:pPr>
        <w:spacing w:after="120" w:line="276" w:lineRule="auto"/>
      </w:pPr>
      <w:r>
        <w:rPr>
          <w:rFonts w:ascii="Times New Roman" w:hAnsi="Times New Roman"/>
          <w:b/>
          <w:sz w:val="24"/>
        </w:rPr>
        <w:t xml:space="preserve">1-Click Launchers: </w:t>
      </w:r>
      <w:r>
        <w:rPr>
          <w:rFonts w:ascii="Times New Roman" w:hAnsi="Times New Roman"/>
          <w:i w:val="0"/>
          <w:sz w:val="24"/>
        </w:rPr>
        <w:t>Or use native 1-click launchers: `.\deploy.ps1 -Build` (Windows) or `./deploy.sh --build` (Linux/macOS).</w:t>
      </w:r>
    </w:p>
    <w:p>
      <w:pPr>
        <w:spacing w:after="120" w:line="276" w:lineRule="auto"/>
      </w:pPr>
      <w:r>
        <w:rPr>
          <w:rFonts w:ascii="Times New Roman" w:hAnsi="Times New Roman"/>
          <w:b/>
          <w:sz w:val="24"/>
        </w:rPr>
        <w:t xml:space="preserve">Access Points: </w:t>
      </w:r>
      <w:r>
        <w:rPr>
          <w:rFonts w:ascii="Times New Roman" w:hAnsi="Times New Roman"/>
          <w:i w:val="0"/>
          <w:sz w:val="24"/>
        </w:rPr>
        <w:t>Web UI: http://localhost (or :5173) | Swagger API Docs: http://localhost:8000/docs | Health: http://localhost:8000/api/health</w:t>
      </w:r>
    </w:p>
    <w:p>
      <w:pPr>
        <w:spacing w:after="120" w:line="276" w:lineRule="auto"/>
      </w:pPr>
      <w:r>
        <w:rPr>
          <w:rFonts w:ascii="Times New Roman" w:hAnsi="Times New Roman"/>
          <w:b/>
          <w:sz w:val="24"/>
        </w:rPr>
        <w:t xml:space="preserve">Default Credentials: </w:t>
      </w:r>
      <w:r>
        <w:rPr>
          <w:rFonts w:ascii="Times New Roman" w:hAnsi="Times New Roman"/>
          <w:i w:val="0"/>
          <w:sz w:val="24"/>
        </w:rPr>
        <w:t>Admin: admin / Admin@Trade2026! | Analyst: trader / Trader@Trade2026!</w:t>
      </w:r>
    </w:p>
    <w:p>
      <w:pPr>
        <w:keepNext/>
        <w:spacing w:before="360" w:after="160"/>
      </w:pPr>
      <w:r>
        <w:rPr>
          <w:rFonts w:ascii="Times New Roman" w:hAnsi="Times New Roman"/>
          <w:b/>
          <w:color w:val="0F2942"/>
          <w:sz w:val="32"/>
        </w:rPr>
        <w:t>10. Publication Details</w:t>
      </w:r>
    </w:p>
    <w:p>
      <w:pPr>
        <w:spacing w:after="120" w:line="276" w:lineRule="auto"/>
      </w:pPr>
      <w:r>
        <w:rPr>
          <w:rFonts w:ascii="Times New Roman" w:hAnsi="Times New Roman"/>
          <w:i w:val="0"/>
          <w:sz w:val="24"/>
        </w:rPr>
        <w:t>Paper Title: “An Enterprise Framework for Counterfactual Policy Simulation and Multi-Model Time-Series Forecasting in Global Merchandise Trade”</w:t>
        <w:br/>
        <w:t>Authors: Dhairyasheel Gaikwad, Pratik Patil, Sanika Kulkarni, Ananya Joshi, Dr. P. M. Gavali</w:t>
        <w:br/>
        <w:t>Target Conference: IEEE International Conference on Data Science and Artificial Intelligence.</w:t>
      </w:r>
    </w:p>
    <w:p>
      <w:pPr>
        <w:keepNext/>
        <w:spacing w:before="360" w:after="160"/>
      </w:pPr>
      <w:r>
        <w:rPr>
          <w:rFonts w:ascii="Times New Roman" w:hAnsi="Times New Roman"/>
          <w:b/>
          <w:color w:val="0F2942"/>
          <w:sz w:val="32"/>
        </w:rPr>
        <w:t>11. Industry Sponsorship Letters</w:t>
      </w:r>
    </w:p>
    <w:p>
      <w:pPr>
        <w:spacing w:after="120" w:line="276" w:lineRule="auto"/>
      </w:pPr>
      <w:r>
        <w:rPr>
          <w:rFonts w:ascii="Times New Roman" w:hAnsi="Times New Roman"/>
          <w:i w:val="0"/>
          <w:sz w:val="24"/>
        </w:rPr>
        <w:t>Institutional Affiliation: Department of Computer Science &amp; Engineering, D.K.T.E. Society’s Textile &amp; Engineering Institute, Ichalkaranji.</w:t>
        <w:br/>
        <w:t>Industry Alignment: Developed in collaboration with international trade analytics and supply chain risk advisory requirements.</w:t>
      </w:r>
    </w:p>
    <w:p>
      <w:pPr>
        <w:keepNext/>
        <w:spacing w:before="360" w:after="160"/>
      </w:pPr>
      <w:r>
        <w:rPr>
          <w:rFonts w:ascii="Times New Roman" w:hAnsi="Times New Roman"/>
          <w:b/>
          <w:color w:val="0F2942"/>
          <w:sz w:val="32"/>
        </w:rPr>
        <w:t>12. Plagiarism Report</w:t>
      </w:r>
    </w:p>
    <w:p>
      <w:pPr>
        <w:spacing w:after="120" w:line="276" w:lineRule="auto"/>
      </w:pPr>
      <w:r>
        <w:rPr>
          <w:rFonts w:ascii="Times New Roman" w:hAnsi="Times New Roman"/>
          <w:i w:val="0"/>
          <w:sz w:val="24"/>
        </w:rPr>
        <w:t>Turnitin Similarity Index: &lt; 5% (Within autonomous university threshold of &lt; 15%).</w:t>
        <w:br/>
        <w:t>All code, architectures, and mathematical models represent original student engineering work supervised by the Department of CSE.</w:t>
      </w:r>
    </w:p>
    <w:p>
      <w:pPr>
        <w:keepNext/>
        <w:spacing w:before="360" w:after="160"/>
      </w:pPr>
      <w:r>
        <w:rPr>
          <w:rFonts w:ascii="Times New Roman" w:hAnsi="Times New Roman"/>
          <w:b/>
          <w:color w:val="0F2942"/>
          <w:sz w:val="32"/>
        </w:rPr>
        <w:t>13. References</w:t>
      </w:r>
    </w:p>
    <w:p>
      <w:pPr>
        <w:spacing w:after="120" w:line="276" w:lineRule="auto"/>
      </w:pPr>
      <w:r>
        <w:rPr>
          <w:rFonts w:ascii="Times New Roman" w:hAnsi="Times New Roman"/>
          <w:i w:val="0"/>
          <w:sz w:val="24"/>
        </w:rPr>
        <w:t>[1] Armington, P. S. (1969). “A Theory of Demand for Products Distinguished by Place of Production”, IMF Staff Papers, 16(1), pp. 159–178.</w:t>
      </w:r>
    </w:p>
    <w:p>
      <w:pPr>
        <w:spacing w:after="120" w:line="276" w:lineRule="auto"/>
      </w:pPr>
      <w:r>
        <w:rPr>
          <w:rFonts w:ascii="Times New Roman" w:hAnsi="Times New Roman"/>
          <w:i w:val="0"/>
          <w:sz w:val="24"/>
        </w:rPr>
        <w:t>[2] Balassa, B. (1965). “Trade Liberalisation and 'Revealed' Comparative Advantage”, The Manchester School of Econ. Studies, 33(2), pp. 99–123.</w:t>
      </w:r>
    </w:p>
    <w:p>
      <w:pPr>
        <w:spacing w:after="120" w:line="276" w:lineRule="auto"/>
      </w:pPr>
      <w:r>
        <w:rPr>
          <w:rFonts w:ascii="Times New Roman" w:hAnsi="Times New Roman"/>
          <w:i w:val="0"/>
          <w:sz w:val="24"/>
        </w:rPr>
        <w:t>[3] Box, G. E., Jenkins, G. M., Reinsel, G. C., &amp; Ljung, G. M. (2015). “Time Series Analysis: Forecasting and Control”, 5th Ed., John Wiley &amp; Sons.</w:t>
      </w:r>
    </w:p>
    <w:p>
      <w:pPr>
        <w:spacing w:after="120" w:line="276" w:lineRule="auto"/>
      </w:pPr>
      <w:r>
        <w:rPr>
          <w:rFonts w:ascii="Times New Roman" w:hAnsi="Times New Roman"/>
          <w:i w:val="0"/>
          <w:sz w:val="24"/>
        </w:rPr>
        <w:t>[4] Breiman, L. (2001). “Random Forests”, Machine Learning, 45(1), pp. 5–32.</w:t>
      </w:r>
    </w:p>
    <w:p>
      <w:pPr>
        <w:spacing w:after="120" w:line="276" w:lineRule="auto"/>
      </w:pPr>
      <w:r>
        <w:rPr>
          <w:rFonts w:ascii="Times New Roman" w:hAnsi="Times New Roman"/>
          <w:i w:val="0"/>
          <w:sz w:val="24"/>
        </w:rPr>
        <w:t>[5] Grubel, H. G., &amp; Lloyd, P. J. (1975). “Intra-Industry Trade: Theory and Measurement”, The Economic Journal, 85(340), pp. 646–648.</w:t>
      </w:r>
    </w:p>
    <w:p>
      <w:pPr>
        <w:spacing w:after="120" w:line="276" w:lineRule="auto"/>
      </w:pPr>
      <w:r>
        <w:rPr>
          <w:rFonts w:ascii="Times New Roman" w:hAnsi="Times New Roman"/>
          <w:i w:val="0"/>
          <w:sz w:val="24"/>
        </w:rPr>
        <w:t>[6] Lafay, G. (1992). “The Measurement of Revealed Comparative Advantages”, International Trade Modelling, Chapman and Hall, pp. 209–234.</w:t>
      </w:r>
    </w:p>
    <w:p>
      <w:pPr>
        <w:spacing w:after="120" w:line="276" w:lineRule="auto"/>
      </w:pPr>
      <w:r>
        <w:rPr>
          <w:rFonts w:ascii="Times New Roman" w:hAnsi="Times New Roman"/>
          <w:i w:val="0"/>
          <w:sz w:val="24"/>
        </w:rPr>
        <w:t>[7] United Nations Statistics Division (UNSD) (2024). “UN Comtrade Database Concepts and Definitions”, United Nations Publications.</w:t>
      </w:r>
    </w:p>
    <w:p>
      <w:pPr>
        <w:spacing w:after="120" w:line="276" w:lineRule="auto"/>
      </w:pPr>
      <w:r>
        <w:rPr>
          <w:rFonts w:ascii="Times New Roman" w:hAnsi="Times New Roman"/>
          <w:i w:val="0"/>
          <w:sz w:val="24"/>
        </w:rPr>
        <w:t>[8] Tiangolo, S. (2024). “FastAPI: Modern High-Performance Python Web Framework”, https://fastapi.tiangolo.com/.</w:t>
      </w:r>
    </w:p>
    <w:p>
      <w:pPr>
        <w:spacing w:after="120" w:line="276" w:lineRule="auto"/>
      </w:pPr>
      <w:r>
        <w:rPr>
          <w:rFonts w:ascii="Times New Roman" w:hAnsi="Times New Roman"/>
          <w:i w:val="0"/>
          <w:sz w:val="24"/>
        </w:rPr>
        <w:t>[9] Meta Open Source (2026). “React 19 Documentation”, https://react.dev/.</w:t>
      </w:r>
    </w:p>
    <w:p>
      <w:pPr>
        <w:spacing w:after="120" w:line="276" w:lineRule="auto"/>
      </w:pPr>
      <w:r>
        <w:rPr>
          <w:rFonts w:ascii="Times New Roman" w:hAnsi="Times New Roman"/>
          <w:i w:val="0"/>
          <w:sz w:val="24"/>
        </w:rPr>
        <w:t>[10] Docker Inc. (2024). “Docker Compose Specification &amp; Multi-Stage Best Practices”, https://docs.docker.com/.</w:t>
      </w:r>
    </w:p>
    <w:p>
      <w:pPr>
        <w:keepNext/>
        <w:spacing w:before="360" w:after="160"/>
      </w:pPr>
      <w:r>
        <w:rPr>
          <w:rFonts w:ascii="Times New Roman" w:hAnsi="Times New Roman"/>
          <w:b/>
          <w:color w:val="0F2942"/>
          <w:sz w:val="32"/>
        </w:rPr>
        <w:t>14. Bibliography</w:t>
      </w:r>
    </w:p>
    <w:p>
      <w:pPr>
        <w:spacing w:after="120" w:line="276" w:lineRule="auto"/>
      </w:pPr>
      <w:r>
        <w:rPr>
          <w:rFonts w:ascii="Times New Roman" w:hAnsi="Times New Roman"/>
          <w:i w:val="0"/>
          <w:sz w:val="24"/>
        </w:rPr>
        <w:t>Anderson, J. E., &amp; van Wincoop, E. (2003). “Gravity with Gravitas: A Solution to the Border Puzzle”, American Economic Review, 93(1), pp. 170–192.</w:t>
      </w:r>
    </w:p>
    <w:p>
      <w:pPr>
        <w:spacing w:after="120" w:line="276" w:lineRule="auto"/>
      </w:pPr>
      <w:r>
        <w:rPr>
          <w:rFonts w:ascii="Times New Roman" w:hAnsi="Times New Roman"/>
          <w:i w:val="0"/>
          <w:sz w:val="24"/>
        </w:rPr>
        <w:t>Feenstra, R. C. (2015). “Advanced International Trade: Theory and Evidence”, 2nd Edition, Princeton University Press.</w:t>
      </w:r>
    </w:p>
    <w:p>
      <w:pPr>
        <w:spacing w:after="120" w:line="276" w:lineRule="auto"/>
      </w:pPr>
      <w:r>
        <w:rPr>
          <w:rFonts w:ascii="Times New Roman" w:hAnsi="Times New Roman"/>
          <w:i w:val="0"/>
          <w:sz w:val="24"/>
        </w:rPr>
        <w:t>Hastie, T., Tibshirani, R., &amp; Friedman, J. (2009). “The Elements of Statistical Learning”, 2nd Edition, Springer.</w:t>
      </w:r>
    </w:p>
    <w:p>
      <w:pPr>
        <w:spacing w:after="120" w:line="276" w:lineRule="auto"/>
      </w:pPr>
      <w:r>
        <w:rPr>
          <w:rFonts w:ascii="Times New Roman" w:hAnsi="Times New Roman"/>
          <w:i w:val="0"/>
          <w:sz w:val="24"/>
        </w:rPr>
        <w:t>Hyndman, R. J., &amp; Athanasopoulos, G. (2018). “Forecasting: Principles and Practice”, 2nd Edition, OTexts.</w:t>
      </w:r>
    </w:p>
    <w:p>
      <w:pPr>
        <w:spacing w:after="120" w:line="276" w:lineRule="auto"/>
      </w:pPr>
      <w:r>
        <w:rPr>
          <w:rFonts w:ascii="Times New Roman" w:hAnsi="Times New Roman"/>
          <w:i w:val="0"/>
          <w:sz w:val="24"/>
        </w:rPr>
        <w:t>Krugman, P. R., Obstfeld, M., &amp; Melitz, M. J. (2018). “International Economics: Theory and Policy”, 11th Edition,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