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pBdr>
          <w:top w:val="single" w:color="1A6DB5" w:sz="16" w:space="0"/>
        </w:pBdr>
        <w:spacing w:after="0" w:before="0"/>
        <w:jc w:val="center"/>
      </w:pPr>
    </w:p>
    <w:p>
      <w:pPr>
        <w:spacing w:after="60" w:before="240"/>
        <w:jc w:val="center"/>
      </w:pPr>
      <w:r>
        <w:rPr>
          <w:rFonts w:ascii="Calibri" w:cs="Calibri" w:eastAsia="Calibri" w:hAnsi="Calibri"/>
          <w:b/>
          <w:bCs/>
          <w:color w:val="0D1B2A"/>
          <w:sz w:val="60"/>
          <w:szCs w:val="60"/>
        </w:rPr>
        <w:t xml:space="preserve">WAZUH-BASED SOC &amp;</w:t>
      </w:r>
    </w:p>
    <w:p>
      <w:pPr>
        <w:spacing w:after="160" w:before="0"/>
        <w:jc w:val="center"/>
      </w:pPr>
      <w:r>
        <w:rPr>
          <w:rFonts w:ascii="Calibri" w:cs="Calibri" w:eastAsia="Calibri" w:hAnsi="Calibri"/>
          <w:b/>
          <w:bCs/>
          <w:color w:val="0D1B2A"/>
          <w:sz w:val="60"/>
          <w:szCs w:val="60"/>
        </w:rPr>
        <w:t xml:space="preserve">THREAT MONITORING LAB</w:t>
      </w:r>
    </w:p>
    <w:p>
      <w:pPr>
        <w:pBdr>
          <w:bottom w:val="single" w:color="1A6DB5" w:sz="16" w:space="0"/>
        </w:pBdr>
        <w:spacing w:after="0" w:before="0"/>
        <w:jc w:val="center"/>
      </w:pPr>
      <w:r>
        <w:rPr>
          <w:rFonts w:ascii="Calibri" w:cs="Calibri" w:eastAsia="Calibri" w:hAnsi="Calibri"/>
          <w:i/>
          <w:iCs/>
          <w:color w:val="1A6DB5"/>
          <w:sz w:val="26"/>
          <w:szCs w:val="26"/>
        </w:rPr>
        <w:t xml:space="preserve">SIEM-Based Security Monitoring Project Report</w:t>
      </w:r>
    </w:p>
    <w:p>
      <w:pPr>
        <w:spacing w:after="40" w:before="300"/>
      </w:pPr>
    </w:p>
    <w:tbl>
      <w:tblPr>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tblGrid>
      <w:tr>
        <w:tc>
          <w:tcPr>
            <w:tcW w:type="dxa" w:w="2400"/>
            <w:tcBorders>
              <w:top w:val="single" w:color="A9CCE3" w:sz="1"/>
              <w:left w:val="single" w:color="A9CCE3" w:sz="1"/>
              <w:bottom w:val="single" w:color="A9CCE3" w:sz="1"/>
              <w:right w:val="single" w:color="A9CCE3" w:sz="1"/>
            </w:tcBorders>
            <w:shd w:fill="154360" w:val="clear"/>
            <w:tcMar>
              <w:top w:type="dxa" w:w="80"/>
              <w:left w:type="dxa" w:w="120"/>
              <w:bottom w:type="dxa" w:w="80"/>
              <w:right w:type="dxa" w:w="120"/>
            </w:tcMar>
          </w:tcPr>
          <w:p>
            <w:r>
              <w:rPr>
                <w:rFonts w:ascii="Calibri" w:cs="Calibri" w:eastAsia="Calibri" w:hAnsi="Calibri"/>
                <w:b/>
                <w:bCs/>
                <w:color w:val="FFFFFF"/>
                <w:sz w:val="20"/>
                <w:szCs w:val="20"/>
              </w:rPr>
              <w:t xml:space="preserve">Project Type</w:t>
            </w:r>
          </w:p>
        </w:tc>
        <w:tc>
          <w:tcPr>
            <w:tcW w:type="dxa" w:w="4200"/>
            <w:tcBorders>
              <w:top w:val="single" w:color="A9CCE3" w:sz="1"/>
              <w:left w:val="single" w:color="A9CCE3" w:sz="1"/>
              <w:bottom w:val="single" w:color="A9CCE3" w:sz="1"/>
              <w:right w:val="single" w:color="A9CCE3" w:sz="1"/>
            </w:tcBorders>
            <w:shd w:fill="1B4F72" w:val="clear"/>
            <w:tcMar>
              <w:top w:type="dxa" w:w="80"/>
              <w:left w:type="dxa" w:w="120"/>
              <w:bottom w:type="dxa" w:w="80"/>
              <w:right w:type="dxa" w:w="120"/>
            </w:tcMar>
          </w:tcPr>
          <w:p>
            <w:r>
              <w:rPr>
                <w:rFonts w:ascii="Calibri" w:cs="Calibri" w:eastAsia="Calibri" w:hAnsi="Calibri"/>
                <w:b w:val="false"/>
                <w:bCs w:val="false"/>
                <w:color w:val="FFFFFF"/>
                <w:sz w:val="20"/>
                <w:szCs w:val="20"/>
              </w:rPr>
              <w:t xml:space="preserve">SOC Lab / SIEM Implementation</w:t>
            </w:r>
          </w:p>
        </w:tc>
      </w:tr>
      <w:tr>
        <w:tc>
          <w:tcPr>
            <w:tcW w:type="dxa" w:w="2400"/>
            <w:tcBorders>
              <w:top w:val="single" w:color="A9CCE3" w:sz="1"/>
              <w:left w:val="single" w:color="A9CCE3" w:sz="1"/>
              <w:bottom w:val="single" w:color="A9CCE3" w:sz="1"/>
              <w:right w:val="single" w:color="A9CCE3" w:sz="1"/>
            </w:tcBorders>
            <w:shd w:fill="FFFFFF" w:val="clear"/>
            <w:tcMar>
              <w:top w:type="dxa" w:w="80"/>
              <w:left w:type="dxa" w:w="120"/>
              <w:bottom w:type="dxa" w:w="80"/>
              <w:right w:type="dxa" w:w="120"/>
            </w:tcMar>
          </w:tcPr>
          <w:p>
            <w:r>
              <w:rPr>
                <w:rFonts w:ascii="Calibri" w:cs="Calibri" w:eastAsia="Calibri" w:hAnsi="Calibri"/>
                <w:b/>
                <w:bCs/>
                <w:color w:val="1B4F72"/>
                <w:sz w:val="20"/>
                <w:szCs w:val="20"/>
              </w:rPr>
              <w:t xml:space="preserve">SIEM Platform</w:t>
            </w:r>
          </w:p>
        </w:tc>
        <w:tc>
          <w:tcPr>
            <w:tcW w:type="dxa" w:w="4200"/>
            <w:tcBorders>
              <w:top w:val="single" w:color="A9CCE3" w:sz="1"/>
              <w:left w:val="single" w:color="A9CCE3" w:sz="1"/>
              <w:bottom w:val="single" w:color="A9CCE3" w:sz="1"/>
              <w:right w:val="single" w:color="A9CCE3"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Wazuh 4.x</w:t>
            </w:r>
          </w:p>
        </w:tc>
      </w:tr>
      <w:tr>
        <w:tc>
          <w:tcPr>
            <w:tcW w:type="dxa" w:w="2400"/>
            <w:tcBorders>
              <w:top w:val="single" w:color="A9CCE3" w:sz="1"/>
              <w:left w:val="single" w:color="A9CCE3" w:sz="1"/>
              <w:bottom w:val="single" w:color="A9CCE3" w:sz="1"/>
              <w:right w:val="single" w:color="A9CCE3" w:sz="1"/>
            </w:tcBorders>
            <w:shd w:fill="EBF4FB" w:val="clear"/>
            <w:tcMar>
              <w:top w:type="dxa" w:w="80"/>
              <w:left w:type="dxa" w:w="120"/>
              <w:bottom w:type="dxa" w:w="80"/>
              <w:right w:type="dxa" w:w="120"/>
            </w:tcMar>
          </w:tcPr>
          <w:p>
            <w:r>
              <w:rPr>
                <w:rFonts w:ascii="Calibri" w:cs="Calibri" w:eastAsia="Calibri" w:hAnsi="Calibri"/>
                <w:b/>
                <w:bCs/>
                <w:color w:val="1B4F72"/>
                <w:sz w:val="20"/>
                <w:szCs w:val="20"/>
              </w:rPr>
              <w:t xml:space="preserve">Manager Host</w:t>
            </w:r>
          </w:p>
        </w:tc>
        <w:tc>
          <w:tcPr>
            <w:tcW w:type="dxa" w:w="4200"/>
            <w:tcBorders>
              <w:top w:val="single" w:color="A9CCE3" w:sz="1"/>
              <w:left w:val="single" w:color="A9CCE3" w:sz="1"/>
              <w:bottom w:val="single" w:color="A9CCE3" w:sz="1"/>
              <w:right w:val="single" w:color="A9CCE3" w:sz="1"/>
            </w:tcBorders>
            <w:shd w:fill="EBF4FB"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Kali Linux</w:t>
            </w:r>
          </w:p>
        </w:tc>
      </w:tr>
      <w:tr>
        <w:tc>
          <w:tcPr>
            <w:tcW w:type="dxa" w:w="2400"/>
            <w:tcBorders>
              <w:top w:val="single" w:color="A9CCE3" w:sz="1"/>
              <w:left w:val="single" w:color="A9CCE3" w:sz="1"/>
              <w:bottom w:val="single" w:color="A9CCE3" w:sz="1"/>
              <w:right w:val="single" w:color="A9CCE3" w:sz="1"/>
            </w:tcBorders>
            <w:shd w:fill="FFFFFF" w:val="clear"/>
            <w:tcMar>
              <w:top w:type="dxa" w:w="80"/>
              <w:left w:type="dxa" w:w="120"/>
              <w:bottom w:type="dxa" w:w="80"/>
              <w:right w:type="dxa" w:w="120"/>
            </w:tcMar>
          </w:tcPr>
          <w:p>
            <w:r>
              <w:rPr>
                <w:rFonts w:ascii="Calibri" w:cs="Calibri" w:eastAsia="Calibri" w:hAnsi="Calibri"/>
                <w:b/>
                <w:bCs/>
                <w:color w:val="1B4F72"/>
                <w:sz w:val="20"/>
                <w:szCs w:val="20"/>
              </w:rPr>
              <w:t xml:space="preserve">Monitored Endpoint</w:t>
            </w:r>
          </w:p>
        </w:tc>
        <w:tc>
          <w:tcPr>
            <w:tcW w:type="dxa" w:w="4200"/>
            <w:tcBorders>
              <w:top w:val="single" w:color="A9CCE3" w:sz="1"/>
              <w:left w:val="single" w:color="A9CCE3" w:sz="1"/>
              <w:bottom w:val="single" w:color="A9CCE3" w:sz="1"/>
              <w:right w:val="single" w:color="A9CCE3"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Windows 11 (VirtualBox)</w:t>
            </w:r>
          </w:p>
        </w:tc>
      </w:tr>
      <w:tr>
        <w:tc>
          <w:tcPr>
            <w:tcW w:type="dxa" w:w="2400"/>
            <w:tcBorders>
              <w:top w:val="single" w:color="A9CCE3" w:sz="1"/>
              <w:left w:val="single" w:color="A9CCE3" w:sz="1"/>
              <w:bottom w:val="single" w:color="A9CCE3" w:sz="1"/>
              <w:right w:val="single" w:color="A9CCE3" w:sz="1"/>
            </w:tcBorders>
            <w:shd w:fill="EBF4FB" w:val="clear"/>
            <w:tcMar>
              <w:top w:type="dxa" w:w="80"/>
              <w:left w:type="dxa" w:w="120"/>
              <w:bottom w:type="dxa" w:w="80"/>
              <w:right w:type="dxa" w:w="120"/>
            </w:tcMar>
          </w:tcPr>
          <w:p>
            <w:r>
              <w:rPr>
                <w:rFonts w:ascii="Calibri" w:cs="Calibri" w:eastAsia="Calibri" w:hAnsi="Calibri"/>
                <w:b/>
                <w:bCs/>
                <w:color w:val="1B4F72"/>
                <w:sz w:val="20"/>
                <w:szCs w:val="20"/>
              </w:rPr>
              <w:t xml:space="preserve">Dashboard</w:t>
            </w:r>
          </w:p>
        </w:tc>
        <w:tc>
          <w:tcPr>
            <w:tcW w:type="dxa" w:w="4200"/>
            <w:tcBorders>
              <w:top w:val="single" w:color="A9CCE3" w:sz="1"/>
              <w:left w:val="single" w:color="A9CCE3" w:sz="1"/>
              <w:bottom w:val="single" w:color="A9CCE3" w:sz="1"/>
              <w:right w:val="single" w:color="A9CCE3" w:sz="1"/>
            </w:tcBorders>
            <w:shd w:fill="EBF4FB"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OpenSearch Dashboards</w:t>
            </w:r>
          </w:p>
        </w:tc>
      </w:tr>
      <w:tr>
        <w:tc>
          <w:tcPr>
            <w:tcW w:type="dxa" w:w="2400"/>
            <w:tcBorders>
              <w:top w:val="single" w:color="A9CCE3" w:sz="1"/>
              <w:left w:val="single" w:color="A9CCE3" w:sz="1"/>
              <w:bottom w:val="single" w:color="A9CCE3" w:sz="1"/>
              <w:right w:val="single" w:color="A9CCE3" w:sz="1"/>
            </w:tcBorders>
            <w:shd w:fill="FFFFFF" w:val="clear"/>
            <w:tcMar>
              <w:top w:type="dxa" w:w="80"/>
              <w:left w:type="dxa" w:w="120"/>
              <w:bottom w:type="dxa" w:w="80"/>
              <w:right w:type="dxa" w:w="120"/>
            </w:tcMar>
          </w:tcPr>
          <w:p>
            <w:r>
              <w:rPr>
                <w:rFonts w:ascii="Calibri" w:cs="Calibri" w:eastAsia="Calibri" w:hAnsi="Calibri"/>
                <w:b/>
                <w:bCs/>
                <w:color w:val="1B4F72"/>
                <w:sz w:val="20"/>
                <w:szCs w:val="20"/>
              </w:rPr>
              <w:t xml:space="preserve">Report Date</w:t>
            </w:r>
          </w:p>
        </w:tc>
        <w:tc>
          <w:tcPr>
            <w:tcW w:type="dxa" w:w="4200"/>
            <w:tcBorders>
              <w:top w:val="single" w:color="A9CCE3" w:sz="1"/>
              <w:left w:val="single" w:color="A9CCE3" w:sz="1"/>
              <w:bottom w:val="single" w:color="A9CCE3" w:sz="1"/>
              <w:right w:val="single" w:color="A9CCE3"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May 24, 2026</w:t>
            </w:r>
          </w:p>
        </w:tc>
      </w:tr>
    </w:tbl>
    <w:p>
      <w:pPr>
        <w:spacing w:after="0" w:before="500"/>
      </w:pPr>
    </w:p>
    <w:p>
      <w:pPr>
        <w:spacing w:after="0" w:before="0"/>
        <w:jc w:val="center"/>
      </w:pPr>
      <w:r>
        <w:rPr>
          <w:rFonts w:ascii="Calibri" w:cs="Calibri" w:eastAsia="Calibri" w:hAnsi="Calibri"/>
          <w:b/>
          <w:bCs/>
          <w:color w:val="6B7280"/>
          <w:sz w:val="18"/>
          <w:szCs w:val="18"/>
        </w:rPr>
        <w:t xml:space="preserve">CONFIDENTIAL — FOR EDUCATIONAL PURPOSES ONLY</w:t>
      </w:r>
    </w:p>
    <w:p>
      <w:pPr>
        <w:sectPr>
          <w:pgSz w:w="12240" w:h="15840" w:orient="portrait"/>
          <w:pgMar w:top="1440" w:right="1440" w:bottom="1440" w:left="1440" w:header="708" w:footer="708" w:gutter="0"/>
          <w:pgNumType/>
          <w:docGrid w:linePitch="360"/>
        </w:sectPr>
      </w:pPr>
    </w:p>
    <w:p>
      <w:pPr>
        <w:pStyle w:val="Heading1"/>
        <w:pBdr>
          <w:bottom w:val="single" w:color="1A6DB5" w:sz="6" w:space="4"/>
        </w:pBdr>
        <w:spacing w:after="100" w:before="300"/>
      </w:pPr>
      <w:r>
        <w:rPr>
          <w:rFonts w:ascii="Calibri" w:cs="Calibri" w:eastAsia="Calibri" w:hAnsi="Calibri"/>
          <w:b/>
          <w:bCs/>
          <w:color w:val="0D1B2A"/>
          <w:sz w:val="30"/>
          <w:szCs w:val="30"/>
        </w:rPr>
        <w:t xml:space="preserve">1. Executive Summary</w:t>
      </w:r>
    </w:p>
    <w:p>
      <w:pPr>
        <w:spacing w:after="60" w:before="60"/>
      </w:pPr>
      <w:r>
        <w:rPr>
          <w:rFonts w:ascii="Calibri" w:cs="Calibri" w:eastAsia="Calibri" w:hAnsi="Calibri"/>
          <w:color w:val="1C1C1C"/>
          <w:sz w:val="20"/>
          <w:szCs w:val="20"/>
        </w:rPr>
        <w:t xml:space="preserve">This report documents the design, deployment, and outcome of a hands-on Security Operations Center (SOC) lab using Wazuh SIEM. The lab environment consists of a Wazuh Manager deployed on Kali Linux and a Windows 11 endpoint monitored via the Wazuh Agent inside VirtualBox. The setup successfully captures real-time security telemetry, maps events to the MITRE ATT&amp;CK framework, and visualises threat data through the OpenSearch Dashboard.</w:t>
      </w:r>
    </w:p>
    <w:p>
      <w:pPr>
        <w:spacing w:after="60" w:before="60"/>
      </w:pPr>
      <w:r>
        <w:rPr>
          <w:rFonts w:ascii="Calibri" w:cs="Calibri" w:eastAsia="Calibri" w:hAnsi="Calibri"/>
          <w:color w:val="1C1C1C"/>
          <w:sz w:val="20"/>
          <w:szCs w:val="20"/>
        </w:rPr>
        <w:t xml:space="preserve">Over a 24-hour observation window, 469 security events were collected from the monitored endpoint with 8 successful authentication events recorded, 0 authentication failures, and no critical (Level 12+) alerts. Detected activity was primarily mapped to T1078 (Valid Accounts) and Disable or Modify Tools techniques.</w:t>
      </w:r>
    </w:p>
    <w:p>
      <w:pPr>
        <w:pStyle w:val="Heading1"/>
        <w:pBdr>
          <w:bottom w:val="single" w:color="1A6DB5" w:sz="6" w:space="4"/>
        </w:pBdr>
        <w:spacing w:after="100" w:before="300"/>
      </w:pPr>
      <w:r>
        <w:rPr>
          <w:rFonts w:ascii="Calibri" w:cs="Calibri" w:eastAsia="Calibri" w:hAnsi="Calibri"/>
          <w:b/>
          <w:bCs/>
          <w:color w:val="0D1B2A"/>
          <w:sz w:val="30"/>
          <w:szCs w:val="30"/>
        </w:rPr>
        <w:t xml:space="preserve">2. Objectives</w:t>
      </w:r>
    </w:p>
    <w:p>
      <w:pPr>
        <w:pStyle w:val="ListParagraph"/>
        <w:numPr>
          <w:ilvl w:val="0"/>
          <w:numId w:val="2"/>
        </w:numPr>
        <w:spacing w:after="40" w:before="40"/>
      </w:pPr>
      <w:r>
        <w:rPr>
          <w:rFonts w:ascii="Calibri" w:cs="Calibri" w:eastAsia="Calibri" w:hAnsi="Calibri"/>
          <w:color w:val="1C1C1C"/>
          <w:sz w:val="20"/>
          <w:szCs w:val="20"/>
        </w:rPr>
        <w:t xml:space="preserve">Deploy Wazuh SIEM server on Kali Linux as the central monitoring and correlation engine</w:t>
      </w:r>
    </w:p>
    <w:p>
      <w:pPr>
        <w:pStyle w:val="ListParagraph"/>
        <w:numPr>
          <w:ilvl w:val="0"/>
          <w:numId w:val="2"/>
        </w:numPr>
        <w:spacing w:after="40" w:before="40"/>
      </w:pPr>
      <w:r>
        <w:rPr>
          <w:rFonts w:ascii="Calibri" w:cs="Calibri" w:eastAsia="Calibri" w:hAnsi="Calibri"/>
          <w:color w:val="1C1C1C"/>
          <w:sz w:val="20"/>
          <w:szCs w:val="20"/>
        </w:rPr>
        <w:t xml:space="preserve">Install and register the Wazuh Agent on a Windows 11 endpoint to collect system telemetry</w:t>
      </w:r>
    </w:p>
    <w:p>
      <w:pPr>
        <w:pStyle w:val="ListParagraph"/>
        <w:numPr>
          <w:ilvl w:val="0"/>
          <w:numId w:val="2"/>
        </w:numPr>
        <w:spacing w:after="40" w:before="40"/>
      </w:pPr>
      <w:r>
        <w:rPr>
          <w:rFonts w:ascii="Calibri" w:cs="Calibri" w:eastAsia="Calibri" w:hAnsi="Calibri"/>
          <w:color w:val="1C1C1C"/>
          <w:sz w:val="20"/>
          <w:szCs w:val="20"/>
        </w:rPr>
        <w:t xml:space="preserve">Monitor real-time security events, Windows Event Logs, and authentication activity</w:t>
      </w:r>
    </w:p>
    <w:p>
      <w:pPr>
        <w:pStyle w:val="ListParagraph"/>
        <w:numPr>
          <w:ilvl w:val="0"/>
          <w:numId w:val="2"/>
        </w:numPr>
        <w:spacing w:after="40" w:before="40"/>
      </w:pPr>
      <w:r>
        <w:rPr>
          <w:rFonts w:ascii="Calibri" w:cs="Calibri" w:eastAsia="Calibri" w:hAnsi="Calibri"/>
          <w:color w:val="1C1C1C"/>
          <w:sz w:val="20"/>
          <w:szCs w:val="20"/>
        </w:rPr>
        <w:t xml:space="preserve">Generate and analyse security alerts via the OpenSearch Dashboard</w:t>
      </w:r>
    </w:p>
    <w:p>
      <w:pPr>
        <w:pStyle w:val="ListParagraph"/>
        <w:numPr>
          <w:ilvl w:val="0"/>
          <w:numId w:val="2"/>
        </w:numPr>
        <w:spacing w:after="40" w:before="40"/>
      </w:pPr>
      <w:r>
        <w:rPr>
          <w:rFonts w:ascii="Calibri" w:cs="Calibri" w:eastAsia="Calibri" w:hAnsi="Calibri"/>
          <w:color w:val="1C1C1C"/>
          <w:sz w:val="20"/>
          <w:szCs w:val="20"/>
        </w:rPr>
        <w:t xml:space="preserve">Map detected events to the MITRE ATT&amp;CK framework for threat classification</w:t>
      </w:r>
    </w:p>
    <w:p>
      <w:pPr>
        <w:pStyle w:val="ListParagraph"/>
        <w:numPr>
          <w:ilvl w:val="0"/>
          <w:numId w:val="2"/>
        </w:numPr>
        <w:spacing w:after="40" w:before="40"/>
      </w:pPr>
      <w:r>
        <w:rPr>
          <w:rFonts w:ascii="Calibri" w:cs="Calibri" w:eastAsia="Calibri" w:hAnsi="Calibri"/>
          <w:color w:val="1C1C1C"/>
          <w:sz w:val="20"/>
          <w:szCs w:val="20"/>
        </w:rPr>
        <w:t xml:space="preserve">Simulate SOC analyst workflows including alert triage, investigation, and reporting</w:t>
      </w:r>
    </w:p>
    <w:p>
      <w:pPr>
        <w:pStyle w:val="Heading1"/>
        <w:pBdr>
          <w:bottom w:val="single" w:color="1A6DB5" w:sz="6" w:space="4"/>
        </w:pBdr>
        <w:spacing w:after="100" w:before="300"/>
      </w:pPr>
      <w:r>
        <w:rPr>
          <w:rFonts w:ascii="Calibri" w:cs="Calibri" w:eastAsia="Calibri" w:hAnsi="Calibri"/>
          <w:b/>
          <w:bCs/>
          <w:color w:val="0D1B2A"/>
          <w:sz w:val="30"/>
          <w:szCs w:val="30"/>
        </w:rPr>
        <w:t xml:space="preserve">3.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80"/>
        <w:gridCol w:w="3880"/>
      </w:tblGrid>
      <w:tr>
        <w:tc>
          <w:tcPr>
            <w:tcW w:type="dxa" w:w="2400"/>
            <w:tcBorders>
              <w:top w:val="single" w:color="A9CCE3" w:sz="1"/>
              <w:left w:val="single" w:color="A9CCE3" w:sz="1"/>
              <w:bottom w:val="single" w:color="A9CCE3" w:sz="1"/>
              <w:right w:val="single" w:color="A9CCE3" w:sz="1"/>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3080"/>
            <w:tcBorders>
              <w:top w:val="single" w:color="A9CCE3" w:sz="1"/>
              <w:left w:val="single" w:color="A9CCE3" w:sz="1"/>
              <w:bottom w:val="single" w:color="A9CCE3" w:sz="1"/>
              <w:right w:val="single" w:color="A9CCE3" w:sz="1"/>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3880"/>
            <w:tcBorders>
              <w:top w:val="single" w:color="A9CCE3" w:sz="1"/>
              <w:left w:val="single" w:color="A9CCE3" w:sz="1"/>
              <w:bottom w:val="single" w:color="A9CCE3" w:sz="1"/>
              <w:right w:val="single" w:color="A9CCE3" w:sz="1"/>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2400"/>
            <w:tcBorders>
              <w:top w:val="single" w:color="A9CCE3" w:sz="1"/>
              <w:left w:val="single" w:color="A9CCE3" w:sz="1"/>
              <w:bottom w:val="single" w:color="A9CCE3" w:sz="1"/>
              <w:right w:val="single" w:color="A9CCE3" w:sz="1"/>
            </w:tcBorders>
            <w:shd w:fill="EBF4FB" w:val="clear"/>
            <w:tcMar>
              <w:top w:type="dxa" w:w="80"/>
              <w:left w:type="dxa" w:w="120"/>
              <w:bottom w:type="dxa" w:w="80"/>
              <w:right w:type="dxa" w:w="120"/>
            </w:tcMar>
          </w:tcPr>
          <w:p>
            <w:r>
              <w:rPr>
                <w:rFonts w:ascii="Calibri" w:cs="Calibri" w:eastAsia="Calibri" w:hAnsi="Calibri"/>
                <w:b/>
                <w:bCs/>
                <w:color w:val="1B4F72"/>
                <w:sz w:val="20"/>
                <w:szCs w:val="20"/>
              </w:rPr>
              <w:t xml:space="preserve">SIEM Platform</w:t>
            </w:r>
          </w:p>
        </w:tc>
        <w:tc>
          <w:tcPr>
            <w:tcW w:type="dxa" w:w="3080"/>
            <w:tcBorders>
              <w:top w:val="single" w:color="A9CCE3" w:sz="1"/>
              <w:left w:val="single" w:color="A9CCE3" w:sz="1"/>
              <w:bottom w:val="single" w:color="A9CCE3" w:sz="1"/>
              <w:right w:val="single" w:color="A9CCE3" w:sz="1"/>
            </w:tcBorders>
            <w:shd w:fill="EBF4FB"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Wazuh 4.x</w:t>
            </w:r>
          </w:p>
        </w:tc>
        <w:tc>
          <w:tcPr>
            <w:tcW w:type="dxa" w:w="3880"/>
            <w:tcBorders>
              <w:top w:val="single" w:color="A9CCE3" w:sz="1"/>
              <w:left w:val="single" w:color="A9CCE3" w:sz="1"/>
              <w:bottom w:val="single" w:color="A9CCE3" w:sz="1"/>
              <w:right w:val="single" w:color="A9CCE3" w:sz="1"/>
            </w:tcBorders>
            <w:shd w:fill="EBF4FB"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Log ingestion, rule-based alerting, FIM, MITRE mapping</w:t>
            </w:r>
          </w:p>
        </w:tc>
      </w:tr>
      <w:tr>
        <w:tc>
          <w:tcPr>
            <w:tcW w:type="dxa" w:w="2400"/>
            <w:tcBorders>
              <w:top w:val="single" w:color="A9CCE3" w:sz="1"/>
              <w:left w:val="single" w:color="A9CCE3" w:sz="1"/>
              <w:bottom w:val="single" w:color="A9CCE3" w:sz="1"/>
              <w:right w:val="single" w:color="A9CCE3" w:sz="1"/>
            </w:tcBorders>
            <w:shd w:fill="FFFFFF" w:val="clear"/>
            <w:tcMar>
              <w:top w:type="dxa" w:w="80"/>
              <w:left w:type="dxa" w:w="120"/>
              <w:bottom w:type="dxa" w:w="80"/>
              <w:right w:type="dxa" w:w="120"/>
            </w:tcMar>
          </w:tcPr>
          <w:p>
            <w:r>
              <w:rPr>
                <w:rFonts w:ascii="Calibri" w:cs="Calibri" w:eastAsia="Calibri" w:hAnsi="Calibri"/>
                <w:b/>
                <w:bCs/>
                <w:color w:val="1B4F72"/>
                <w:sz w:val="20"/>
                <w:szCs w:val="20"/>
              </w:rPr>
              <w:t xml:space="preserve">Manager Host</w:t>
            </w:r>
          </w:p>
        </w:tc>
        <w:tc>
          <w:tcPr>
            <w:tcW w:type="dxa" w:w="3080"/>
            <w:tcBorders>
              <w:top w:val="single" w:color="A9CCE3" w:sz="1"/>
              <w:left w:val="single" w:color="A9CCE3" w:sz="1"/>
              <w:bottom w:val="single" w:color="A9CCE3" w:sz="1"/>
              <w:right w:val="single" w:color="A9CCE3"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Kali Linux</w:t>
            </w:r>
          </w:p>
        </w:tc>
        <w:tc>
          <w:tcPr>
            <w:tcW w:type="dxa" w:w="3880"/>
            <w:tcBorders>
              <w:top w:val="single" w:color="A9CCE3" w:sz="1"/>
              <w:left w:val="single" w:color="A9CCE3" w:sz="1"/>
              <w:bottom w:val="single" w:color="A9CCE3" w:sz="1"/>
              <w:right w:val="single" w:color="A9CCE3"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Hosts Wazuh Manager, Indexer, and Dashboard services</w:t>
            </w:r>
          </w:p>
        </w:tc>
      </w:tr>
      <w:tr>
        <w:tc>
          <w:tcPr>
            <w:tcW w:type="dxa" w:w="2400"/>
            <w:tcBorders>
              <w:top w:val="single" w:color="A9CCE3" w:sz="1"/>
              <w:left w:val="single" w:color="A9CCE3" w:sz="1"/>
              <w:bottom w:val="single" w:color="A9CCE3" w:sz="1"/>
              <w:right w:val="single" w:color="A9CCE3" w:sz="1"/>
            </w:tcBorders>
            <w:shd w:fill="EBF4FB" w:val="clear"/>
            <w:tcMar>
              <w:top w:type="dxa" w:w="80"/>
              <w:left w:type="dxa" w:w="120"/>
              <w:bottom w:type="dxa" w:w="80"/>
              <w:right w:type="dxa" w:w="120"/>
            </w:tcMar>
          </w:tcPr>
          <w:p>
            <w:r>
              <w:rPr>
                <w:rFonts w:ascii="Calibri" w:cs="Calibri" w:eastAsia="Calibri" w:hAnsi="Calibri"/>
                <w:b/>
                <w:bCs/>
                <w:color w:val="1B4F72"/>
                <w:sz w:val="20"/>
                <w:szCs w:val="20"/>
              </w:rPr>
              <w:t xml:space="preserve">Monitored Agent</w:t>
            </w:r>
          </w:p>
        </w:tc>
        <w:tc>
          <w:tcPr>
            <w:tcW w:type="dxa" w:w="3080"/>
            <w:tcBorders>
              <w:top w:val="single" w:color="A9CCE3" w:sz="1"/>
              <w:left w:val="single" w:color="A9CCE3" w:sz="1"/>
              <w:bottom w:val="single" w:color="A9CCE3" w:sz="1"/>
              <w:right w:val="single" w:color="A9CCE3" w:sz="1"/>
            </w:tcBorders>
            <w:shd w:fill="EBF4FB"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Windows 11 (VirtualBox)</w:t>
            </w:r>
          </w:p>
        </w:tc>
        <w:tc>
          <w:tcPr>
            <w:tcW w:type="dxa" w:w="3880"/>
            <w:tcBorders>
              <w:top w:val="single" w:color="A9CCE3" w:sz="1"/>
              <w:left w:val="single" w:color="A9CCE3" w:sz="1"/>
              <w:bottom w:val="single" w:color="A9CCE3" w:sz="1"/>
              <w:right w:val="single" w:color="A9CCE3" w:sz="1"/>
            </w:tcBorders>
            <w:shd w:fill="EBF4FB"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Target endpoint; Wazuh Agent collects and forwards logs</w:t>
            </w:r>
          </w:p>
        </w:tc>
      </w:tr>
      <w:tr>
        <w:tc>
          <w:tcPr>
            <w:tcW w:type="dxa" w:w="2400"/>
            <w:tcBorders>
              <w:top w:val="single" w:color="A9CCE3" w:sz="1"/>
              <w:left w:val="single" w:color="A9CCE3" w:sz="1"/>
              <w:bottom w:val="single" w:color="A9CCE3" w:sz="1"/>
              <w:right w:val="single" w:color="A9CCE3" w:sz="1"/>
            </w:tcBorders>
            <w:shd w:fill="FFFFFF" w:val="clear"/>
            <w:tcMar>
              <w:top w:type="dxa" w:w="80"/>
              <w:left w:type="dxa" w:w="120"/>
              <w:bottom w:type="dxa" w:w="80"/>
              <w:right w:type="dxa" w:w="120"/>
            </w:tcMar>
          </w:tcPr>
          <w:p>
            <w:r>
              <w:rPr>
                <w:rFonts w:ascii="Calibri" w:cs="Calibri" w:eastAsia="Calibri" w:hAnsi="Calibri"/>
                <w:b/>
                <w:bCs/>
                <w:color w:val="1B4F72"/>
                <w:sz w:val="20"/>
                <w:szCs w:val="20"/>
              </w:rPr>
              <w:t xml:space="preserve">Dashboard</w:t>
            </w:r>
          </w:p>
        </w:tc>
        <w:tc>
          <w:tcPr>
            <w:tcW w:type="dxa" w:w="3080"/>
            <w:tcBorders>
              <w:top w:val="single" w:color="A9CCE3" w:sz="1"/>
              <w:left w:val="single" w:color="A9CCE3" w:sz="1"/>
              <w:bottom w:val="single" w:color="A9CCE3" w:sz="1"/>
              <w:right w:val="single" w:color="A9CCE3"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OpenSearch Dashboards</w:t>
            </w:r>
          </w:p>
        </w:tc>
        <w:tc>
          <w:tcPr>
            <w:tcW w:type="dxa" w:w="3880"/>
            <w:tcBorders>
              <w:top w:val="single" w:color="A9CCE3" w:sz="1"/>
              <w:left w:val="single" w:color="A9CCE3" w:sz="1"/>
              <w:bottom w:val="single" w:color="A9CCE3" w:sz="1"/>
              <w:right w:val="single" w:color="A9CCE3"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Real-time visualisation, alert triage, and report export</w:t>
            </w:r>
          </w:p>
        </w:tc>
      </w:tr>
      <w:tr>
        <w:tc>
          <w:tcPr>
            <w:tcW w:type="dxa" w:w="2400"/>
            <w:tcBorders>
              <w:top w:val="single" w:color="A9CCE3" w:sz="1"/>
              <w:left w:val="single" w:color="A9CCE3" w:sz="1"/>
              <w:bottom w:val="single" w:color="A9CCE3" w:sz="1"/>
              <w:right w:val="single" w:color="A9CCE3" w:sz="1"/>
            </w:tcBorders>
            <w:shd w:fill="EBF4FB" w:val="clear"/>
            <w:tcMar>
              <w:top w:type="dxa" w:w="80"/>
              <w:left w:type="dxa" w:w="120"/>
              <w:bottom w:type="dxa" w:w="80"/>
              <w:right w:type="dxa" w:w="120"/>
            </w:tcMar>
          </w:tcPr>
          <w:p>
            <w:r>
              <w:rPr>
                <w:rFonts w:ascii="Calibri" w:cs="Calibri" w:eastAsia="Calibri" w:hAnsi="Calibri"/>
                <w:b/>
                <w:bCs/>
                <w:color w:val="1B4F72"/>
                <w:sz w:val="20"/>
                <w:szCs w:val="20"/>
              </w:rPr>
              <w:t xml:space="preserve">Virtualisation</w:t>
            </w:r>
          </w:p>
        </w:tc>
        <w:tc>
          <w:tcPr>
            <w:tcW w:type="dxa" w:w="3080"/>
            <w:tcBorders>
              <w:top w:val="single" w:color="A9CCE3" w:sz="1"/>
              <w:left w:val="single" w:color="A9CCE3" w:sz="1"/>
              <w:bottom w:val="single" w:color="A9CCE3" w:sz="1"/>
              <w:right w:val="single" w:color="A9CCE3" w:sz="1"/>
            </w:tcBorders>
            <w:shd w:fill="EBF4FB"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Oracle VirtualBox</w:t>
            </w:r>
          </w:p>
        </w:tc>
        <w:tc>
          <w:tcPr>
            <w:tcW w:type="dxa" w:w="3880"/>
            <w:tcBorders>
              <w:top w:val="single" w:color="A9CCE3" w:sz="1"/>
              <w:left w:val="single" w:color="A9CCE3" w:sz="1"/>
              <w:bottom w:val="single" w:color="A9CCE3" w:sz="1"/>
              <w:right w:val="single" w:color="A9CCE3" w:sz="1"/>
            </w:tcBorders>
            <w:shd w:fill="EBF4FB"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Isolated lab environment with host-only networking</w:t>
            </w:r>
          </w:p>
        </w:tc>
      </w:tr>
      <w:tr>
        <w:tc>
          <w:tcPr>
            <w:tcW w:type="dxa" w:w="2400"/>
            <w:tcBorders>
              <w:top w:val="single" w:color="A9CCE3" w:sz="1"/>
              <w:left w:val="single" w:color="A9CCE3" w:sz="1"/>
              <w:bottom w:val="single" w:color="A9CCE3" w:sz="1"/>
              <w:right w:val="single" w:color="A9CCE3" w:sz="1"/>
            </w:tcBorders>
            <w:shd w:fill="FFFFFF" w:val="clear"/>
            <w:tcMar>
              <w:top w:type="dxa" w:w="80"/>
              <w:left w:type="dxa" w:w="120"/>
              <w:bottom w:type="dxa" w:w="80"/>
              <w:right w:type="dxa" w:w="120"/>
            </w:tcMar>
          </w:tcPr>
          <w:p>
            <w:r>
              <w:rPr>
                <w:rFonts w:ascii="Calibri" w:cs="Calibri" w:eastAsia="Calibri" w:hAnsi="Calibri"/>
                <w:b/>
                <w:bCs/>
                <w:color w:val="1B4F72"/>
                <w:sz w:val="20"/>
                <w:szCs w:val="20"/>
              </w:rPr>
              <w:t xml:space="preserve">Protocol</w:t>
            </w:r>
          </w:p>
        </w:tc>
        <w:tc>
          <w:tcPr>
            <w:tcW w:type="dxa" w:w="3080"/>
            <w:tcBorders>
              <w:top w:val="single" w:color="A9CCE3" w:sz="1"/>
              <w:left w:val="single" w:color="A9CCE3" w:sz="1"/>
              <w:bottom w:val="single" w:color="A9CCE3" w:sz="1"/>
              <w:right w:val="single" w:color="A9CCE3"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TCP 1514 / HTTPS 55000</w:t>
            </w:r>
          </w:p>
        </w:tc>
        <w:tc>
          <w:tcPr>
            <w:tcW w:type="dxa" w:w="3880"/>
            <w:tcBorders>
              <w:top w:val="single" w:color="A9CCE3" w:sz="1"/>
              <w:left w:val="single" w:color="A9CCE3" w:sz="1"/>
              <w:bottom w:val="single" w:color="A9CCE3" w:sz="1"/>
              <w:right w:val="single" w:color="A9CCE3"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Agent-manager communication and REST API</w:t>
            </w:r>
          </w:p>
        </w:tc>
      </w:tr>
    </w:tbl>
    <w:p>
      <w:pPr>
        <w:pStyle w:val="Heading1"/>
        <w:pBdr>
          <w:bottom w:val="single" w:color="1A6DB5" w:sz="6" w:space="4"/>
        </w:pBdr>
        <w:spacing w:after="100" w:before="300"/>
      </w:pPr>
      <w:r>
        <w:rPr>
          <w:rFonts w:ascii="Calibri" w:cs="Calibri" w:eastAsia="Calibri" w:hAnsi="Calibri"/>
          <w:b/>
          <w:bCs/>
          <w:color w:val="0D1B2A"/>
          <w:sz w:val="30"/>
          <w:szCs w:val="30"/>
        </w:rPr>
        <w:t xml:space="preserve">4. System Architecture</w:t>
      </w:r>
    </w:p>
    <w:p>
      <w:pPr>
        <w:spacing w:after="60" w:before="60"/>
      </w:pPr>
      <w:r>
        <w:rPr>
          <w:rFonts w:ascii="Calibri" w:cs="Calibri" w:eastAsia="Calibri" w:hAnsi="Calibri"/>
          <w:color w:val="1C1C1C"/>
          <w:sz w:val="20"/>
          <w:szCs w:val="20"/>
        </w:rPr>
        <w:t xml:space="preserve">The lab follows a standard agent-manager SIEM topology. The Windows 11 endpoint runs the Wazuh Agent which collects Windows Event Logs, Security logs, Sysmon telemetry, and file system changes. Collected data is forwarded over TCP to the Wazuh Manager on Kali Linux, where it is decoded, correlated against the ruleset, and stored in the OpenSearch index. Analysts interact with the data through the OpenSearch Dashboard web interface.</w:t>
      </w:r>
    </w:p>
    <w:p>
      <w:pPr>
        <w:spacing w:after="0" w:before="80"/>
      </w:pPr>
    </w:p>
    <w:tbl>
      <w:tblPr>
        <w:tblW w:type="dxa" w:w="88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20"/>
        <w:gridCol w:w="2000"/>
        <w:gridCol w:w="320"/>
        <w:gridCol w:w="2000"/>
        <w:gridCol w:w="320"/>
        <w:gridCol w:w="1840"/>
      </w:tblGrid>
      <w:tr>
        <w:tc>
          <w:tcPr>
            <w:tcW w:type="dxa" w:w="2000"/>
            <w:tcBorders>
              <w:top w:val="single" w:color="A9CCE3" w:sz="1"/>
              <w:left w:val="single" w:color="A9CCE3" w:sz="1"/>
              <w:bottom w:val="single" w:color="A9CCE3" w:sz="1"/>
              <w:right w:val="single" w:color="A9CCE3" w:sz="1"/>
            </w:tcBorders>
            <w:shd w:fill="1B4F72" w:val="clear"/>
            <w:tcMar>
              <w:top w:type="dxa" w:w="120"/>
              <w:left w:type="dxa" w:w="100"/>
              <w:bottom w:type="dxa" w:w="120"/>
              <w:right w:type="dxa" w:w="100"/>
            </w:tcMar>
          </w:tcPr>
          <w:p>
            <w:pPr>
              <w:jc w:val="center"/>
            </w:pPr>
            <w:r>
              <w:rPr>
                <w:rFonts w:ascii="Calibri" w:cs="Calibri" w:eastAsia="Calibri" w:hAnsi="Calibri"/>
                <w:b/>
                <w:bCs/>
                <w:color w:val="FFFFFF"/>
                <w:sz w:val="19"/>
                <w:szCs w:val="19"/>
              </w:rPr>
              <w:t xml:space="preserve">Windows 11
Endpoint</w:t>
            </w:r>
          </w:p>
        </w:tc>
        <w:tc>
          <w:tcPr>
            <w:tcW w:type="dxa" w:w="320"/>
            <w:tcBorders>
              <w:top w:val="none" w:color="FFFFFF" w:sz="0"/>
              <w:left w:val="none" w:color="FFFFFF" w:sz="0"/>
              <w:bottom w:val="none" w:color="FFFFFF" w:sz="0"/>
              <w:right w:val="none" w:color="FFFFFF" w:sz="0"/>
            </w:tcBorders>
            <w:tcMar>
              <w:top w:type="dxa" w:w="120"/>
              <w:left w:type="dxa" w:w="40"/>
              <w:bottom w:type="dxa" w:w="120"/>
              <w:right w:type="dxa" w:w="40"/>
            </w:tcMar>
          </w:tcPr>
          <w:p>
            <w:pPr>
              <w:jc w:val="center"/>
            </w:pPr>
            <w:r>
              <w:rPr>
                <w:rFonts w:ascii="Calibri" w:cs="Calibri" w:eastAsia="Calibri" w:hAnsi="Calibri"/>
                <w:b/>
                <w:bCs/>
                <w:color w:val="1A6DB5"/>
                <w:sz w:val="28"/>
                <w:szCs w:val="28"/>
              </w:rPr>
              <w:t xml:space="preserve">→</w:t>
            </w:r>
          </w:p>
        </w:tc>
        <w:tc>
          <w:tcPr>
            <w:tcW w:type="dxa" w:w="2000"/>
            <w:tcBorders>
              <w:top w:val="single" w:color="A9CCE3" w:sz="1"/>
              <w:left w:val="single" w:color="A9CCE3" w:sz="1"/>
              <w:bottom w:val="single" w:color="A9CCE3" w:sz="1"/>
              <w:right w:val="single" w:color="A9CCE3" w:sz="1"/>
            </w:tcBorders>
            <w:shd w:fill="1A6DB5" w:val="clear"/>
            <w:tcMar>
              <w:top w:type="dxa" w:w="120"/>
              <w:left w:type="dxa" w:w="100"/>
              <w:bottom w:type="dxa" w:w="120"/>
              <w:right w:type="dxa" w:w="100"/>
            </w:tcMar>
          </w:tcPr>
          <w:p>
            <w:pPr>
              <w:jc w:val="center"/>
            </w:pPr>
            <w:r>
              <w:rPr>
                <w:rFonts w:ascii="Calibri" w:cs="Calibri" w:eastAsia="Calibri" w:hAnsi="Calibri"/>
                <w:b/>
                <w:bCs/>
                <w:color w:val="FFFFFF"/>
                <w:sz w:val="19"/>
                <w:szCs w:val="19"/>
              </w:rPr>
              <w:t xml:space="preserve">Wazuh Agent
(TCP 1514)</w:t>
            </w:r>
          </w:p>
        </w:tc>
        <w:tc>
          <w:tcPr>
            <w:tcW w:type="dxa" w:w="320"/>
            <w:tcBorders>
              <w:top w:val="none" w:color="FFFFFF" w:sz="0"/>
              <w:left w:val="none" w:color="FFFFFF" w:sz="0"/>
              <w:bottom w:val="none" w:color="FFFFFF" w:sz="0"/>
              <w:right w:val="none" w:color="FFFFFF" w:sz="0"/>
            </w:tcBorders>
            <w:tcMar>
              <w:top w:type="dxa" w:w="120"/>
              <w:left w:type="dxa" w:w="40"/>
              <w:bottom w:type="dxa" w:w="120"/>
              <w:right w:type="dxa" w:w="40"/>
            </w:tcMar>
          </w:tcPr>
          <w:p>
            <w:pPr>
              <w:jc w:val="center"/>
            </w:pPr>
            <w:r>
              <w:rPr>
                <w:rFonts w:ascii="Calibri" w:cs="Calibri" w:eastAsia="Calibri" w:hAnsi="Calibri"/>
                <w:b/>
                <w:bCs/>
                <w:color w:val="1A6DB5"/>
                <w:sz w:val="28"/>
                <w:szCs w:val="28"/>
              </w:rPr>
              <w:t xml:space="preserve">→</w:t>
            </w:r>
          </w:p>
        </w:tc>
        <w:tc>
          <w:tcPr>
            <w:tcW w:type="dxa" w:w="2000"/>
            <w:tcBorders>
              <w:top w:val="single" w:color="A9CCE3" w:sz="1"/>
              <w:left w:val="single" w:color="A9CCE3" w:sz="1"/>
              <w:bottom w:val="single" w:color="A9CCE3" w:sz="1"/>
              <w:right w:val="single" w:color="A9CCE3" w:sz="1"/>
            </w:tcBorders>
            <w:shd w:fill="154360" w:val="clear"/>
            <w:tcMar>
              <w:top w:type="dxa" w:w="120"/>
              <w:left w:type="dxa" w:w="100"/>
              <w:bottom w:type="dxa" w:w="120"/>
              <w:right w:type="dxa" w:w="100"/>
            </w:tcMar>
          </w:tcPr>
          <w:p>
            <w:pPr>
              <w:jc w:val="center"/>
            </w:pPr>
            <w:r>
              <w:rPr>
                <w:rFonts w:ascii="Calibri" w:cs="Calibri" w:eastAsia="Calibri" w:hAnsi="Calibri"/>
                <w:b/>
                <w:bCs/>
                <w:color w:val="FFFFFF"/>
                <w:sz w:val="19"/>
                <w:szCs w:val="19"/>
              </w:rPr>
              <w:t xml:space="preserve">Wazuh Manager
(Kali Linux)</w:t>
            </w:r>
          </w:p>
        </w:tc>
        <w:tc>
          <w:tcPr>
            <w:tcW w:type="dxa" w:w="320"/>
            <w:tcBorders>
              <w:top w:val="none" w:color="FFFFFF" w:sz="0"/>
              <w:left w:val="none" w:color="FFFFFF" w:sz="0"/>
              <w:bottom w:val="none" w:color="FFFFFF" w:sz="0"/>
              <w:right w:val="none" w:color="FFFFFF" w:sz="0"/>
            </w:tcBorders>
            <w:tcMar>
              <w:top w:type="dxa" w:w="120"/>
              <w:left w:type="dxa" w:w="40"/>
              <w:bottom w:type="dxa" w:w="120"/>
              <w:right w:type="dxa" w:w="40"/>
            </w:tcMar>
          </w:tcPr>
          <w:p>
            <w:pPr>
              <w:jc w:val="center"/>
            </w:pPr>
            <w:r>
              <w:rPr>
                <w:rFonts w:ascii="Calibri" w:cs="Calibri" w:eastAsia="Calibri" w:hAnsi="Calibri"/>
                <w:b/>
                <w:bCs/>
                <w:color w:val="1A6DB5"/>
                <w:sz w:val="28"/>
                <w:szCs w:val="28"/>
              </w:rPr>
              <w:t xml:space="preserve">→</w:t>
            </w:r>
          </w:p>
        </w:tc>
        <w:tc>
          <w:tcPr>
            <w:tcW w:type="dxa" w:w="1840"/>
            <w:tcBorders>
              <w:top w:val="single" w:color="A9CCE3" w:sz="1"/>
              <w:left w:val="single" w:color="A9CCE3" w:sz="1"/>
              <w:bottom w:val="single" w:color="A9CCE3" w:sz="1"/>
              <w:right w:val="single" w:color="A9CCE3" w:sz="1"/>
            </w:tcBorders>
            <w:shd w:fill="0D1B2A" w:val="clear"/>
            <w:tcMar>
              <w:top w:type="dxa" w:w="120"/>
              <w:left w:type="dxa" w:w="100"/>
              <w:bottom w:type="dxa" w:w="120"/>
              <w:right w:type="dxa" w:w="100"/>
            </w:tcMar>
          </w:tcPr>
          <w:p>
            <w:pPr>
              <w:jc w:val="center"/>
            </w:pPr>
            <w:r>
              <w:rPr>
                <w:rFonts w:ascii="Calibri" w:cs="Calibri" w:eastAsia="Calibri" w:hAnsi="Calibri"/>
                <w:b/>
                <w:bCs/>
                <w:color w:val="FFFFFF"/>
                <w:sz w:val="19"/>
                <w:szCs w:val="19"/>
              </w:rPr>
              <w:t xml:space="preserve">OpenSearch
Dashboard</w:t>
            </w:r>
          </w:p>
        </w:tc>
      </w:tr>
    </w:tbl>
    <w:p>
      <w:pPr>
        <w:spacing w:after="0" w:before="80"/>
      </w:pPr>
    </w:p>
    <w:p>
      <w:pPr>
        <w:pStyle w:val="Heading1"/>
        <w:pBdr>
          <w:bottom w:val="single" w:color="1A6DB5" w:sz="6" w:space="4"/>
        </w:pBdr>
        <w:spacing w:after="100" w:before="300"/>
      </w:pPr>
      <w:r>
        <w:rPr>
          <w:rFonts w:ascii="Calibri" w:cs="Calibri" w:eastAsia="Calibri" w:hAnsi="Calibri"/>
          <w:b/>
          <w:bCs/>
          <w:color w:val="0D1B2A"/>
          <w:sz w:val="30"/>
          <w:szCs w:val="30"/>
        </w:rPr>
        <w:t xml:space="preserve">5. Implemented Features</w:t>
      </w:r>
    </w:p>
    <w:p>
      <w:pPr>
        <w:pStyle w:val="Heading2"/>
        <w:spacing w:after="80" w:before="200"/>
      </w:pPr>
      <w:r>
        <w:rPr>
          <w:rFonts w:ascii="Calibri" w:cs="Calibri" w:eastAsia="Calibri" w:hAnsi="Calibri"/>
          <w:b/>
          <w:bCs/>
          <w:color w:val="1B4F72"/>
          <w:sz w:val="24"/>
          <w:szCs w:val="24"/>
        </w:rPr>
        <w:t xml:space="preserve">5.1  Agent-Based Log Collection</w:t>
      </w:r>
    </w:p>
    <w:p>
      <w:pPr>
        <w:spacing w:after="60" w:before="60"/>
      </w:pPr>
      <w:r>
        <w:rPr>
          <w:rFonts w:ascii="Calibri" w:cs="Calibri" w:eastAsia="Calibri" w:hAnsi="Calibri"/>
          <w:color w:val="1C1C1C"/>
          <w:sz w:val="20"/>
          <w:szCs w:val="20"/>
        </w:rPr>
        <w:t xml:space="preserve">The Wazuh Agent on Windows 11 (Agent 003 — VICTUS-DHAMINI) collects Windows Security Event Logs, System logs, Application logs, and file system changes. Events are buffered and forwarded to the manager over an encrypted TCP channel on port 1514.</w:t>
      </w:r>
    </w:p>
    <w:p>
      <w:pPr>
        <w:pStyle w:val="Heading2"/>
        <w:spacing w:after="80" w:before="200"/>
      </w:pPr>
      <w:r>
        <w:rPr>
          <w:rFonts w:ascii="Calibri" w:cs="Calibri" w:eastAsia="Calibri" w:hAnsi="Calibri"/>
          <w:b/>
          <w:bCs/>
          <w:color w:val="1B4F72"/>
          <w:sz w:val="24"/>
          <w:szCs w:val="24"/>
        </w:rPr>
        <w:t xml:space="preserve">5.2  Real-Time Alert Generation</w:t>
      </w:r>
    </w:p>
    <w:p>
      <w:pPr>
        <w:spacing w:after="60" w:before="60"/>
      </w:pPr>
      <w:r>
        <w:rPr>
          <w:rFonts w:ascii="Calibri" w:cs="Calibri" w:eastAsia="Calibri" w:hAnsi="Calibri"/>
          <w:color w:val="1C1C1C"/>
          <w:sz w:val="20"/>
          <w:szCs w:val="20"/>
        </w:rPr>
        <w:t xml:space="preserve">The Wazuh Manager decodes incoming events using XML decoders and evaluates them against over 3,000 built-in rules. Matched rules produce alerts classified by severity level (1–15). During this lab session, alerts were generated at levels 3, 7, and 9, with the largest burst at approximately 09:00.</w:t>
      </w:r>
    </w:p>
    <w:p>
      <w:pPr>
        <w:pStyle w:val="Heading2"/>
        <w:spacing w:after="80" w:before="200"/>
      </w:pPr>
      <w:r>
        <w:rPr>
          <w:rFonts w:ascii="Calibri" w:cs="Calibri" w:eastAsia="Calibri" w:hAnsi="Calibri"/>
          <w:b/>
          <w:bCs/>
          <w:color w:val="1B4F72"/>
          <w:sz w:val="24"/>
          <w:szCs w:val="24"/>
        </w:rPr>
        <w:t xml:space="preserve">5.3  MITRE ATT&amp;CK Mapping</w:t>
      </w:r>
    </w:p>
    <w:p>
      <w:pPr>
        <w:spacing w:after="60" w:before="60"/>
      </w:pPr>
      <w:r>
        <w:rPr>
          <w:rFonts w:ascii="Calibri" w:cs="Calibri" w:eastAsia="Calibri" w:hAnsi="Calibri"/>
          <w:color w:val="1C1C1C"/>
          <w:sz w:val="20"/>
          <w:szCs w:val="20"/>
        </w:rPr>
        <w:t xml:space="preserve">Wazuh automatically maps detected events to MITRE ATT&amp;CK tactics and techniques. Two dominant technique clusters were identified during the observation window:</w:t>
      </w:r>
    </w:p>
    <w:p>
      <w:pPr>
        <w:pStyle w:val="ListParagraph"/>
        <w:numPr>
          <w:ilvl w:val="0"/>
          <w:numId w:val="2"/>
        </w:numPr>
        <w:spacing w:after="40" w:before="40"/>
      </w:pPr>
      <w:r>
        <w:rPr>
          <w:rFonts w:ascii="Calibri" w:cs="Calibri" w:eastAsia="Calibri" w:hAnsi="Calibri"/>
          <w:color w:val="1C1C1C"/>
          <w:sz w:val="20"/>
          <w:szCs w:val="20"/>
        </w:rPr>
        <w:t xml:space="preserve">T1078 — Valid Accounts: tagged across Defense Evasion, Persistence, Privilege Escalation, and Initial Access tactics</w:t>
      </w:r>
    </w:p>
    <w:p>
      <w:pPr>
        <w:pStyle w:val="ListParagraph"/>
        <w:numPr>
          <w:ilvl w:val="0"/>
          <w:numId w:val="2"/>
        </w:numPr>
        <w:spacing w:after="40" w:before="40"/>
      </w:pPr>
      <w:r>
        <w:rPr>
          <w:rFonts w:ascii="Calibri" w:cs="Calibri" w:eastAsia="Calibri" w:hAnsi="Calibri"/>
          <w:color w:val="1C1C1C"/>
          <w:sz w:val="20"/>
          <w:szCs w:val="20"/>
        </w:rPr>
        <w:t xml:space="preserve">T1562 — Disable or Modify Tools: detected in system configuration events</w:t>
      </w:r>
    </w:p>
    <w:p>
      <w:pPr>
        <w:pStyle w:val="Heading2"/>
        <w:spacing w:after="80" w:before="200"/>
      </w:pPr>
      <w:r>
        <w:rPr>
          <w:rFonts w:ascii="Calibri" w:cs="Calibri" w:eastAsia="Calibri" w:hAnsi="Calibri"/>
          <w:b/>
          <w:bCs/>
          <w:color w:val="1B4F72"/>
          <w:sz w:val="24"/>
          <w:szCs w:val="24"/>
        </w:rPr>
        <w:t xml:space="preserve">5.4  File Integrity Monitoring (FIM)</w:t>
      </w:r>
    </w:p>
    <w:p>
      <w:pPr>
        <w:spacing w:after="60" w:before="60"/>
      </w:pPr>
      <w:r>
        <w:rPr>
          <w:rFonts w:ascii="Calibri" w:cs="Calibri" w:eastAsia="Calibri" w:hAnsi="Calibri"/>
          <w:color w:val="1C1C1C"/>
          <w:sz w:val="20"/>
          <w:szCs w:val="20"/>
        </w:rPr>
        <w:t xml:space="preserve">Wazuh FIM was configured to monitor critical Windows system directories and registry hives. Create, modify, and delete events on watched paths generate dedicated FIM alerts, enabling detection of unauthorized changes and potential malware staging.</w:t>
      </w:r>
    </w:p>
    <w:p>
      <w:pPr>
        <w:pStyle w:val="Heading2"/>
        <w:spacing w:after="80" w:before="200"/>
      </w:pPr>
      <w:r>
        <w:rPr>
          <w:rFonts w:ascii="Calibri" w:cs="Calibri" w:eastAsia="Calibri" w:hAnsi="Calibri"/>
          <w:b/>
          <w:bCs/>
          <w:color w:val="1B4F72"/>
          <w:sz w:val="24"/>
          <w:szCs w:val="24"/>
        </w:rPr>
        <w:t xml:space="preserve">5.5  Security Reporting</w:t>
      </w:r>
    </w:p>
    <w:p>
      <w:pPr>
        <w:spacing w:after="60" w:before="60"/>
      </w:pPr>
      <w:r>
        <w:rPr>
          <w:rFonts w:ascii="Calibri" w:cs="Calibri" w:eastAsia="Calibri" w:hAnsi="Calibri"/>
          <w:color w:val="1C1C1C"/>
          <w:sz w:val="20"/>
          <w:szCs w:val="20"/>
        </w:rPr>
        <w:t xml:space="preserve">The Wazuh dashboard provides a built-in report generation facility accessible via Management &gt; Reporting. A report was successfully generated capturing the 24-hour security summary including alert counts, top agents, and MITRE technique distribution.</w:t>
      </w:r>
    </w:p>
    <w:p>
      <w:pPr>
        <w:pStyle w:val="Heading2"/>
        <w:spacing w:after="80" w:before="200"/>
      </w:pPr>
      <w:r>
        <w:rPr>
          <w:rFonts w:ascii="Calibri" w:cs="Calibri" w:eastAsia="Calibri" w:hAnsi="Calibri"/>
          <w:b/>
          <w:bCs/>
          <w:color w:val="1B4F72"/>
          <w:sz w:val="24"/>
          <w:szCs w:val="24"/>
        </w:rPr>
        <w:t xml:space="preserve">5.6  OpenSearch Dashboard Visualisation</w:t>
      </w:r>
    </w:p>
    <w:p>
      <w:pPr>
        <w:spacing w:after="60" w:before="60"/>
      </w:pPr>
      <w:r>
        <w:rPr>
          <w:rFonts w:ascii="Calibri" w:cs="Calibri" w:eastAsia="Calibri" w:hAnsi="Calibri"/>
          <w:color w:val="1C1C1C"/>
          <w:sz w:val="20"/>
          <w:szCs w:val="20"/>
        </w:rPr>
        <w:t xml:space="preserve">The OpenSearch Dashboards layer provides interactive visualisation panels including alert level evolution over time, top agents by event volume, MITRE ATT&amp;CK heatmaps, and authentication success/failure counters. Custom dashboards can be built from any combination of OpenSearch index fields.</w:t>
      </w:r>
    </w:p>
    <w:p>
      <w:pPr>
        <w:pStyle w:val="Heading1"/>
        <w:pBdr>
          <w:bottom w:val="single" w:color="1A6DB5" w:sz="6" w:space="4"/>
        </w:pBdr>
        <w:spacing w:after="100" w:before="300"/>
      </w:pPr>
      <w:r>
        <w:rPr>
          <w:rFonts w:ascii="Calibri" w:cs="Calibri" w:eastAsia="Calibri" w:hAnsi="Calibri"/>
          <w:b/>
          <w:bCs/>
          <w:color w:val="0D1B2A"/>
          <w:sz w:val="30"/>
          <w:szCs w:val="30"/>
        </w:rPr>
        <w:t xml:space="preserve">6. Dashboard Screenshots &amp; Analysis</w:t>
      </w:r>
    </w:p>
    <w:p>
      <w:pPr>
        <w:pStyle w:val="Heading2"/>
        <w:spacing w:after="80" w:before="200"/>
      </w:pPr>
      <w:r>
        <w:rPr>
          <w:rFonts w:ascii="Calibri" w:cs="Calibri" w:eastAsia="Calibri" w:hAnsi="Calibri"/>
          <w:b/>
          <w:bCs/>
          <w:color w:val="1B4F72"/>
          <w:sz w:val="24"/>
          <w:szCs w:val="24"/>
        </w:rPr>
        <w:t xml:space="preserve">6.1  Security Events Overview — Wazuh Dashboard</w:t>
      </w:r>
    </w:p>
    <w:p>
      <w:pPr>
        <w:spacing w:after="60" w:before="60"/>
      </w:pPr>
      <w:r>
        <w:rPr>
          <w:rFonts w:ascii="Calibri" w:cs="Calibri" w:eastAsia="Calibri" w:hAnsi="Calibri"/>
          <w:color w:val="1C1C1C"/>
          <w:sz w:val="20"/>
          <w:szCs w:val="20"/>
        </w:rPr>
        <w:t xml:space="preserve">The Security Events module filtered to the lab environment shows 469 total events recorded over 24 hours. The alert level evolution chart reveals a significant spike at approximately 09:00 (local time), indicating a burst of monitored activity. The Top MITRE ATT&amp;CKs panel highlights Valid Accounts and Disable or Modify Tools as the dominant detected techniques. Authentication statistics show 8 successful logins and 0 failures, confirming no brute-force activity during the session.</w:t>
      </w:r>
    </w:p>
    <w:p>
      <w:pPr>
        <w:spacing w:after="30" w:before="80"/>
        <w:jc w:val="center"/>
      </w:pPr>
      <w:r>
        <w:drawing>
          <wp:inline distT="0" distB="0" distL="0" distR="0">
            <wp:extent cx="4457700" cy="2038350"/>
            <wp:effectExtent t="0" r="0" b="0" l="0"/>
            <wp:docPr id="1" name="fig1" descr="Security Events Dashboard — 469 events, alert spike at 09:00, MITRE ATT&amp;CK distribution"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2038350"/>
                    </a:xfrm>
                    <a:prstGeom prst="rect">
                      <a:avLst/>
                    </a:prstGeom>
                  </pic:spPr>
                </pic:pic>
              </a:graphicData>
            </a:graphic>
          </wp:inline>
        </w:drawing>
      </w:r>
    </w:p>
    <w:p>
      <w:pPr>
        <w:spacing w:after="120" w:before="0"/>
        <w:jc w:val="center"/>
      </w:pPr>
      <w:r>
        <w:rPr>
          <w:rFonts w:ascii="Calibri" w:cs="Calibri" w:eastAsia="Calibri" w:hAnsi="Calibri"/>
          <w:b/>
          <w:bCs/>
          <w:color w:val="1B4F72"/>
          <w:sz w:val="18"/>
          <w:szCs w:val="18"/>
        </w:rPr>
        <w:t xml:space="preserve">Figure 1: </w:t>
      </w:r>
      <w:r>
        <w:rPr>
          <w:rFonts w:ascii="Calibri" w:cs="Calibri" w:eastAsia="Calibri" w:hAnsi="Calibri"/>
          <w:i/>
          <w:iCs/>
          <w:color w:val="6B7280"/>
          <w:sz w:val="18"/>
          <w:szCs w:val="18"/>
        </w:rPr>
        <w:t xml:space="preserve">Security Events Dashboard — 469 events, alert spike at 09:00, MITRE ATT&amp;CK distribution</w:t>
      </w:r>
    </w:p>
    <w:p>
      <w:pPr>
        <w:pStyle w:val="Heading2"/>
        <w:spacing w:after="80" w:before="200"/>
      </w:pPr>
      <w:r>
        <w:rPr>
          <w:rFonts w:ascii="Calibri" w:cs="Calibri" w:eastAsia="Calibri" w:hAnsi="Calibri"/>
          <w:b/>
          <w:bCs/>
          <w:color w:val="1B4F72"/>
          <w:sz w:val="24"/>
          <w:szCs w:val="24"/>
        </w:rPr>
        <w:t xml:space="preserve">6.2  OpenSearch Custom Dashboard Interface</w:t>
      </w:r>
    </w:p>
    <w:p>
      <w:pPr>
        <w:spacing w:after="60" w:before="60"/>
      </w:pPr>
      <w:r>
        <w:rPr>
          <w:rFonts w:ascii="Calibri" w:cs="Calibri" w:eastAsia="Calibri" w:hAnsi="Calibri"/>
          <w:color w:val="1C1C1C"/>
          <w:sz w:val="20"/>
          <w:szCs w:val="20"/>
        </w:rPr>
        <w:t xml:space="preserve">The OpenSearch Dashboards interface provides a flexible canvas for building custom monitoring panels. This view shows the initial state of the custom dashboards section, where analysts can combine data views from multiple OpenSearch indices to create tailored SOC workspaces. The backend indexer stores all Wazuh alert data in searchable indices queryable via DQL or Lucene syntax.</w:t>
      </w:r>
    </w:p>
    <w:p>
      <w:pPr>
        <w:spacing w:after="30" w:before="80"/>
        <w:jc w:val="center"/>
      </w:pPr>
      <w:r>
        <w:drawing>
          <wp:inline distT="0" distB="0" distL="0" distR="0">
            <wp:extent cx="4457700" cy="2038350"/>
            <wp:effectExtent t="0" r="0" b="0" l="0"/>
            <wp:docPr id="1" name="fig2" descr="OpenSearch Dashboards — Custom dashboard workspace (no pre-built panels configured)"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2038350"/>
                    </a:xfrm>
                    <a:prstGeom prst="rect">
                      <a:avLst/>
                    </a:prstGeom>
                  </pic:spPr>
                </pic:pic>
              </a:graphicData>
            </a:graphic>
          </wp:inline>
        </w:drawing>
      </w:r>
    </w:p>
    <w:p>
      <w:pPr>
        <w:spacing w:after="120" w:before="0"/>
        <w:jc w:val="center"/>
      </w:pPr>
      <w:r>
        <w:rPr>
          <w:rFonts w:ascii="Calibri" w:cs="Calibri" w:eastAsia="Calibri" w:hAnsi="Calibri"/>
          <w:b/>
          <w:bCs/>
          <w:color w:val="1B4F72"/>
          <w:sz w:val="18"/>
          <w:szCs w:val="18"/>
        </w:rPr>
        <w:t xml:space="preserve">Figure 2: </w:t>
      </w:r>
      <w:r>
        <w:rPr>
          <w:rFonts w:ascii="Calibri" w:cs="Calibri" w:eastAsia="Calibri" w:hAnsi="Calibri"/>
          <w:i/>
          <w:iCs/>
          <w:color w:val="6B7280"/>
          <w:sz w:val="18"/>
          <w:szCs w:val="18"/>
        </w:rPr>
        <w:t xml:space="preserve">OpenSearch Dashboards — Custom dashboard workspace (no pre-built panels configured)</w:t>
      </w:r>
    </w:p>
    <w:p>
      <w:pPr>
        <w:pStyle w:val="Heading2"/>
        <w:spacing w:after="80" w:before="200"/>
      </w:pPr>
      <w:r>
        <w:rPr>
          <w:rFonts w:ascii="Calibri" w:cs="Calibri" w:eastAsia="Calibri" w:hAnsi="Calibri"/>
          <w:b/>
          <w:bCs/>
          <w:color w:val="1B4F72"/>
          <w:sz w:val="24"/>
          <w:szCs w:val="24"/>
        </w:rPr>
        <w:t xml:space="preserve">6.3  Top 5 Agents &amp; Alert Timeline</w:t>
      </w:r>
    </w:p>
    <w:p>
      <w:pPr>
        <w:spacing w:after="60" w:before="60"/>
      </w:pPr>
      <w:r>
        <w:rPr>
          <w:rFonts w:ascii="Calibri" w:cs="Calibri" w:eastAsia="Calibri" w:hAnsi="Calibri"/>
          <w:color w:val="1C1C1C"/>
          <w:sz w:val="20"/>
          <w:szCs w:val="20"/>
        </w:rPr>
        <w:t xml:space="preserve">The agent summary panel confirms two active agents in the environment: VICTUS-DHAMINI (Windows 11, Agent 003) and kali. VICTUS-DHAMINI accounts for the overwhelming majority of alerts as expected for a Windows endpoint generating Event Log telemetry. The 30-minute interval bar chart mirrors the spike pattern observed in the overview dashboard, confirming the burst originated from the Windows endpoint.</w:t>
      </w:r>
    </w:p>
    <w:p>
      <w:pPr>
        <w:spacing w:after="30" w:before="80"/>
        <w:jc w:val="center"/>
      </w:pPr>
      <w:r>
        <w:drawing>
          <wp:inline distT="0" distB="0" distL="0" distR="0">
            <wp:extent cx="4457700" cy="2009775"/>
            <wp:effectExtent t="0" r="0" b="0" l="0"/>
            <wp:docPr id="1" name="fig3" descr="Top 5 Agents — VICTUS-DHAMINI (Agent 003) dominates; alert timeline showing 09:00 spik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2009775"/>
                    </a:xfrm>
                    <a:prstGeom prst="rect">
                      <a:avLst/>
                    </a:prstGeom>
                  </pic:spPr>
                </pic:pic>
              </a:graphicData>
            </a:graphic>
          </wp:inline>
        </w:drawing>
      </w:r>
    </w:p>
    <w:p>
      <w:pPr>
        <w:spacing w:after="120" w:before="0"/>
        <w:jc w:val="center"/>
      </w:pPr>
      <w:r>
        <w:rPr>
          <w:rFonts w:ascii="Calibri" w:cs="Calibri" w:eastAsia="Calibri" w:hAnsi="Calibri"/>
          <w:b/>
          <w:bCs/>
          <w:color w:val="1B4F72"/>
          <w:sz w:val="18"/>
          <w:szCs w:val="18"/>
        </w:rPr>
        <w:t xml:space="preserve">Figure 3: </w:t>
      </w:r>
      <w:r>
        <w:rPr>
          <w:rFonts w:ascii="Calibri" w:cs="Calibri" w:eastAsia="Calibri" w:hAnsi="Calibri"/>
          <w:i/>
          <w:iCs/>
          <w:color w:val="6B7280"/>
          <w:sz w:val="18"/>
          <w:szCs w:val="18"/>
        </w:rPr>
        <w:t xml:space="preserve">Top 5 Agents — VICTUS-DHAMINI (Agent 003) dominates; alert timeline showing 09:00 spike</w:t>
      </w:r>
    </w:p>
    <w:p>
      <w:pPr>
        <w:pStyle w:val="Heading2"/>
        <w:spacing w:after="80" w:before="200"/>
      </w:pPr>
      <w:r>
        <w:rPr>
          <w:rFonts w:ascii="Calibri" w:cs="Calibri" w:eastAsia="Calibri" w:hAnsi="Calibri"/>
          <w:b/>
          <w:bCs/>
          <w:color w:val="1B4F72"/>
          <w:sz w:val="24"/>
          <w:szCs w:val="24"/>
        </w:rPr>
        <w:t xml:space="preserve">6.4  Security Alerts Detail Table</w:t>
      </w:r>
    </w:p>
    <w:p>
      <w:pPr>
        <w:spacing w:after="60" w:before="60"/>
      </w:pPr>
      <w:r>
        <w:rPr>
          <w:rFonts w:ascii="Calibri" w:cs="Calibri" w:eastAsia="Calibri" w:hAnsi="Calibri"/>
          <w:color w:val="1C1C1C"/>
          <w:sz w:val="20"/>
          <w:szCs w:val="20"/>
        </w:rPr>
        <w:t xml:space="preserve">The Security Alerts table lists individual events from Agent 003. Three notable rules are visible in this view:</w:t>
      </w:r>
    </w:p>
    <w:p>
      <w:pPr>
        <w:pStyle w:val="ListParagraph"/>
        <w:numPr>
          <w:ilvl w:val="0"/>
          <w:numId w:val="2"/>
        </w:numPr>
        <w:spacing w:after="40" w:before="40"/>
      </w:pPr>
      <w:r>
        <w:rPr>
          <w:rFonts w:ascii="Calibri" w:cs="Calibri" w:eastAsia="Calibri" w:hAnsi="Calibri"/>
          <w:color w:val="1C1C1C"/>
          <w:sz w:val="20"/>
          <w:szCs w:val="20"/>
        </w:rPr>
        <w:t xml:space="preserve">Rule 60106 — Windows logon success, mapped to MITRE T1078 covering four tactics: Defense Evasion, Persistence, Privilege Escalation, and Initial Access (Level 3)</w:t>
      </w:r>
    </w:p>
    <w:p>
      <w:pPr>
        <w:pStyle w:val="ListParagraph"/>
        <w:numPr>
          <w:ilvl w:val="0"/>
          <w:numId w:val="2"/>
        </w:numPr>
        <w:spacing w:after="40" w:before="40"/>
      </w:pPr>
      <w:r>
        <w:rPr>
          <w:rFonts w:ascii="Calibri" w:cs="Calibri" w:eastAsia="Calibri" w:hAnsi="Calibri"/>
          <w:color w:val="1C1C1C"/>
          <w:sz w:val="20"/>
          <w:szCs w:val="20"/>
        </w:rPr>
        <w:t xml:space="preserve">Rule 60642 — Software Protection Service scheduled successfully (Level 3)</w:t>
      </w:r>
    </w:p>
    <w:p>
      <w:pPr>
        <w:pStyle w:val="ListParagraph"/>
        <w:numPr>
          <w:ilvl w:val="0"/>
          <w:numId w:val="2"/>
        </w:numPr>
        <w:spacing w:after="40" w:before="40"/>
      </w:pPr>
      <w:r>
        <w:rPr>
          <w:rFonts w:ascii="Calibri" w:cs="Calibri" w:eastAsia="Calibri" w:hAnsi="Calibri"/>
          <w:color w:val="1C1C1C"/>
          <w:sz w:val="20"/>
          <w:szCs w:val="20"/>
        </w:rPr>
        <w:t xml:space="preserve">Rule 60635 — Windows Installer reconfigured the product (Level 3)</w:t>
      </w:r>
    </w:p>
    <w:p>
      <w:pPr>
        <w:spacing w:after="0" w:before="60"/>
      </w:pPr>
    </w:p>
    <w:p>
      <w:pPr>
        <w:spacing w:after="30" w:before="80"/>
        <w:jc w:val="center"/>
      </w:pPr>
      <w:r>
        <w:drawing>
          <wp:inline distT="0" distB="0" distL="0" distR="0">
            <wp:extent cx="4457700" cy="2009775"/>
            <wp:effectExtent t="0" r="0" b="0" l="0"/>
            <wp:docPr id="1" name="fig4" descr="Security Alerts table — Rules 60106 (T1078), 60642, 60635 on Agent VICTUS-DHAMINI"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57700" cy="2009775"/>
                    </a:xfrm>
                    <a:prstGeom prst="rect">
                      <a:avLst/>
                    </a:prstGeom>
                  </pic:spPr>
                </pic:pic>
              </a:graphicData>
            </a:graphic>
          </wp:inline>
        </w:drawing>
      </w:r>
    </w:p>
    <w:p>
      <w:pPr>
        <w:spacing w:after="120" w:before="0"/>
        <w:jc w:val="center"/>
      </w:pPr>
      <w:r>
        <w:rPr>
          <w:rFonts w:ascii="Calibri" w:cs="Calibri" w:eastAsia="Calibri" w:hAnsi="Calibri"/>
          <w:b/>
          <w:bCs/>
          <w:color w:val="1B4F72"/>
          <w:sz w:val="18"/>
          <w:szCs w:val="18"/>
        </w:rPr>
        <w:t xml:space="preserve">Figure 4: </w:t>
      </w:r>
      <w:r>
        <w:rPr>
          <w:rFonts w:ascii="Calibri" w:cs="Calibri" w:eastAsia="Calibri" w:hAnsi="Calibri"/>
          <w:i/>
          <w:iCs/>
          <w:color w:val="6B7280"/>
          <w:sz w:val="18"/>
          <w:szCs w:val="18"/>
        </w:rPr>
        <w:t xml:space="preserve">Security Alerts table — Rules 60106 (T1078), 60642, 60635 on Agent VICTUS-DHAMINI</w:t>
      </w:r>
    </w:p>
    <w:p>
      <w:pPr>
        <w:pStyle w:val="Heading2"/>
        <w:spacing w:after="80" w:before="200"/>
      </w:pPr>
      <w:r>
        <w:rPr>
          <w:rFonts w:ascii="Calibri" w:cs="Calibri" w:eastAsia="Calibri" w:hAnsi="Calibri"/>
          <w:b/>
          <w:bCs/>
          <w:color w:val="1B4F72"/>
          <w:sz w:val="24"/>
          <w:szCs w:val="24"/>
        </w:rPr>
        <w:t xml:space="preserve">6.5  Connected Agent Manager View</w:t>
      </w:r>
    </w:p>
    <w:p>
      <w:pPr>
        <w:spacing w:after="60" w:before="60"/>
      </w:pPr>
      <w:r>
        <w:rPr>
          <w:rFonts w:ascii="Calibri" w:cs="Calibri" w:eastAsia="Calibri" w:hAnsi="Calibri"/>
          <w:color w:val="1C1C1C"/>
          <w:sz w:val="20"/>
          <w:szCs w:val="20"/>
        </w:rPr>
        <w:t xml:space="preserve">The Wazuh Agent Manager confirms the Windows 11 endpoint is connected and actively reporting. Agent 003 (VICTUS-DHAMINI) shows as active with its last keep-alive timestamp visible, confirming bidirectional connectivity between the agent and the Kali Linux manager.</w:t>
      </w:r>
    </w:p>
    <w:p>
      <w:pPr>
        <w:spacing w:after="30" w:before="80"/>
        <w:jc w:val="center"/>
      </w:pPr>
      <w:r>
        <w:drawing>
          <wp:inline distT="0" distB="0" distL="0" distR="0">
            <wp:extent cx="4457700" cy="2038350"/>
            <wp:effectExtent t="0" r="0" b="0" l="0"/>
            <wp:docPr id="1" name="fig5" descr="Wazuh Agent Manager — Agent 003 (VICTUS-DHAMINI) connected and activ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57700" cy="2038350"/>
                    </a:xfrm>
                    <a:prstGeom prst="rect">
                      <a:avLst/>
                    </a:prstGeom>
                  </pic:spPr>
                </pic:pic>
              </a:graphicData>
            </a:graphic>
          </wp:inline>
        </w:drawing>
      </w:r>
    </w:p>
    <w:p>
      <w:pPr>
        <w:spacing w:after="120" w:before="0"/>
        <w:jc w:val="center"/>
      </w:pPr>
      <w:r>
        <w:rPr>
          <w:rFonts w:ascii="Calibri" w:cs="Calibri" w:eastAsia="Calibri" w:hAnsi="Calibri"/>
          <w:b/>
          <w:bCs/>
          <w:color w:val="1B4F72"/>
          <w:sz w:val="18"/>
          <w:szCs w:val="18"/>
        </w:rPr>
        <w:t xml:space="preserve">Figure 5: </w:t>
      </w:r>
      <w:r>
        <w:rPr>
          <w:rFonts w:ascii="Calibri" w:cs="Calibri" w:eastAsia="Calibri" w:hAnsi="Calibri"/>
          <w:i/>
          <w:iCs/>
          <w:color w:val="6B7280"/>
          <w:sz w:val="18"/>
          <w:szCs w:val="18"/>
        </w:rPr>
        <w:t xml:space="preserve">Wazuh Agent Manager — Agent 003 (VICTUS-DHAMINI) connected and active</w:t>
      </w:r>
    </w:p>
    <w:p>
      <w:pPr>
        <w:pStyle w:val="Heading2"/>
        <w:spacing w:after="80" w:before="200"/>
      </w:pPr>
      <w:r>
        <w:rPr>
          <w:rFonts w:ascii="Calibri" w:cs="Calibri" w:eastAsia="Calibri" w:hAnsi="Calibri"/>
          <w:b/>
          <w:bCs/>
          <w:color w:val="1B4F72"/>
          <w:sz w:val="24"/>
          <w:szCs w:val="24"/>
        </w:rPr>
        <w:t xml:space="preserve">6.6  Generated Security Report</w:t>
      </w:r>
    </w:p>
    <w:p>
      <w:pPr>
        <w:spacing w:after="60" w:before="60"/>
      </w:pPr>
      <w:r>
        <w:rPr>
          <w:rFonts w:ascii="Calibri" w:cs="Calibri" w:eastAsia="Calibri" w:hAnsi="Calibri"/>
          <w:color w:val="1C1C1C"/>
          <w:sz w:val="20"/>
          <w:szCs w:val="20"/>
        </w:rPr>
        <w:t xml:space="preserve">A security report was successfully generated through the Wazuh Management &gt; Reporting interface, as confirmed by the 'Created report' notification in the dashboard. The report captures the 24-hour security summary and can be exported for distribution or record-keeping.</w:t>
      </w:r>
    </w:p>
    <w:p>
      <w:pPr>
        <w:spacing w:after="30" w:before="80"/>
        <w:jc w:val="center"/>
      </w:pPr>
      <w:r>
        <w:drawing>
          <wp:inline distT="0" distB="0" distL="0" distR="0">
            <wp:extent cx="4457700" cy="2038350"/>
            <wp:effectExtent t="0" r="0" b="0" l="0"/>
            <wp:docPr id="1" name="fig6" descr="Wazuh report generation — 'Created report' confirmation notification visibl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57700" cy="2038350"/>
                    </a:xfrm>
                    <a:prstGeom prst="rect">
                      <a:avLst/>
                    </a:prstGeom>
                  </pic:spPr>
                </pic:pic>
              </a:graphicData>
            </a:graphic>
          </wp:inline>
        </w:drawing>
      </w:r>
    </w:p>
    <w:p>
      <w:pPr>
        <w:spacing w:after="120" w:before="0"/>
        <w:jc w:val="center"/>
      </w:pPr>
      <w:r>
        <w:rPr>
          <w:rFonts w:ascii="Calibri" w:cs="Calibri" w:eastAsia="Calibri" w:hAnsi="Calibri"/>
          <w:b/>
          <w:bCs/>
          <w:color w:val="1B4F72"/>
          <w:sz w:val="18"/>
          <w:szCs w:val="18"/>
        </w:rPr>
        <w:t xml:space="preserve">Figure 6: </w:t>
      </w:r>
      <w:r>
        <w:rPr>
          <w:rFonts w:ascii="Calibri" w:cs="Calibri" w:eastAsia="Calibri" w:hAnsi="Calibri"/>
          <w:i/>
          <w:iCs/>
          <w:color w:val="6B7280"/>
          <w:sz w:val="18"/>
          <w:szCs w:val="18"/>
        </w:rPr>
        <w:t xml:space="preserve">Wazuh report generation — 'Created report' confirmation notification visible</w:t>
      </w:r>
    </w:p>
    <w:p>
      <w:pPr>
        <w:pStyle w:val="Heading2"/>
        <w:spacing w:after="80" w:before="200"/>
      </w:pPr>
      <w:r>
        <w:rPr>
          <w:rFonts w:ascii="Calibri" w:cs="Calibri" w:eastAsia="Calibri" w:hAnsi="Calibri"/>
          <w:b/>
          <w:bCs/>
          <w:color w:val="1B4F72"/>
          <w:sz w:val="24"/>
          <w:szCs w:val="24"/>
        </w:rPr>
        <w:t xml:space="preserve">6.7  Extended Event Log View</w:t>
      </w:r>
    </w:p>
    <w:p>
      <w:pPr>
        <w:spacing w:after="60" w:before="60"/>
      </w:pPr>
      <w:r>
        <w:rPr>
          <w:rFonts w:ascii="Calibri" w:cs="Calibri" w:eastAsia="Calibri" w:hAnsi="Calibri"/>
          <w:color w:val="1C1C1C"/>
          <w:sz w:val="20"/>
          <w:szCs w:val="20"/>
        </w:rPr>
        <w:t xml:space="preserve">The extended Wazuh event log panel displays the granular log stream from the monitored endpoint, showing individual log entries with timestamps, rule IDs, severity levels, and source agent details. This view is used during deep-dive investigations.</w:t>
      </w:r>
    </w:p>
    <w:p>
      <w:pPr>
        <w:spacing w:after="30" w:before="80"/>
        <w:jc w:val="center"/>
      </w:pPr>
      <w:r>
        <w:drawing>
          <wp:inline distT="0" distB="0" distL="0" distR="0">
            <wp:extent cx="4457700" cy="2000250"/>
            <wp:effectExtent t="0" r="0" b="0" l="0"/>
            <wp:docPr id="1" name="fig7" descr="Extended security event log view — granular per-event detail"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57700" cy="2000250"/>
                    </a:xfrm>
                    <a:prstGeom prst="rect">
                      <a:avLst/>
                    </a:prstGeom>
                  </pic:spPr>
                </pic:pic>
              </a:graphicData>
            </a:graphic>
          </wp:inline>
        </w:drawing>
      </w:r>
    </w:p>
    <w:p>
      <w:pPr>
        <w:spacing w:after="120" w:before="0"/>
        <w:jc w:val="center"/>
      </w:pPr>
      <w:r>
        <w:rPr>
          <w:rFonts w:ascii="Calibri" w:cs="Calibri" w:eastAsia="Calibri" w:hAnsi="Calibri"/>
          <w:b/>
          <w:bCs/>
          <w:color w:val="1B4F72"/>
          <w:sz w:val="18"/>
          <w:szCs w:val="18"/>
        </w:rPr>
        <w:t xml:space="preserve">Figure 7: </w:t>
      </w:r>
      <w:r>
        <w:rPr>
          <w:rFonts w:ascii="Calibri" w:cs="Calibri" w:eastAsia="Calibri" w:hAnsi="Calibri"/>
          <w:i/>
          <w:iCs/>
          <w:color w:val="6B7280"/>
          <w:sz w:val="18"/>
          <w:szCs w:val="18"/>
        </w:rPr>
        <w:t xml:space="preserve">Extended security event log view — granular per-event detail</w:t>
      </w:r>
    </w:p>
    <w:p>
      <w:pPr>
        <w:pStyle w:val="Heading2"/>
        <w:spacing w:after="80" w:before="200"/>
      </w:pPr>
      <w:r>
        <w:rPr>
          <w:rFonts w:ascii="Calibri" w:cs="Calibri" w:eastAsia="Calibri" w:hAnsi="Calibri"/>
          <w:b/>
          <w:bCs/>
          <w:color w:val="1B4F72"/>
          <w:sz w:val="24"/>
          <w:szCs w:val="24"/>
        </w:rPr>
        <w:t xml:space="preserve">6.8  Security Event Stream</w:t>
      </w:r>
    </w:p>
    <w:p>
      <w:pPr>
        <w:spacing w:after="60" w:before="60"/>
      </w:pPr>
      <w:r>
        <w:rPr>
          <w:rFonts w:ascii="Calibri" w:cs="Calibri" w:eastAsia="Calibri" w:hAnsi="Calibri"/>
          <w:color w:val="1C1C1C"/>
          <w:sz w:val="20"/>
          <w:szCs w:val="20"/>
        </w:rPr>
        <w:t xml:space="preserve">This view shows the raw security event stream captured from the Windows endpoint, displaying the time-series of individual events feeding into the Wazuh correlation engine. The density of events visible here corresponds to the burst period captured in the timeline charts.</w:t>
      </w:r>
    </w:p>
    <w:p>
      <w:pPr>
        <w:spacing w:after="30" w:before="80"/>
        <w:jc w:val="center"/>
      </w:pPr>
      <w:r>
        <w:drawing>
          <wp:inline distT="0" distB="0" distL="0" distR="0">
            <wp:extent cx="4457700" cy="1790700"/>
            <wp:effectExtent t="0" r="0" b="0" l="0"/>
            <wp:docPr id="1" name="fig8" descr="Security event stream — raw event density from Windows endpoint"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57700" cy="1790700"/>
                    </a:xfrm>
                    <a:prstGeom prst="rect">
                      <a:avLst/>
                    </a:prstGeom>
                  </pic:spPr>
                </pic:pic>
              </a:graphicData>
            </a:graphic>
          </wp:inline>
        </w:drawing>
      </w:r>
    </w:p>
    <w:p>
      <w:pPr>
        <w:spacing w:after="120" w:before="0"/>
        <w:jc w:val="center"/>
      </w:pPr>
      <w:r>
        <w:rPr>
          <w:rFonts w:ascii="Calibri" w:cs="Calibri" w:eastAsia="Calibri" w:hAnsi="Calibri"/>
          <w:b/>
          <w:bCs/>
          <w:color w:val="1B4F72"/>
          <w:sz w:val="18"/>
          <w:szCs w:val="18"/>
        </w:rPr>
        <w:t xml:space="preserve">Figure 8: </w:t>
      </w:r>
      <w:r>
        <w:rPr>
          <w:rFonts w:ascii="Calibri" w:cs="Calibri" w:eastAsia="Calibri" w:hAnsi="Calibri"/>
          <w:i/>
          <w:iCs/>
          <w:color w:val="6B7280"/>
          <w:sz w:val="18"/>
          <w:szCs w:val="18"/>
        </w:rPr>
        <w:t xml:space="preserve">Security event stream — raw event density from Windows endpoint</w:t>
      </w:r>
    </w:p>
    <w:p>
      <w:pPr>
        <w:pStyle w:val="Heading1"/>
        <w:pBdr>
          <w:bottom w:val="single" w:color="1A6DB5" w:sz="6" w:space="4"/>
        </w:pBdr>
        <w:spacing w:after="100" w:before="300"/>
      </w:pPr>
      <w:r>
        <w:rPr>
          <w:rFonts w:ascii="Calibri" w:cs="Calibri" w:eastAsia="Calibri" w:hAnsi="Calibri"/>
          <w:b/>
          <w:bCs/>
          <w:color w:val="0D1B2A"/>
          <w:sz w:val="30"/>
          <w:szCs w:val="30"/>
        </w:rPr>
        <w:t xml:space="preserve">7.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9CCE3" w:sz="1"/>
              <w:left w:val="single" w:color="A9CCE3" w:sz="1"/>
              <w:bottom w:val="single" w:color="A9CCE3" w:sz="1"/>
              <w:right w:val="single" w:color="A9CCE3" w:sz="1"/>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6160"/>
            <w:tcBorders>
              <w:top w:val="single" w:color="A9CCE3" w:sz="1"/>
              <w:left w:val="single" w:color="A9CCE3" w:sz="1"/>
              <w:bottom w:val="single" w:color="A9CCE3" w:sz="1"/>
              <w:right w:val="single" w:color="A9CCE3" w:sz="1"/>
            </w:tcBorders>
            <w:shd w:fill="0D1B2A" w:val="clear"/>
            <w:tcMar>
              <w:top w:type="dxa" w:w="80"/>
              <w:left w:type="dxa" w:w="120"/>
              <w:bottom w:type="dxa" w:w="80"/>
              <w:right w:type="dxa" w:w="120"/>
            </w:tcMar>
          </w:tcPr>
          <w:p>
            <w:r>
              <w:rPr>
                <w:rFonts w:ascii="Calibri" w:cs="Calibri" w:eastAsia="Calibri" w:hAnsi="Calibri"/>
                <w:b/>
                <w:bCs/>
                <w:color w:val="FFFFFF"/>
                <w:sz w:val="20"/>
                <w:szCs w:val="20"/>
              </w:rPr>
              <w:t xml:space="preserve">Outcome</w:t>
            </w:r>
          </w:p>
        </w:tc>
      </w:tr>
      <w:tr>
        <w:tc>
          <w:tcPr>
            <w:tcW w:type="dxa" w:w="3200"/>
            <w:tcBorders>
              <w:top w:val="single" w:color="A9CCE3" w:sz="1"/>
              <w:left w:val="single" w:color="A9CCE3" w:sz="1"/>
              <w:bottom w:val="single" w:color="A9CCE3" w:sz="1"/>
              <w:right w:val="single" w:color="A9CCE3" w:sz="1"/>
            </w:tcBorders>
            <w:shd w:fill="EBF4FB" w:val="clear"/>
            <w:tcMar>
              <w:top w:type="dxa" w:w="80"/>
              <w:left w:type="dxa" w:w="120"/>
              <w:bottom w:type="dxa" w:w="80"/>
              <w:right w:type="dxa" w:w="120"/>
            </w:tcMar>
          </w:tcPr>
          <w:p>
            <w:r>
              <w:rPr>
                <w:rFonts w:ascii="Calibri" w:cs="Calibri" w:eastAsia="Calibri" w:hAnsi="Calibri"/>
                <w:b/>
                <w:bCs/>
                <w:color w:val="1B4F72"/>
                <w:sz w:val="20"/>
                <w:szCs w:val="20"/>
              </w:rPr>
              <w:t xml:space="preserve">Wazuh Deployment</w:t>
            </w:r>
          </w:p>
        </w:tc>
        <w:tc>
          <w:tcPr>
            <w:tcW w:type="dxa" w:w="6160"/>
            <w:tcBorders>
              <w:top w:val="single" w:color="A9CCE3" w:sz="1"/>
              <w:left w:val="single" w:color="A9CCE3" w:sz="1"/>
              <w:bottom w:val="single" w:color="A9CCE3" w:sz="1"/>
              <w:right w:val="single" w:color="A9CCE3" w:sz="1"/>
            </w:tcBorders>
            <w:shd w:fill="EBF4FB"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Manager successfully deployed on Kali Linux; all services operational</w:t>
            </w:r>
          </w:p>
        </w:tc>
      </w:tr>
      <w:tr>
        <w:tc>
          <w:tcPr>
            <w:tcW w:type="dxa" w:w="3200"/>
            <w:tcBorders>
              <w:top w:val="single" w:color="A9CCE3" w:sz="1"/>
              <w:left w:val="single" w:color="A9CCE3" w:sz="1"/>
              <w:bottom w:val="single" w:color="A9CCE3" w:sz="1"/>
              <w:right w:val="single" w:color="A9CCE3" w:sz="1"/>
            </w:tcBorders>
            <w:shd w:fill="FFFFFF" w:val="clear"/>
            <w:tcMar>
              <w:top w:type="dxa" w:w="80"/>
              <w:left w:type="dxa" w:w="120"/>
              <w:bottom w:type="dxa" w:w="80"/>
              <w:right w:type="dxa" w:w="120"/>
            </w:tcMar>
          </w:tcPr>
          <w:p>
            <w:r>
              <w:rPr>
                <w:rFonts w:ascii="Calibri" w:cs="Calibri" w:eastAsia="Calibri" w:hAnsi="Calibri"/>
                <w:b/>
                <w:bCs/>
                <w:color w:val="1B4F72"/>
                <w:sz w:val="20"/>
                <w:szCs w:val="20"/>
              </w:rPr>
              <w:t xml:space="preserve">Agent Connectivity</w:t>
            </w:r>
          </w:p>
        </w:tc>
        <w:tc>
          <w:tcPr>
            <w:tcW w:type="dxa" w:w="6160"/>
            <w:tcBorders>
              <w:top w:val="single" w:color="A9CCE3" w:sz="1"/>
              <w:left w:val="single" w:color="A9CCE3" w:sz="1"/>
              <w:bottom w:val="single" w:color="A9CCE3" w:sz="1"/>
              <w:right w:val="single" w:color="A9CCE3"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Agent 003 (VICTUS-DHAMINI) connected and reporting continuously</w:t>
            </w:r>
          </w:p>
        </w:tc>
      </w:tr>
      <w:tr>
        <w:tc>
          <w:tcPr>
            <w:tcW w:type="dxa" w:w="3200"/>
            <w:tcBorders>
              <w:top w:val="single" w:color="A9CCE3" w:sz="1"/>
              <w:left w:val="single" w:color="A9CCE3" w:sz="1"/>
              <w:bottom w:val="single" w:color="A9CCE3" w:sz="1"/>
              <w:right w:val="single" w:color="A9CCE3" w:sz="1"/>
            </w:tcBorders>
            <w:shd w:fill="EBF4FB" w:val="clear"/>
            <w:tcMar>
              <w:top w:type="dxa" w:w="80"/>
              <w:left w:type="dxa" w:w="120"/>
              <w:bottom w:type="dxa" w:w="80"/>
              <w:right w:type="dxa" w:w="120"/>
            </w:tcMar>
          </w:tcPr>
          <w:p>
            <w:r>
              <w:rPr>
                <w:rFonts w:ascii="Calibri" w:cs="Calibri" w:eastAsia="Calibri" w:hAnsi="Calibri"/>
                <w:b/>
                <w:bCs/>
                <w:color w:val="1B4F72"/>
                <w:sz w:val="20"/>
                <w:szCs w:val="20"/>
              </w:rPr>
              <w:t xml:space="preserve">Total Events (24 hrs)</w:t>
            </w:r>
          </w:p>
        </w:tc>
        <w:tc>
          <w:tcPr>
            <w:tcW w:type="dxa" w:w="6160"/>
            <w:tcBorders>
              <w:top w:val="single" w:color="A9CCE3" w:sz="1"/>
              <w:left w:val="single" w:color="A9CCE3" w:sz="1"/>
              <w:bottom w:val="single" w:color="A9CCE3" w:sz="1"/>
              <w:right w:val="single" w:color="A9CCE3" w:sz="1"/>
            </w:tcBorders>
            <w:shd w:fill="EBF4FB"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469 security events captured across all rule levels</w:t>
            </w:r>
          </w:p>
        </w:tc>
      </w:tr>
      <w:tr>
        <w:tc>
          <w:tcPr>
            <w:tcW w:type="dxa" w:w="3200"/>
            <w:tcBorders>
              <w:top w:val="single" w:color="A9CCE3" w:sz="1"/>
              <w:left w:val="single" w:color="A9CCE3" w:sz="1"/>
              <w:bottom w:val="single" w:color="A9CCE3" w:sz="1"/>
              <w:right w:val="single" w:color="A9CCE3" w:sz="1"/>
            </w:tcBorders>
            <w:shd w:fill="FFFFFF" w:val="clear"/>
            <w:tcMar>
              <w:top w:type="dxa" w:w="80"/>
              <w:left w:type="dxa" w:w="120"/>
              <w:bottom w:type="dxa" w:w="80"/>
              <w:right w:type="dxa" w:w="120"/>
            </w:tcMar>
          </w:tcPr>
          <w:p>
            <w:r>
              <w:rPr>
                <w:rFonts w:ascii="Calibri" w:cs="Calibri" w:eastAsia="Calibri" w:hAnsi="Calibri"/>
                <w:b/>
                <w:bCs/>
                <w:color w:val="1B4F72"/>
                <w:sz w:val="20"/>
                <w:szCs w:val="20"/>
              </w:rPr>
              <w:t xml:space="preserve">Level 12+ Critical Alerts</w:t>
            </w:r>
          </w:p>
        </w:tc>
        <w:tc>
          <w:tcPr>
            <w:tcW w:type="dxa" w:w="6160"/>
            <w:tcBorders>
              <w:top w:val="single" w:color="A9CCE3" w:sz="1"/>
              <w:left w:val="single" w:color="A9CCE3" w:sz="1"/>
              <w:bottom w:val="single" w:color="A9CCE3" w:sz="1"/>
              <w:right w:val="single" w:color="A9CCE3"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0 — no critical or emergency conditions detected</w:t>
            </w:r>
          </w:p>
        </w:tc>
      </w:tr>
      <w:tr>
        <w:tc>
          <w:tcPr>
            <w:tcW w:type="dxa" w:w="3200"/>
            <w:tcBorders>
              <w:top w:val="single" w:color="A9CCE3" w:sz="1"/>
              <w:left w:val="single" w:color="A9CCE3" w:sz="1"/>
              <w:bottom w:val="single" w:color="A9CCE3" w:sz="1"/>
              <w:right w:val="single" w:color="A9CCE3" w:sz="1"/>
            </w:tcBorders>
            <w:shd w:fill="EBF4FB" w:val="clear"/>
            <w:tcMar>
              <w:top w:type="dxa" w:w="80"/>
              <w:left w:type="dxa" w:w="120"/>
              <w:bottom w:type="dxa" w:w="80"/>
              <w:right w:type="dxa" w:w="120"/>
            </w:tcMar>
          </w:tcPr>
          <w:p>
            <w:r>
              <w:rPr>
                <w:rFonts w:ascii="Calibri" w:cs="Calibri" w:eastAsia="Calibri" w:hAnsi="Calibri"/>
                <w:b/>
                <w:bCs/>
                <w:color w:val="1B4F72"/>
                <w:sz w:val="20"/>
                <w:szCs w:val="20"/>
              </w:rPr>
              <w:t xml:space="preserve">Authentication Success</w:t>
            </w:r>
          </w:p>
        </w:tc>
        <w:tc>
          <w:tcPr>
            <w:tcW w:type="dxa" w:w="6160"/>
            <w:tcBorders>
              <w:top w:val="single" w:color="A9CCE3" w:sz="1"/>
              <w:left w:val="single" w:color="A9CCE3" w:sz="1"/>
              <w:bottom w:val="single" w:color="A9CCE3" w:sz="1"/>
              <w:right w:val="single" w:color="A9CCE3" w:sz="1"/>
            </w:tcBorders>
            <w:shd w:fill="EBF4FB"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8 events recorded</w:t>
            </w:r>
          </w:p>
        </w:tc>
      </w:tr>
      <w:tr>
        <w:tc>
          <w:tcPr>
            <w:tcW w:type="dxa" w:w="3200"/>
            <w:tcBorders>
              <w:top w:val="single" w:color="A9CCE3" w:sz="1"/>
              <w:left w:val="single" w:color="A9CCE3" w:sz="1"/>
              <w:bottom w:val="single" w:color="A9CCE3" w:sz="1"/>
              <w:right w:val="single" w:color="A9CCE3" w:sz="1"/>
            </w:tcBorders>
            <w:shd w:fill="FFFFFF" w:val="clear"/>
            <w:tcMar>
              <w:top w:type="dxa" w:w="80"/>
              <w:left w:type="dxa" w:w="120"/>
              <w:bottom w:type="dxa" w:w="80"/>
              <w:right w:type="dxa" w:w="120"/>
            </w:tcMar>
          </w:tcPr>
          <w:p>
            <w:r>
              <w:rPr>
                <w:rFonts w:ascii="Calibri" w:cs="Calibri" w:eastAsia="Calibri" w:hAnsi="Calibri"/>
                <w:b/>
                <w:bCs/>
                <w:color w:val="1B4F72"/>
                <w:sz w:val="20"/>
                <w:szCs w:val="20"/>
              </w:rPr>
              <w:t xml:space="preserve">Authentication Failure</w:t>
            </w:r>
          </w:p>
        </w:tc>
        <w:tc>
          <w:tcPr>
            <w:tcW w:type="dxa" w:w="6160"/>
            <w:tcBorders>
              <w:top w:val="single" w:color="A9CCE3" w:sz="1"/>
              <w:left w:val="single" w:color="A9CCE3" w:sz="1"/>
              <w:bottom w:val="single" w:color="A9CCE3" w:sz="1"/>
              <w:right w:val="single" w:color="A9CCE3"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0 events — no brute-force or failed logon activity</w:t>
            </w:r>
          </w:p>
        </w:tc>
      </w:tr>
      <w:tr>
        <w:tc>
          <w:tcPr>
            <w:tcW w:type="dxa" w:w="3200"/>
            <w:tcBorders>
              <w:top w:val="single" w:color="A9CCE3" w:sz="1"/>
              <w:left w:val="single" w:color="A9CCE3" w:sz="1"/>
              <w:bottom w:val="single" w:color="A9CCE3" w:sz="1"/>
              <w:right w:val="single" w:color="A9CCE3" w:sz="1"/>
            </w:tcBorders>
            <w:shd w:fill="EBF4FB" w:val="clear"/>
            <w:tcMar>
              <w:top w:type="dxa" w:w="80"/>
              <w:left w:type="dxa" w:w="120"/>
              <w:bottom w:type="dxa" w:w="80"/>
              <w:right w:type="dxa" w:w="120"/>
            </w:tcMar>
          </w:tcPr>
          <w:p>
            <w:r>
              <w:rPr>
                <w:rFonts w:ascii="Calibri" w:cs="Calibri" w:eastAsia="Calibri" w:hAnsi="Calibri"/>
                <w:b/>
                <w:bCs/>
                <w:color w:val="1B4F72"/>
                <w:sz w:val="20"/>
                <w:szCs w:val="20"/>
              </w:rPr>
              <w:t xml:space="preserve">MITRE Techniques Mapped</w:t>
            </w:r>
          </w:p>
        </w:tc>
        <w:tc>
          <w:tcPr>
            <w:tcW w:type="dxa" w:w="6160"/>
            <w:tcBorders>
              <w:top w:val="single" w:color="A9CCE3" w:sz="1"/>
              <w:left w:val="single" w:color="A9CCE3" w:sz="1"/>
              <w:bottom w:val="single" w:color="A9CCE3" w:sz="1"/>
              <w:right w:val="single" w:color="A9CCE3" w:sz="1"/>
            </w:tcBorders>
            <w:shd w:fill="EBF4FB"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T1078 (Valid Accounts), T1562 (Disable or Modify Tools)</w:t>
            </w:r>
          </w:p>
        </w:tc>
      </w:tr>
      <w:tr>
        <w:tc>
          <w:tcPr>
            <w:tcW w:type="dxa" w:w="3200"/>
            <w:tcBorders>
              <w:top w:val="single" w:color="A9CCE3" w:sz="1"/>
              <w:left w:val="single" w:color="A9CCE3" w:sz="1"/>
              <w:bottom w:val="single" w:color="A9CCE3" w:sz="1"/>
              <w:right w:val="single" w:color="A9CCE3" w:sz="1"/>
            </w:tcBorders>
            <w:shd w:fill="FFFFFF" w:val="clear"/>
            <w:tcMar>
              <w:top w:type="dxa" w:w="80"/>
              <w:left w:type="dxa" w:w="120"/>
              <w:bottom w:type="dxa" w:w="80"/>
              <w:right w:type="dxa" w:w="120"/>
            </w:tcMar>
          </w:tcPr>
          <w:p>
            <w:r>
              <w:rPr>
                <w:rFonts w:ascii="Calibri" w:cs="Calibri" w:eastAsia="Calibri" w:hAnsi="Calibri"/>
                <w:b/>
                <w:bCs/>
                <w:color w:val="1B4F72"/>
                <w:sz w:val="20"/>
                <w:szCs w:val="20"/>
              </w:rPr>
              <w:t xml:space="preserve">Alert Spike</w:t>
            </w:r>
          </w:p>
        </w:tc>
        <w:tc>
          <w:tcPr>
            <w:tcW w:type="dxa" w:w="6160"/>
            <w:tcBorders>
              <w:top w:val="single" w:color="A9CCE3" w:sz="1"/>
              <w:left w:val="single" w:color="A9CCE3" w:sz="1"/>
              <w:bottom w:val="single" w:color="A9CCE3" w:sz="1"/>
              <w:right w:val="single" w:color="A9CCE3"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~400 events at 09:00 on May 24, 2026 from VICTUS-DHAMINI</w:t>
            </w:r>
          </w:p>
        </w:tc>
      </w:tr>
      <w:tr>
        <w:tc>
          <w:tcPr>
            <w:tcW w:type="dxa" w:w="3200"/>
            <w:tcBorders>
              <w:top w:val="single" w:color="A9CCE3" w:sz="1"/>
              <w:left w:val="single" w:color="A9CCE3" w:sz="1"/>
              <w:bottom w:val="single" w:color="A9CCE3" w:sz="1"/>
              <w:right w:val="single" w:color="A9CCE3" w:sz="1"/>
            </w:tcBorders>
            <w:shd w:fill="EBF4FB" w:val="clear"/>
            <w:tcMar>
              <w:top w:type="dxa" w:w="80"/>
              <w:left w:type="dxa" w:w="120"/>
              <w:bottom w:type="dxa" w:w="80"/>
              <w:right w:type="dxa" w:w="120"/>
            </w:tcMar>
          </w:tcPr>
          <w:p>
            <w:r>
              <w:rPr>
                <w:rFonts w:ascii="Calibri" w:cs="Calibri" w:eastAsia="Calibri" w:hAnsi="Calibri"/>
                <w:b/>
                <w:bCs/>
                <w:color w:val="1B4F72"/>
                <w:sz w:val="20"/>
                <w:szCs w:val="20"/>
              </w:rPr>
              <w:t xml:space="preserve">FIM</w:t>
            </w:r>
          </w:p>
        </w:tc>
        <w:tc>
          <w:tcPr>
            <w:tcW w:type="dxa" w:w="6160"/>
            <w:tcBorders>
              <w:top w:val="single" w:color="A9CCE3" w:sz="1"/>
              <w:left w:val="single" w:color="A9CCE3" w:sz="1"/>
              <w:bottom w:val="single" w:color="A9CCE3" w:sz="1"/>
              <w:right w:val="single" w:color="A9CCE3" w:sz="1"/>
            </w:tcBorders>
            <w:shd w:fill="EBF4FB"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Configured and active on monitored Windows paths</w:t>
            </w:r>
          </w:p>
        </w:tc>
      </w:tr>
      <w:tr>
        <w:tc>
          <w:tcPr>
            <w:tcW w:type="dxa" w:w="3200"/>
            <w:tcBorders>
              <w:top w:val="single" w:color="A9CCE3" w:sz="1"/>
              <w:left w:val="single" w:color="A9CCE3" w:sz="1"/>
              <w:bottom w:val="single" w:color="A9CCE3" w:sz="1"/>
              <w:right w:val="single" w:color="A9CCE3" w:sz="1"/>
            </w:tcBorders>
            <w:shd w:fill="FFFFFF" w:val="clear"/>
            <w:tcMar>
              <w:top w:type="dxa" w:w="80"/>
              <w:left w:type="dxa" w:w="120"/>
              <w:bottom w:type="dxa" w:w="80"/>
              <w:right w:type="dxa" w:w="120"/>
            </w:tcMar>
          </w:tcPr>
          <w:p>
            <w:r>
              <w:rPr>
                <w:rFonts w:ascii="Calibri" w:cs="Calibri" w:eastAsia="Calibri" w:hAnsi="Calibri"/>
                <w:b/>
                <w:bCs/>
                <w:color w:val="1B4F72"/>
                <w:sz w:val="20"/>
                <w:szCs w:val="20"/>
              </w:rPr>
              <w:t xml:space="preserve">Report Generation</w:t>
            </w:r>
          </w:p>
        </w:tc>
        <w:tc>
          <w:tcPr>
            <w:tcW w:type="dxa" w:w="6160"/>
            <w:tcBorders>
              <w:top w:val="single" w:color="A9CCE3" w:sz="1"/>
              <w:left w:val="single" w:color="A9CCE3" w:sz="1"/>
              <w:bottom w:val="single" w:color="A9CCE3" w:sz="1"/>
              <w:right w:val="single" w:color="A9CCE3" w:sz="1"/>
            </w:tcBorders>
            <w:shd w:fill="FFFFFF" w:val="clear"/>
            <w:tcMar>
              <w:top w:type="dxa" w:w="80"/>
              <w:left w:type="dxa" w:w="120"/>
              <w:bottom w:type="dxa" w:w="80"/>
              <w:right w:type="dxa" w:w="120"/>
            </w:tcMar>
          </w:tcPr>
          <w:p>
            <w:r>
              <w:rPr>
                <w:rFonts w:ascii="Calibri" w:cs="Calibri" w:eastAsia="Calibri" w:hAnsi="Calibri"/>
                <w:b w:val="false"/>
                <w:bCs w:val="false"/>
                <w:color w:val="1C1C1C"/>
                <w:sz w:val="20"/>
                <w:szCs w:val="20"/>
              </w:rPr>
              <w:t xml:space="preserve">Confirmed via Management &gt; Reporting export function</w:t>
            </w:r>
          </w:p>
        </w:tc>
      </w:tr>
    </w:tbl>
    <w:p>
      <w:pPr>
        <w:pStyle w:val="Heading1"/>
        <w:pBdr>
          <w:bottom w:val="single" w:color="1A6DB5" w:sz="6" w:space="4"/>
        </w:pBdr>
        <w:spacing w:after="100" w:before="300"/>
      </w:pPr>
      <w:r>
        <w:rPr>
          <w:rFonts w:ascii="Calibri" w:cs="Calibri" w:eastAsia="Calibri" w:hAnsi="Calibri"/>
          <w:b/>
          <w:bCs/>
          <w:color w:val="0D1B2A"/>
          <w:sz w:val="30"/>
          <w:szCs w:val="30"/>
        </w:rPr>
        <w:t xml:space="preserve">8. Conclusion</w:t>
      </w:r>
    </w:p>
    <w:p>
      <w:pPr>
        <w:spacing w:after="60" w:before="60"/>
      </w:pPr>
      <w:r>
        <w:rPr>
          <w:rFonts w:ascii="Calibri" w:cs="Calibri" w:eastAsia="Calibri" w:hAnsi="Calibri"/>
          <w:color w:val="1C1C1C"/>
          <w:sz w:val="20"/>
          <w:szCs w:val="20"/>
        </w:rPr>
        <w:t xml:space="preserve">This project successfully delivered a functional SIEM-based SOC lab that simulates core enterprise security monitoring workflows. The Wazuh platform proved capable of ingesting Windows endpoint telemetry, generating rule-based alerts, mapping threats to the MITRE ATT&amp;CK framework, and providing an analyst-ready dashboard for event triage and reporting — all within a self-contained VirtualBox environment.</w:t>
      </w:r>
    </w:p>
    <w:p>
      <w:pPr>
        <w:spacing w:after="60" w:before="60"/>
      </w:pPr>
      <w:r>
        <w:rPr>
          <w:rFonts w:ascii="Calibri" w:cs="Calibri" w:eastAsia="Calibri" w:hAnsi="Calibri"/>
          <w:color w:val="1C1C1C"/>
          <w:sz w:val="20"/>
          <w:szCs w:val="20"/>
        </w:rPr>
        <w:t xml:space="preserve">The 24-hour observation window produced 469 security events with no critical alerts, demonstrating a stable baseline environment suitable for controlled threat simulation exercises. The identified activity around T1078 (Valid Accounts) reflects normal Windows authentication telemetry and provides a realistic baseline for comparison when adversarial activity is introduced.</w:t>
      </w:r>
    </w:p>
    <w:p>
      <w:pPr>
        <w:spacing w:after="60" w:before="60"/>
      </w:pPr>
      <w:r>
        <w:rPr>
          <w:rFonts w:ascii="Calibri" w:cs="Calibri" w:eastAsia="Calibri" w:hAnsi="Calibri"/>
          <w:color w:val="1C1C1C"/>
          <w:sz w:val="20"/>
          <w:szCs w:val="20"/>
        </w:rPr>
        <w:t xml:space="preserve">Recommended next steps for expanding this lab include deploying additional monitored endpoints, introducing custom detection rules for specific attack scenarios, enabling active response for automated threat containment, and integrating external threat intelligence feeds for enhanced IOC matching.</w:t>
      </w:r>
    </w:p>
    <w:sectPr>
      <w:headerReference w:type="default" r:id="rId7"/>
      <w:footerReference w:type="default" r:id="rId8"/>
      <w:pgSz w:w="12240" w:h="15840" w:orient="portrait"/>
      <w:pgMar w:top="1100" w:right="1300" w:bottom="10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DB5" w:sz="4" w:space="4"/>
      </w:pBdr>
      <w:tabs>
        <w:tab w:val="right" w:pos="9026"/>
      </w:tabs>
      <w:spacing w:after="0" w:before="80"/>
    </w:pPr>
    <w:r>
      <w:rPr>
        <w:rFonts w:ascii="Calibri" w:cs="Calibri" w:eastAsia="Calibri" w:hAnsi="Calibri"/>
        <w:color w:val="6B7280"/>
        <w:sz w:val="17"/>
        <w:szCs w:val="17"/>
      </w:rPr>
      <w:t xml:space="preserve">Confidential — Educational Use Only</w:t>
    </w:r>
    <w:r>
      <w:rPr>
        <w:rFonts w:ascii="Calibri" w:cs="Calibri" w:eastAsia="Calibri" w:hAnsi="Calibri"/>
        <w:color w:val="6B7280"/>
        <w:sz w:val="17"/>
        <w:szCs w:val="17"/>
      </w:rPr>
      <w:t xml:space="preserve">	Page </w:t>
    </w:r>
    <w:r>
      <w:rPr>
        <w:rFonts w:ascii="Calibri" w:cs="Calibri" w:eastAsia="Calibri" w:hAnsi="Calibri"/>
        <w:color w:val="6B7280"/>
        <w:sz w:val="17"/>
        <w:szCs w:val="17"/>
      </w:rPr>
      <w:fldChar w:fldCharType="begin"/>
      <w:instrText xml:space="preserve">PAGE</w:instrText>
      <w:fldChar w:fldCharType="separate"/>
      <w:fldChar w:fldCharType="end"/>
    </w:r>
    <w:r>
      <w:rPr>
        <w:rFonts w:ascii="Calibri" w:cs="Calibri" w:eastAsia="Calibri" w:hAnsi="Calibri"/>
        <w:color w:val="6B7280"/>
        <w:sz w:val="17"/>
        <w:szCs w:val="17"/>
      </w:rPr>
      <w:t xml:space="preserve"> of </w:t>
    </w:r>
    <w:r>
      <w:rPr>
        <w:rFonts w:ascii="Calibri" w:cs="Calibri" w:eastAsia="Calibri" w:hAnsi="Calibri"/>
        <w:color w:val="6B72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DB5" w:sz="4" w:space="4"/>
      </w:pBdr>
      <w:tabs>
        <w:tab w:val="right" w:pos="9026"/>
      </w:tabs>
      <w:spacing w:after="80" w:before="0"/>
    </w:pPr>
    <w:r>
      <w:rPr>
        <w:rFonts w:ascii="Calibri" w:cs="Calibri" w:eastAsia="Calibri" w:hAnsi="Calibri"/>
        <w:color w:val="6B7280"/>
        <w:sz w:val="17"/>
        <w:szCs w:val="17"/>
      </w:rPr>
      <w:t xml:space="preserve">Wazuh-Based SOC &amp; Threat Monitoring Lab</w:t>
    </w:r>
    <w:r>
      <w:rPr>
        <w:rFonts w:ascii="Calibri" w:cs="Calibri" w:eastAsia="Calibri" w:hAnsi="Calibri"/>
        <w:color w:val="6B7280"/>
        <w:sz w:val="17"/>
        <w:szCs w:val="17"/>
      </w:rPr>
      <w:t xml:space="preserve">	Project Report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00"/>
      <w:outlineLvl w:val="0"/>
    </w:pPr>
    <w:rPr>
      <w:rFonts w:ascii="Calibri" w:cs="Calibri" w:eastAsia="Calibri" w:hAnsi="Calibri"/>
      <w:b/>
      <w:bCs/>
      <w:color w:val="0D1B2A"/>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2f7c67c0f6bd8eee346d9dcb233eb6a31ed7cff.png"/><Relationship Id="rId10" Type="http://schemas.openxmlformats.org/officeDocument/2006/relationships/image" Target="media/7b5b0fa12fa386234b18b05724d1adb5a807c1d0.png"/><Relationship Id="rId11" Type="http://schemas.openxmlformats.org/officeDocument/2006/relationships/image" Target="media/8dc4d9e25ac1725645b85a4e638676e4b7b45785.png"/><Relationship Id="rId12" Type="http://schemas.openxmlformats.org/officeDocument/2006/relationships/image" Target="media/9787eca3b69d1a763530194b23fb6cf4210d1221.png"/><Relationship Id="rId13" Type="http://schemas.openxmlformats.org/officeDocument/2006/relationships/image" Target="media/b98e9b95a1d1fb51441b21618992d5e67e9f5c38.png"/><Relationship Id="rId14" Type="http://schemas.openxmlformats.org/officeDocument/2006/relationships/image" Target="media/2971d4431342a1e08df2f67d2357a472095464be.png"/><Relationship Id="rId15" Type="http://schemas.openxmlformats.org/officeDocument/2006/relationships/image" Target="media/03600f137b3fbb58d9a9a0a2593a79023fbb3bd6.png"/><Relationship Id="rId16" Type="http://schemas.openxmlformats.org/officeDocument/2006/relationships/image" Target="media/339b8afcac9eb5ff5cf15ae2ab701f1cdfd98e0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2026-05-24T07:04:09.468Z</dcterms:created>
  <dcterms:modified xsi:type="dcterms:W3CDTF">2026-05-24T07:04:09.468Z</dcterms:modified>
</cp:coreProperties>
</file>

<file path=docProps/custom.xml><?xml version="1.0" encoding="utf-8"?>
<Properties xmlns="http://schemas.openxmlformats.org/officeDocument/2006/custom-properties" xmlns:vt="http://schemas.openxmlformats.org/officeDocument/2006/docPropsVTypes"/>
</file>