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第4周：相应·食·根·禅那·道缘与整合实修（学员版）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材料一：相应缘、不相应缘（《古源尊者24缘释义第018讲-相应缘与不相应缘.pdf》）</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p>
        </w:tc>
        <w:tc>
          <w:tcPr>
            <w:tcW w:type="dxa" w:w="3213"/>
            <w:shd w:val="clear" w:color="auto" w:fill="1E5631"/>
          </w:tcPr>
          <w:p>
            <w:r/>
            <w:r>
              <w:rPr>
                <w:rFonts w:ascii="微软雅黑" w:hAnsi="微软雅黑" w:eastAsia="微软雅黑"/>
                <w:b w:val="0"/>
                <w:i w:val="0"/>
                <w:color w:val="FFFFFF"/>
                <w:sz w:val="20"/>
              </w:rPr>
              <w:t>诸色法对诸非色法 以不相应缘为缘</w:t>
            </w:r>
          </w:p>
        </w:tc>
        <w:tc>
          <w:tcPr>
            <w:tcW w:type="dxa" w:w="3213"/>
            <w:shd w:val="clear" w:color="auto" w:fill="1E5631"/>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材料二：食缘·四食（《第47讲-摄缘-十二缘起与二十四缘-食缘1-古源尊者-20230716（共修版）.pdf》）★核心</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材料三：四食与观增上（《167讲-摄集-生命的四食1-古源尊者-20210804（共修版）.pdf》）</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材料四：道缘（《第53讲-摄缘-十二缘起与二十四缘-释二十四缘-道缘1-古源尊者-20230827（共修版）.pdf》）</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材料五：根缘（《古源尊者24缘释义第015讲-根缘.pdf》）</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类别</w:t>
            </w:r>
          </w:p>
        </w:tc>
        <w:tc>
          <w:tcPr>
            <w:tcW w:type="dxa" w:w="4819"/>
            <w:shd w:val="clear" w:color="auto" w:fill="1E5631"/>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二十二根</w:t>
            </w:r>
          </w:p>
        </w:tc>
        <w:tc>
          <w:tcPr>
            <w:tcW w:type="dxa" w:w="4819"/>
            <w:shd w:val="clear" w:color="auto" w:fill="1E5631"/>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E5631"/>
          <w:sz w:val="24"/>
        </w:rPr>
        <w:t>材料六：禅那缘（《古源尊者24缘释义第016讲-禅那缘.pdf》）</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知识库搜索「24缘释义 019 有缘 无有缘 离去缘 不离去缘」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课件原图</w:t>
            </w:r>
            <w:r>
              <w:rPr>
                <w:rFonts w:ascii="宋体" w:hAnsi="宋体" w:eastAsia="宋体"/>
                <w:b w:val="0"/>
                <w:i w:val="0"/>
                <w:color w:val="333333"/>
                <w:sz w:val="22"/>
              </w:rPr>
              <w:t>（《表解》ch.8-18「二十四缘之缘法与缘所生法」）：</w:t>
            </w:r>
          </w:p>
          <w:p>
            <w:pPr>
              <w:spacing w:line="324" w:lineRule="auto" w:after="60"/>
            </w:pPr>
          </w:p>
          <w:p>
            <w:pPr>
              <w:spacing w:line="324" w:lineRule="auto" w:after="60"/>
            </w:pPr>
            <w:r>
              <w:rPr>
                <w:rFonts w:ascii="宋体" w:hAnsi="宋体" w:eastAsia="宋体"/>
                <w:b w:val="0"/>
                <w:i w:val="0"/>
                <w:color w:val="333333"/>
                <w:sz w:val="22"/>
              </w:rPr>
              <w:t>![素材图_二十四缘缘法与缘所生法_ch8-18.png](素材图_二十四缘缘法与缘所生法_ch8-18.png)</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知识库搜索「发趣论-4」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通过把握此名色之缘，超越三世疑惑而住之智，名为度疑清净。欲成就此之比库，犹如良医见病而寻其起因；又如悲悯者见幼童仰卧路中，思惟“此是谁家子”，即忆念其父母。如是，彼亦寻求此名色之因缘。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每人时长</w:t>
            </w:r>
          </w:p>
        </w:tc>
        <w:tc>
          <w:tcPr>
            <w:tcW w:type="dxa" w:w="2409"/>
            <w:shd w:val="clear" w:color="auto" w:fill="1E5631"/>
          </w:tcPr>
          <w:p>
            <w:r/>
            <w:r>
              <w:rPr>
                <w:rFonts w:ascii="微软雅黑" w:hAnsi="微软雅黑" w:eastAsia="微软雅黑"/>
                <w:b w:val="0"/>
                <w:i w:val="0"/>
                <w:color w:val="FFFFFF"/>
                <w:sz w:val="20"/>
              </w:rPr>
              <w:t>一轮人数</w:t>
            </w:r>
          </w:p>
        </w:tc>
        <w:tc>
          <w:tcPr>
            <w:tcW w:type="dxa" w:w="2409"/>
            <w:shd w:val="clear" w:color="auto" w:fill="1E5631"/>
          </w:tcPr>
          <w:p>
            <w:r/>
            <w:r>
              <w:rPr>
                <w:rFonts w:ascii="微软雅黑" w:hAnsi="微软雅黑" w:eastAsia="微软雅黑"/>
                <w:b w:val="0"/>
                <w:i w:val="0"/>
                <w:color w:val="FFFFFF"/>
                <w:sz w:val="20"/>
              </w:rPr>
              <w:t>合计</w:t>
            </w:r>
          </w:p>
        </w:tc>
        <w:tc>
          <w:tcPr>
            <w:tcW w:type="dxa" w:w="2409"/>
            <w:shd w:val="clear" w:color="auto" w:fill="1E5631"/>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材料：《清净道论-2》（四念处·把握名色之缘）｜出处：古源尊者开示及上座部佛教资料｜｜说明：整合实修之本。</w:t>
      </w:r>
    </w:p>
    <w:p>
      <w:r>
        <w:rPr>
          <w:rFonts w:ascii="宋体" w:hAnsi="宋体" w:eastAsia="宋体"/>
          <w:b/>
          <w:i w:val="0"/>
          <w:sz w:val="22"/>
        </w:rPr>
        <w:t>扩展三：八周缘力体系全串讲（收束用，约 3 分钟）</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w:t>
      </w:r>
    </w:p>
    <w:p>
      <w:pPr>
        <w:pStyle w:val="ListBullet"/>
      </w:pPr>
      <w:r>
        <w:rPr>
          <w:rFonts w:ascii="宋体" w:hAnsi="宋体" w:eastAsia="宋体"/>
          <w:b w:val="0"/>
          <w:i w:val="0"/>
          <w:sz w:val="22"/>
        </w:rPr>
        <w:t>《摄缘.pdf》（缘起法与发趣法两种解释）｜知识库出处：古源尊者开示及上座部佛教资料｜</w:t>
      </w:r>
    </w:p>
    <w:p>
      <w:pPr>
        <w:pStyle w:val="ListBullet"/>
      </w:pPr>
      <w:r>
        <w:rPr>
          <w:rFonts w:ascii="宋体" w:hAnsi="宋体" w:eastAsia="宋体"/>
          <w:b w:val="0"/>
          <w:i w:val="0"/>
          <w:sz w:val="22"/>
        </w:rPr>
        <w:t>《二十四緣.pdf》（二十四缘名目与巴利音译）｜知识库出处：古源尊者开示及上座部佛教资料｜</w:t>
      </w: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组</w:t>
            </w:r>
          </w:p>
        </w:tc>
        <w:tc>
          <w:tcPr>
            <w:tcW w:type="dxa" w:w="3213"/>
            <w:shd w:val="clear" w:color="auto" w:fill="1E5631"/>
          </w:tcPr>
          <w:p>
            <w:r/>
            <w:r>
              <w:rPr>
                <w:rFonts w:ascii="微软雅黑" w:hAnsi="微软雅黑" w:eastAsia="微软雅黑"/>
                <w:b w:val="0"/>
                <w:i w:val="0"/>
                <w:color w:val="FFFFFF"/>
                <w:sz w:val="20"/>
              </w:rPr>
              <w:t>缘</w:t>
            </w:r>
          </w:p>
        </w:tc>
        <w:tc>
          <w:tcPr>
            <w:tcW w:type="dxa" w:w="3213"/>
            <w:shd w:val="clear" w:color="auto" w:fill="1E5631"/>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时刻</w:t>
            </w:r>
          </w:p>
        </w:tc>
        <w:tc>
          <w:tcPr>
            <w:tcW w:type="dxa" w:w="3213"/>
            <w:shd w:val="clear" w:color="auto" w:fill="1E5631"/>
          </w:tcPr>
          <w:p>
            <w:r/>
            <w:r>
              <w:rPr>
                <w:rFonts w:ascii="微软雅黑" w:hAnsi="微软雅黑" w:eastAsia="微软雅黑"/>
                <w:b w:val="0"/>
                <w:i w:val="0"/>
                <w:color w:val="FFFFFF"/>
                <w:sz w:val="20"/>
              </w:rPr>
              <w:t>环节</w:t>
            </w:r>
          </w:p>
        </w:tc>
        <w:tc>
          <w:tcPr>
            <w:tcW w:type="dxa" w:w="3213"/>
            <w:shd w:val="clear" w:color="auto" w:fill="1E5631"/>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心态</w:t>
            </w:r>
          </w:p>
        </w:tc>
        <w:tc>
          <w:tcPr>
            <w:tcW w:type="dxa" w:w="3213"/>
            <w:shd w:val="clear" w:color="auto" w:fill="1E5631"/>
          </w:tcPr>
          <w:p>
            <w:r/>
            <w:r>
              <w:rPr>
                <w:rFonts w:ascii="微软雅黑" w:hAnsi="微软雅黑" w:eastAsia="微软雅黑"/>
                <w:b w:val="0"/>
                <w:i w:val="0"/>
                <w:color w:val="FFFFFF"/>
                <w:sz w:val="20"/>
              </w:rPr>
              <w:t>表现</w:t>
            </w:r>
          </w:p>
        </w:tc>
        <w:tc>
          <w:tcPr>
            <w:tcW w:type="dxa" w:w="3213"/>
            <w:shd w:val="clear" w:color="auto" w:fill="1E5631"/>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