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w:t>
      </w:r>
      <w:r>
        <w:t xml:space="preserve"> </w:t>
      </w:r>
      <w:r>
        <w:t xml:space="preserve">Lise</w:t>
      </w:r>
      <w:r>
        <w:t xml:space="preserve"> </w:t>
      </w:r>
      <w:r>
        <w:t xml:space="preserve">Koll</w:t>
      </w:r>
      <w:r>
        <w:rPr>
          <w:vertAlign w:val="superscript"/>
        </w:rPr>
        <w:t xml:space="preserve">3</w:t>
      </w:r>
      <w:r>
        <w:t xml:space="preserve">,</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rPr>
          <w:b/>
        </w:rPr>
        <w:t xml:space="preserve">???</w:t>
      </w:r>
      <w:r>
        <w:t xml:space="preserve">)</w:t>
      </w:r>
      <w:r>
        <w:t xml:space="preserve">. Furthermore, inhibition of ribosomal RNA (rRNA) transcription or inhibition of up-stream transcription factors leads to halted biosynthesis of ribosomes resulting in diminished cellular growth</w:t>
      </w:r>
      <w:r>
        <w:t xml:space="preserve"> </w:t>
      </w:r>
      <w:r>
        <w:t xml:space="preserve">(Stec</w:t>
      </w:r>
      <w:r>
        <w:t xml:space="preserve"> </w:t>
      </w:r>
      <w:r>
        <w:rPr>
          <w:i/>
        </w:rPr>
        <w:t xml:space="preserve">et al.</w:t>
      </w:r>
      <w:r>
        <w:t xml:space="preserve">, 2016 ; West</w:t>
      </w:r>
      <w:r>
        <w:t xml:space="preserve"> </w:t>
      </w:r>
      <w:r>
        <w:rPr>
          <w:i/>
        </w:rPr>
        <w:t xml:space="preserve">et al.</w:t>
      </w:r>
      <w:r>
        <w:t xml:space="preserve">, 2016 ; Walden</w:t>
      </w:r>
      <w:r>
        <w:t xml:space="preserve"> </w:t>
      </w:r>
      <w:r>
        <w:rPr>
          <w:i/>
        </w:rPr>
        <w:t xml:space="preserve">et al.</w:t>
      </w:r>
      <w:r>
        <w:t xml:space="preserve">, 2016)</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w:t>
      </w:r>
      <w:r>
        <w:t xml:space="preserve">,</w:t>
      </w:r>
      <w:r>
        <w:t xml:space="preserve"> </w:t>
      </w:r>
      <w:r>
        <w:t xml:space="preserve">@RN1820</w:t>
      </w:r>
      <w:r>
        <w:t xml:space="preserve">;</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w:t>
      </w:r>
      <w:r>
        <w:rPr>
          <w:b/>
        </w:rPr>
        <w:t xml:space="preserve">???</w:t>
      </w:r>
      <w:r>
        <w:t xml:space="preserve"> </w:t>
      </w:r>
      <w:r>
        <w:t xml:space="preserve">; Nader</w:t>
      </w:r>
      <w:r>
        <w:t xml:space="preserve"> </w:t>
      </w:r>
      <w:r>
        <w:rPr>
          <w:i/>
        </w:rPr>
        <w:t xml:space="preserve">et al.</w:t>
      </w:r>
      <w:r>
        <w:t xml:space="preserve">, 2014</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w:t>
      </w:r>
      <w:r>
        <w:rPr>
          <w:b/>
        </w:rPr>
        <w:t xml:space="preserve">???</w:t>
      </w:r>
      <w:r>
        <w:t xml:space="preserve">;</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w:t>
      </w:r>
      <w:r>
        <w:t xml:space="preserve"> </w:t>
      </w:r>
      <w:r>
        <w:t xml:space="preserve"> </w:t>
      </w:r>
      <w:r>
        <w:t xml:space="preserve">Stec</w:t>
      </w:r>
      <w:r>
        <w:t xml:space="preserve"> </w:t>
      </w:r>
      <w:r>
        <w:rPr>
          <w:i/>
        </w:rPr>
        <w:t xml:space="preserve">et al.</w:t>
      </w:r>
      <w:r>
        <w:t xml:space="preserve">, 2016 ;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who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 DXA.</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immunohistochemistry"/>
      <w:r>
        <w:t xml:space="preserve">Immunohistochemistry</w:t>
      </w:r>
      <w:bookmarkEnd w:id="31"/>
    </w:p>
    <w:p>
      <w:pPr>
        <w:pStyle w:val="Overskrift2"/>
      </w:pPr>
      <w:bookmarkStart w:id="32" w:name="statistics-and-data-analysis"/>
      <w:r>
        <w:t xml:space="preserve">Statistics and data analysis</w:t>
      </w:r>
      <w:bookmarkEnd w:id="32"/>
    </w:p>
    <w:p>
      <w:pPr>
        <w:pStyle w:val="Overskrift1"/>
      </w:pPr>
      <w:bookmarkStart w:id="33" w:name="results"/>
      <w:r>
        <w:t xml:space="preserve">Results</w:t>
      </w:r>
      <w:bookmarkEnd w:id="33"/>
    </w:p>
    <w:p>
      <w:pPr>
        <w:pStyle w:val="SourceCode"/>
      </w:pPr>
      <w:r>
        <w:rPr>
          <w:rStyle w:val="VerbatimChar"/>
        </w:rPr>
        <w:t xml:space="preserve">## # A tibble: 264 x 5</w:t>
      </w:r>
      <w:r>
        <w:br/>
      </w:r>
      <w:r>
        <w:rPr>
          <w:rStyle w:val="VerbatimChar"/>
        </w:rPr>
        <w:t xml:space="preserve">## # Groups:   participant, cond, session [264]</w:t>
      </w:r>
      <w:r>
        <w:br/>
      </w:r>
      <w:r>
        <w:rPr>
          <w:rStyle w:val="VerbatimChar"/>
        </w:rPr>
        <w:t xml:space="preserve">##    participant cond  session week   load</w:t>
      </w:r>
      <w:r>
        <w:br/>
      </w:r>
      <w:r>
        <w:rPr>
          <w:rStyle w:val="VerbatimChar"/>
        </w:rPr>
        <w:t xml:space="preserve">##    &lt;chr&gt;       &lt;chr&gt;   &lt;dbl&gt; &lt;fct&gt; &lt;dbl&gt;</w:t>
      </w:r>
      <w:r>
        <w:br/>
      </w:r>
      <w:r>
        <w:rPr>
          <w:rStyle w:val="VerbatimChar"/>
        </w:rPr>
        <w:t xml:space="preserve">##  1 P1          const       1 W1     9.17</w:t>
      </w:r>
      <w:r>
        <w:br/>
      </w:r>
      <w:r>
        <w:rPr>
          <w:rStyle w:val="VerbatimChar"/>
        </w:rPr>
        <w:t xml:space="preserve">##  2 P1          const       2 W1     8.12</w:t>
      </w:r>
      <w:r>
        <w:br/>
      </w:r>
      <w:r>
        <w:rPr>
          <w:rStyle w:val="VerbatimChar"/>
        </w:rPr>
        <w:t xml:space="preserve">##  3 P1          const       3 W1     5.42</w:t>
      </w:r>
      <w:r>
        <w:br/>
      </w:r>
      <w:r>
        <w:rPr>
          <w:rStyle w:val="VerbatimChar"/>
        </w:rPr>
        <w:t xml:space="preserve">##  4 P1          const       4 W1    25   </w:t>
      </w:r>
      <w:r>
        <w:br/>
      </w:r>
      <w:r>
        <w:rPr>
          <w:rStyle w:val="VerbatimChar"/>
        </w:rPr>
        <w:t xml:space="preserve">##  5 P1          const       5 W2    27.1 </w:t>
      </w:r>
      <w:r>
        <w:br/>
      </w:r>
      <w:r>
        <w:rPr>
          <w:rStyle w:val="VerbatimChar"/>
        </w:rPr>
        <w:t xml:space="preserve">##  6 P1          const       6 W2    25   </w:t>
      </w:r>
      <w:r>
        <w:br/>
      </w:r>
      <w:r>
        <w:rPr>
          <w:rStyle w:val="VerbatimChar"/>
        </w:rPr>
        <w:t xml:space="preserve">##  7 P1          const       7 W2    27.5 </w:t>
      </w:r>
      <w:r>
        <w:br/>
      </w:r>
      <w:r>
        <w:rPr>
          <w:rStyle w:val="VerbatimChar"/>
        </w:rPr>
        <w:t xml:space="preserve">##  8 P1          const       8 W2    28.8 </w:t>
      </w:r>
      <w:r>
        <w:br/>
      </w:r>
      <w:r>
        <w:rPr>
          <w:rStyle w:val="VerbatimChar"/>
        </w:rPr>
        <w:t xml:space="preserve">##  9 P1          const       9 W3    32.1 </w:t>
      </w:r>
      <w:r>
        <w:br/>
      </w:r>
      <w:r>
        <w:rPr>
          <w:rStyle w:val="VerbatimChar"/>
        </w:rPr>
        <w:t xml:space="preserve">## 10 P1          const      10 W3    31.9 </w:t>
      </w:r>
      <w:r>
        <w:br/>
      </w:r>
      <w:r>
        <w:rPr>
          <w:rStyle w:val="VerbatimChar"/>
        </w:rPr>
        <w:t xml:space="preserve">## # ... with 254 more rows</w:t>
      </w:r>
    </w:p>
    <w:p>
      <w:pPr>
        <w:pStyle w:val="FirstParagraph"/>
      </w:pPr>
      <w:r>
        <w:t xml:space="preserve">All participants successfully completed their prescribed sessions. The different training protocols resulted in diverging loading profiles (load × repetitions) over the course of the study (Figure 1B). The intensity of exercise (load at 10RM) increased similarly in both conditions from the first to the second (39%, 95% CI: [29, 50]) and third (55%, 95% CI: [44, 67]) four-session block, respectively. Compared to the non-training control group, isokinetic strength increased to Session 12 in the experimental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Overskrift1"/>
      </w:pPr>
      <w:bookmarkStart w:id="34" w:name="discussion"/>
      <w:r>
        <w:t xml:space="preserve">Discussion</w:t>
      </w:r>
      <w:bookmarkEnd w:id="34"/>
    </w:p>
    <w:p>
      <w:pPr>
        <w:pStyle w:val="Overskrift1"/>
      </w:pPr>
      <w:bookmarkStart w:id="35" w:name="references"/>
      <w:r>
        <w:t xml:space="preserve">References</w:t>
      </w:r>
      <w:bookmarkEnd w:id="35"/>
    </w:p>
    <w:bookmarkStart w:id="55" w:name="refs"/>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The Journal of Physiology</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9"/>
    <w:bookmarkStart w:id="41"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0">
        <w:r>
          <w:rPr>
            <w:rStyle w:val="Hyperkobling"/>
          </w:rPr>
          <w:t xml:space="preserve">http://dx.doi.org/10.1007/978-981-10-3292-9_6</w:t>
        </w:r>
      </w:hyperlink>
      <w:r>
        <w:t xml:space="preserve">.</w:t>
      </w:r>
    </w:p>
    <w:bookmarkEnd w:id="41"/>
    <w:bookmarkStart w:id="42" w:name="ref-Hammarstrom2020"/>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2"/>
    <w:bookmarkStart w:id="43"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3"/>
    <w:bookmarkStart w:id="44"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4"/>
    <w:bookmarkStart w:id="45"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5"/>
    <w:bookmarkStart w:id="46"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6"/>
    <w:bookmarkStart w:id="47"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7"/>
    <w:bookmarkStart w:id="48"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8"/>
    <w:bookmarkStart w:id="49"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9"/>
    <w:bookmarkStart w:id="50" w:name="ref-vonWalden2016"/>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American Journal of Physiology-Cell Physiology</w:t>
      </w:r>
      <w:r>
        <w:t xml:space="preserve"> </w:t>
      </w:r>
      <w:r>
        <w:rPr>
          <w:b/>
        </w:rPr>
        <w:t xml:space="preserve">311,</w:t>
      </w:r>
      <w:r>
        <w:t xml:space="preserve"> </w:t>
      </w:r>
      <w:r>
        <w:t xml:space="preserve">C663–C672.</w:t>
      </w:r>
    </w:p>
    <w:bookmarkEnd w:id="50"/>
    <w:bookmarkStart w:id="51"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51"/>
    <w:bookmarkStart w:id="52"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2"/>
    <w:bookmarkStart w:id="53"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3"/>
    <w:bookmarkStart w:id="54"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4"/>
    <w:bookmarkEnd w:id="55"/>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0"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Lise Koll3, Bent R. Rønnestad2, Stian Ellefsen1,3</dc:creator>
  <cp:keywords/>
  <dcterms:created xsi:type="dcterms:W3CDTF">2020-08-27T19:08:29Z</dcterms:created>
  <dcterms:modified xsi:type="dcterms:W3CDTF">2020-08-27T19:08:29Z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