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Brdteks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runningtitlestyle"/>
      </w:pPr>
      <w:r>
        <w:rPr>
          <w:b/>
        </w:rPr>
        <w:t xml:space="preserve">Running title:</w:t>
      </w:r>
      <w:r>
        <w:t xml:space="preserve"> </w:t>
      </w:r>
      <w:r>
        <w:t xml:space="preserve">Ribosome biogenesis in early phase resistance training</w:t>
      </w:r>
    </w:p>
    <w:p>
      <w:r>
        <w:br w:type="page"/>
      </w:r>
    </w:p>
    <w:bookmarkStart w:id="21" w:name="abstract"/>
    <w:p>
      <w:pPr>
        <w:pStyle w:val="Overskrift1"/>
      </w:pPr>
      <w:r>
        <w:t xml:space="preserve">Abstract</w:t>
      </w:r>
    </w:p>
    <w:p>
      <w:pPr>
        <w:pStyle w:val="abstractstyle"/>
      </w:pPr>
      <w:r>
        <w:t xml:space="preserve">Increased ribosomal density is a phenomenon observed in response to resistance training (RT) supporting elevated. A time course of RT-induced accumulation of ribosomes has not been described. We mapped markers of ribosomal biogenesis (total RNA, ribosomal RNA (rRNA), ribosomal protein S6 (rpS6), and upstream binding factor (UBF) protein content) in response to twelve RT sessions. Additionally, we investigated the effect of fluctuations in training volume on these markers and the relationship between RNA accumulation and muscle growth measured as muscle thickness (ultrasound). Eighteen participants were allocated to either a training (TRAIN,</w:t>
      </w:r>
      <w:r>
        <w:t xml:space="preserve"> </w:t>
      </w:r>
      <w:r>
        <w:rPr>
          <w:i/>
        </w:rPr>
        <w:t xml:space="preserve">n</w:t>
      </w:r>
      <w:r>
        <w:t xml:space="preserve">=11) or a control (CTRL,</w:t>
      </w:r>
      <w:r>
        <w:t xml:space="preserve"> </w:t>
      </w:r>
      <w:r>
        <w:rPr>
          <w:i/>
        </w:rPr>
        <w:t xml:space="preserve">n</w:t>
      </w:r>
      <w:r>
        <w:t xml:space="preserve">=7) group. In TRAIN, participants performed unilateral knee extension with either constant (CONST, 6 sets) or a variable volume (VAR, 6, 3, and 9 sets in sessions 1-4, 5-8, and 9-12, respectively). Muscle biopsies were sampled from</w:t>
      </w:r>
      <w:r>
        <w:t xml:space="preserve"> </w:t>
      </w:r>
      <w:r>
        <w:rPr>
          <w:i/>
        </w:rPr>
        <w:t xml:space="preserve">m vastus lateralis</w:t>
      </w:r>
      <w:r>
        <w:t xml:space="preserve"> </w:t>
      </w:r>
      <w:r>
        <w:t xml:space="preserve">in TRAIN before and 48 hrs after the first session and 48 hrs after sessions 4, 5, 8, 9, and 12, and after eight days of de-training. Control biopsies were sampled in CTRL at baseline and after 48 hrs and 3-5 weeks. RT led to muscle growth in TRAIN compared to CTRL and concomitant increases in total RNA, rRNA, including precursor rRNA as well as UBF and rpS6 protein through gradual increase throughout the training period, confirmed in comparison to CTRL. Total RNA increased in a curve-linear fashion, most rapidly in response to the first four sessions (8.6%, 95% CI: [5.5, 11.7] per session), followed by a plateau and peak values (49.5% [34.2, 66.5] above baseline) after Session 8. UBF protein levels explained total RNA levels after controlling for time, and increases in total RNA levels predicted RT-induced muscle hypertrophy. After de-training, total RNA and specific rRNA species decreased without muscle mass changes indicating reduced concentrations and biosynthesis of ribosomes. These results underline a determinant role for ribosomal biogenesis in RT-induced muscle hypertrophy and that ribosomal biogenesis is sensitive to training cessation.</w:t>
      </w:r>
    </w:p>
    <w:p>
      <w:pPr>
        <w:pStyle w:val="abstractstyle"/>
      </w:pPr>
      <w:r>
        <w:rPr>
          <w:b/>
        </w:rPr>
        <w:t xml:space="preserve">Keywords:</w:t>
      </w:r>
      <w:r>
        <w:t xml:space="preserve"> </w:t>
      </w:r>
      <w:r>
        <w:t xml:space="preserve">Resistance training, ribosome biogenesis</w:t>
      </w:r>
    </w:p>
    <w:p>
      <w:r>
        <w:br w:type="page"/>
      </w:r>
    </w:p>
    <w:bookmarkEnd w:id="21"/>
    <w:bookmarkStart w:id="22" w:name="introduction"/>
    <w:p>
      <w:pPr>
        <w:pStyle w:val="Overskrift1"/>
      </w:pPr>
      <w:r>
        <w:t xml:space="preserve">Introduction</w:t>
      </w:r>
    </w:p>
    <w:p>
      <w:pPr>
        <w:pStyle w:val="FirstParagraph"/>
      </w:pPr>
      <w:r>
        <w:t xml:space="preserve">Skeletal muscle is a critical target for interventions that promotes health across the lifespan</w:t>
      </w:r>
      <w:r>
        <w:t xml:space="preserve"> </w:t>
      </w:r>
      <w:r>
        <w:t xml:space="preserve">(Wolfe, 2006)</w:t>
      </w:r>
      <w:r>
        <w:t xml:space="preserve">,</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t xml:space="preserve"> </w:t>
      </w:r>
      <w:r>
        <w:t xml:space="preserve">(Phillips</w:t>
      </w:r>
      <w:r>
        <w:t xml:space="preserve"> </w:t>
      </w:r>
      <w:r>
        <w:rPr>
          <w:i/>
        </w:rPr>
        <w:t xml:space="preserve">et al.</w:t>
      </w:r>
      <w:r>
        <w:t xml:space="preserve">, 1997)</w:t>
      </w:r>
      <w:r>
        <w:t xml:space="preserve">,</w:t>
      </w:r>
      <w:r>
        <w:t xml:space="preserve"> </w:t>
      </w:r>
      <w:r>
        <w:t xml:space="preserve">with subsequent repeated bouts leading to accumulation of muscle protein over time</w:t>
      </w:r>
      <w:r>
        <w:t xml:space="preserve"> </w:t>
      </w:r>
      <w:r>
        <w:t xml:space="preserve">(Phillips, 2014</w:t>
      </w:r>
      <w:r>
        <w:t xml:space="preserve">; Brook</w:t>
      </w:r>
      <w:r>
        <w:t xml:space="preserve"> </w:t>
      </w:r>
      <w:r>
        <w:rPr>
          <w:i/>
        </w:rPr>
        <w:t xml:space="preserve">et al.</w:t>
      </w:r>
      <w:r>
        <w:t xml:space="preserve">, 2015)</w:t>
      </w:r>
      <w:r>
        <w:t xml:space="preserve">.</w:t>
      </w:r>
      <w:r>
        <w:t xml:space="preserve"> </w:t>
      </w:r>
      <w:r>
        <w:t xml:space="preserve">In recent years, this view has been supplemented</w:t>
      </w:r>
      <w:r>
        <w:t xml:space="preserve"> </w:t>
      </w:r>
      <w:r>
        <w:t xml:space="preserve">by evidence suggesting that chronic RT leads to increased resting synthetic rate of muscle protein</w:t>
      </w:r>
      <w:r>
        <w:t xml:space="preserve"> </w:t>
      </w:r>
      <w:r>
        <w:t xml:space="preserve">(Kim</w:t>
      </w:r>
      <w:r>
        <w:t xml:space="preserve"> </w:t>
      </w:r>
      <w:r>
        <w:rPr>
          <w:i/>
        </w:rPr>
        <w:t xml:space="preserve">et al.</w:t>
      </w:r>
      <w:r>
        <w:t xml:space="preserve">, 2005;</w:t>
      </w:r>
      <w:r>
        <w:t xml:space="preserve"> </w:t>
      </w:r>
      <w:r>
        <w:t xml:space="preserve">Wilkinson</w:t>
      </w:r>
      <w:r>
        <w:t xml:space="preserve"> </w:t>
      </w:r>
      <w:r>
        <w:rPr>
          <w:i/>
        </w:rPr>
        <w:t xml:space="preserve">et al.</w:t>
      </w:r>
      <w:r>
        <w:t xml:space="preserve">, 2008;</w:t>
      </w:r>
      <w:r>
        <w:t xml:space="preserve"> </w:t>
      </w:r>
      <w:r>
        <w:t xml:space="preserve">Reidy</w:t>
      </w:r>
      <w:r>
        <w:t xml:space="preserve"> </w:t>
      </w:r>
      <w:r>
        <w:rPr>
          <w:i/>
        </w:rPr>
        <w:t xml:space="preserve">et al.</w:t>
      </w:r>
      <w:r>
        <w:t xml:space="preserve">, 2017)</w:t>
      </w:r>
      <w:r>
        <w:t xml:space="preserve">,</w:t>
      </w:r>
      <w:r>
        <w:t xml:space="preserve"> </w:t>
      </w:r>
      <w:r>
        <w:t xml:space="preserve">which has been postulated to be associated with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Figueiredo &amp; McCarthy, 2017)</w:t>
      </w:r>
      <w:r>
        <w:t xml:space="preserve">.</w:t>
      </w:r>
      <w:r>
        <w:t xml:space="preserve"> </w:t>
      </w:r>
      <w:r>
        <w:t xml:space="preserve">This notion is supported by exercise-induced increases in total RNA, a proxy marker of ribosome abundance, which is closely connected to protein synthesis</w:t>
      </w:r>
      <w:r>
        <w:t xml:space="preserve"> </w:t>
      </w:r>
      <w:r>
        <w:t xml:space="preserve">(West</w:t>
      </w:r>
      <w:r>
        <w:t xml:space="preserve"> </w:t>
      </w:r>
      <w:r>
        <w:rPr>
          <w:i/>
        </w:rPr>
        <w:t xml:space="preserve">et al.</w:t>
      </w:r>
      <w:r>
        <w:t xml:space="preserve">, 2016;</w:t>
      </w:r>
      <w:r>
        <w:t xml:space="preserve"> </w:t>
      </w:r>
      <w:r>
        <w:t xml:space="preserve">Millward</w:t>
      </w:r>
      <w:r>
        <w:t xml:space="preserve"> </w:t>
      </w:r>
      <w:r>
        <w:rPr>
          <w:i/>
        </w:rPr>
        <w:t xml:space="preserve">et al.</w:t>
      </w:r>
      <w:r>
        <w:t xml:space="preserve">, 1973)</w:t>
      </w:r>
      <w:r>
        <w:t xml:space="preserve"> </w:t>
      </w:r>
      <w:r>
        <w:t xml:space="preserve">and muscle hypertrophy</w:t>
      </w:r>
      <w:r>
        <w:t xml:space="preserve"> </w:t>
      </w:r>
      <w:r>
        <w:t xml:space="preserve">(Figueiredo</w:t>
      </w:r>
      <w:r>
        <w:t xml:space="preserve"> </w:t>
      </w:r>
      <w:r>
        <w:rPr>
          <w:i/>
        </w:rPr>
        <w:t xml:space="preserve">et al.</w:t>
      </w:r>
      <w:r>
        <w:t xml:space="preserve">, 2015;</w:t>
      </w:r>
      <w:r>
        <w:t xml:space="preserve"> </w:t>
      </w:r>
      <w:r>
        <w:t xml:space="preserve">Stec</w:t>
      </w:r>
      <w:r>
        <w:t xml:space="preserve"> </w:t>
      </w:r>
      <w:r>
        <w:rPr>
          <w:i/>
        </w:rPr>
        <w:t xml:space="preserve">et al.</w:t>
      </w:r>
      <w:r>
        <w:t xml:space="preserve">, 2016;</w:t>
      </w:r>
      <w:r>
        <w:t xml:space="preserve"> </w:t>
      </w:r>
      <w:r>
        <w:t xml:space="preserve">Hammarström</w:t>
      </w:r>
      <w:r>
        <w:t xml:space="preserve"> </w:t>
      </w:r>
      <w:r>
        <w:rPr>
          <w:i/>
        </w:rPr>
        <w:t xml:space="preserve">et al.</w:t>
      </w:r>
      <w:r>
        <w:t xml:space="preserve">, 2020)</w:t>
      </w:r>
      <w:r>
        <w:t xml:space="preserve">.</w:t>
      </w:r>
      <w:r>
        <w:t xml:space="preserve"> </w:t>
      </w:r>
      <w:r>
        <w:t xml:space="preserve">Conversely, inhibition of ribosomal RNA (rRNA) transcription and inhibition of its up-stream transcription factors act to diminish muscle cell growth</w:t>
      </w:r>
      <w:r>
        <w:t xml:space="preserve"> </w:t>
      </w:r>
      <w:r>
        <w:t xml:space="preserve">(Stec</w:t>
      </w:r>
      <w:r>
        <w:t xml:space="preserve"> </w:t>
      </w:r>
      <w:r>
        <w:rPr>
          <w:i/>
        </w:rPr>
        <w:t xml:space="preserve">et al.</w:t>
      </w:r>
      <w:r>
        <w:t xml:space="preserve">, 2016</w:t>
      </w:r>
      <w:r>
        <w:t xml:space="preserve">; West</w:t>
      </w:r>
      <w:r>
        <w:t xml:space="preserve"> </w:t>
      </w:r>
      <w:r>
        <w:rPr>
          <w:i/>
        </w:rPr>
        <w:t xml:space="preserve">et al.</w:t>
      </w:r>
      <w:r>
        <w:t xml:space="preserve">, 2016</w:t>
      </w:r>
      <w:r>
        <w:t xml:space="preserve">; Walden</w:t>
      </w:r>
      <w:r>
        <w:t xml:space="preserve"> </w:t>
      </w:r>
      <w:r>
        <w:rPr>
          <w:i/>
        </w:rPr>
        <w:t xml:space="preserve">et al.</w:t>
      </w:r>
      <w:r>
        <w:t xml:space="preserve">, 2016)</w:t>
      </w:r>
      <w:r>
        <w:t xml:space="preserve">.</w:t>
      </w:r>
    </w:p>
    <w:p>
      <w:pPr>
        <w:pStyle w:val="Brdtekst"/>
      </w:pPr>
      <w:r>
        <w:t xml:space="preserve">Biosynthesis of novel ribosomes is a complex, highly coordinated and energy demanding process that involves synthesis of both ribosomal proteins and the four mature rRNA transcripts</w:t>
      </w:r>
      <w:r>
        <w:t xml:space="preserve"> </w:t>
      </w:r>
      <w:r>
        <w:t xml:space="preserve">(Warner, 1999;</w:t>
      </w:r>
      <w:r>
        <w:t xml:space="preserve"> </w:t>
      </w:r>
      <w:r>
        <w:t xml:space="preserve">Moss</w:t>
      </w:r>
      <w:r>
        <w:t xml:space="preserve"> </w:t>
      </w:r>
      <w:r>
        <w:rPr>
          <w:i/>
        </w:rPr>
        <w:t xml:space="preserve">et al.</w:t>
      </w:r>
      <w:r>
        <w:t xml:space="preserve">, 2007;</w:t>
      </w:r>
      <w:r>
        <w:t xml:space="preserve"> </w:t>
      </w:r>
      <w:r>
        <w:t xml:space="preserve">Walden</w:t>
      </w:r>
      <w:r>
        <w:t xml:space="preserve"> </w:t>
      </w:r>
      <w:r>
        <w:rPr>
          <w:i/>
        </w:rPr>
        <w:t xml:space="preserve">et al.</w:t>
      </w:r>
      <w:r>
        <w:t xml:space="preserve">, 2016)</w:t>
      </w:r>
      <w:r>
        <w:t xml:space="preserve">.</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t xml:space="preserve"> </w:t>
      </w:r>
      <w:r>
        <w:t xml:space="preserve">(Moss</w:t>
      </w:r>
      <w:r>
        <w:t xml:space="preserve"> </w:t>
      </w:r>
      <w:r>
        <w:rPr>
          <w:i/>
        </w:rPr>
        <w:t xml:space="preserve">et al.</w:t>
      </w:r>
      <w:r>
        <w:t xml:space="preserve">, 2007)</w:t>
      </w:r>
      <w:r>
        <w:t xml:space="preserve">.</w:t>
      </w:r>
      <w:r>
        <w:t xml:space="preserve"> </w:t>
      </w:r>
      <w:r>
        <w:t xml:space="preserve">Specifically, activation of the of the upstream binding factor (UBF) through phosphorylation is needed to initiate transcription</w:t>
      </w:r>
      <w:r>
        <w:t xml:space="preserve"> </w:t>
      </w:r>
      <w:r>
        <w:t xml:space="preserve">(Tuan</w:t>
      </w:r>
      <w:r>
        <w:t xml:space="preserve"> </w:t>
      </w:r>
      <w:r>
        <w:rPr>
          <w:i/>
        </w:rPr>
        <w:t xml:space="preserve">et al.</w:t>
      </w:r>
      <w:r>
        <w:t xml:space="preserve">, 1999;</w:t>
      </w:r>
      <w:r>
        <w:t xml:space="preserve"> </w:t>
      </w:r>
      <w:r>
        <w:t xml:space="preserve">Lin</w:t>
      </w:r>
      <w:r>
        <w:t xml:space="preserve"> </w:t>
      </w:r>
      <w:r>
        <w:rPr>
          <w:i/>
        </w:rPr>
        <w:t xml:space="preserve">et al.</w:t>
      </w:r>
      <w:r>
        <w:t xml:space="preserve">, 2007)</w:t>
      </w:r>
      <w:r>
        <w:t xml:space="preserve">.</w:t>
      </w:r>
      <w:r>
        <w:t xml:space="preserve"> </w:t>
      </w:r>
      <w:r>
        <w:t xml:space="preserve">Such activation is at least partly controlled by the mechanosensitive mTOR pathway, with its inhibition being associated with blocked UBF phosphorylation and subsequent rRNA transcription</w:t>
      </w:r>
      <w:r>
        <w:t xml:space="preserve"> </w:t>
      </w:r>
      <w:r>
        <w:t xml:space="preserve">(Nader</w:t>
      </w:r>
      <w:r>
        <w:t xml:space="preserve"> </w:t>
      </w:r>
      <w:r>
        <w:rPr>
          <w:i/>
        </w:rPr>
        <w:t xml:space="preserve">et al.</w:t>
      </w:r>
      <w:r>
        <w:t xml:space="preserve">, 2005;</w:t>
      </w:r>
      <w:r>
        <w:t xml:space="preserve"> </w:t>
      </w:r>
      <w:r>
        <w:t xml:space="preserve">Hannan</w:t>
      </w:r>
      <w:r>
        <w:t xml:space="preserve"> </w:t>
      </w:r>
      <w:r>
        <w:rPr>
          <w:i/>
        </w:rPr>
        <w:t xml:space="preserve">et al.</w:t>
      </w:r>
      <w:r>
        <w:t xml:space="preserve">, 2003)</w:t>
      </w:r>
      <w:r>
        <w:t xml:space="preserve">.</w:t>
      </w:r>
      <w:r>
        <w:t xml:space="preserve"> </w:t>
      </w:r>
      <w:r>
        <w:t xml:space="preserve">Interestingly the availability of UBF</w:t>
      </w:r>
      <w:r>
        <w:t xml:space="preserve"> </w:t>
      </w:r>
      <w:r>
        <w:rPr>
          <w:i/>
        </w:rPr>
        <w:t xml:space="preserve">per se</w:t>
      </w:r>
      <w:r>
        <w:t xml:space="preserve"> </w:t>
      </w:r>
      <w:r>
        <w:t xml:space="preserve">has been shown to be a determinant of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p>
    <w:p>
      <w:pPr>
        <w:pStyle w:val="Brdtekst"/>
      </w:pPr>
      <w:r>
        <w:t xml:space="preserve">Resistance exercise is a potent stimuli for rRNA transcription as a single session leads to increases in pre-rRNA</w:t>
      </w:r>
      <w:r>
        <w:t xml:space="preserve"> </w:t>
      </w:r>
      <w:r>
        <w:t xml:space="preserve">(Stec</w:t>
      </w:r>
      <w:r>
        <w:t xml:space="preserve"> </w:t>
      </w:r>
      <w:r>
        <w:rPr>
          <w:i/>
        </w:rPr>
        <w:t xml:space="preserve">et al.</w:t>
      </w:r>
      <w:r>
        <w:t xml:space="preserve">, 2015</w:t>
      </w:r>
      <w:r>
        <w:t xml:space="preserve">; Nader</w:t>
      </w:r>
      <w:r>
        <w:t xml:space="preserve"> </w:t>
      </w:r>
      <w:r>
        <w:rPr>
          <w:i/>
        </w:rPr>
        <w:t xml:space="preserve">et al.</w:t>
      </w:r>
      <w:r>
        <w:t xml:space="preserve">, 2014</w:t>
      </w:r>
      <w:r>
        <w:t xml:space="preserve">)</w:t>
      </w:r>
      <w:r>
        <w:t xml:space="preserve"> </w:t>
      </w:r>
      <w:r>
        <w:t xml:space="preserve">and repeated bouts lead to accumulation of mature rRNA thus also total RNA and presumably functional ribosomes</w:t>
      </w:r>
      <w:r>
        <w:t xml:space="preserve"> </w:t>
      </w:r>
      <w:r>
        <w:t xml:space="preserve">(Stec</w:t>
      </w:r>
      <w:r>
        <w:t xml:space="preserve"> </w:t>
      </w:r>
      <w:r>
        <w:rPr>
          <w:i/>
        </w:rPr>
        <w:t xml:space="preserve">et al.</w:t>
      </w:r>
      <w:r>
        <w:t xml:space="preserve">, 2015,</w:t>
      </w:r>
      <w:r>
        <w:t xml:space="preserve"> </w:t>
      </w:r>
      <w:r>
        <w:t xml:space="preserve">2016</w:t>
      </w:r>
      <w:r>
        <w:t xml:space="preserve">;</w:t>
      </w:r>
      <w:r>
        <w:t xml:space="preserve"> </w:t>
      </w:r>
      <w:r>
        <w:t xml:space="preserve">Bickel</w:t>
      </w:r>
      <w:r>
        <w:t xml:space="preserve"> </w:t>
      </w:r>
      <w:r>
        <w:rPr>
          <w:i/>
        </w:rPr>
        <w:t xml:space="preserve">et al.</w:t>
      </w:r>
      <w:r>
        <w:t xml:space="preserve">, 2005;</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Brook</w:t>
      </w:r>
      <w:r>
        <w:t xml:space="preserve"> </w:t>
      </w:r>
      <w:r>
        <w:rPr>
          <w:i/>
        </w:rPr>
        <w:t xml:space="preserve">et al.</w:t>
      </w:r>
      <w:r>
        <w:t xml:space="preserve">, 2016;</w:t>
      </w:r>
      <w:r>
        <w:t xml:space="preserve"> </w:t>
      </w:r>
      <w:r>
        <w:t xml:space="preserve">Reidy</w:t>
      </w:r>
      <w:r>
        <w:t xml:space="preserve"> </w:t>
      </w:r>
      <w:r>
        <w:rPr>
          <w:i/>
        </w:rPr>
        <w:t xml:space="preserve">et al.</w:t>
      </w:r>
      <w:r>
        <w:t xml:space="preserve">, 2017</w:t>
      </w:r>
      <w:r>
        <w:t xml:space="preserve">)</w:t>
      </w:r>
      <w:r>
        <w:t xml:space="preserve">.</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t xml:space="preserve"> </w:t>
      </w:r>
      <w:r>
        <w:t xml:space="preserve">(Bickel</w:t>
      </w:r>
      <w:r>
        <w:t xml:space="preserve"> </w:t>
      </w:r>
      <w:r>
        <w:rPr>
          <w:i/>
        </w:rPr>
        <w:t xml:space="preserve">et al.</w:t>
      </w:r>
      <w:r>
        <w:t xml:space="preserve">, 2005)</w:t>
      </w:r>
      <w:r>
        <w:t xml:space="preserve">.</w:t>
      </w:r>
      <w:r>
        <w:t xml:space="preserve"> </w:t>
      </w:r>
      <w:r>
        <w:t xml:space="preserve">Using voluntary contractions, peak values were reported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resembling data from our lab where five sessions of RT led to marked increase in total RNA levels (per-unit muscle tissue), whereby a numerical lowering occurred to after the last training session of the 12 wk interventions (31 sessions).</w:t>
      </w:r>
      <w:r>
        <w:t xml:space="preserve"> </w:t>
      </w:r>
      <w:r>
        <w:t xml:space="preserve">(Hammarström</w:t>
      </w:r>
      <w:r>
        <w:t xml:space="preserve"> </w:t>
      </w:r>
      <w:r>
        <w:rPr>
          <w:i/>
        </w:rPr>
        <w:t xml:space="preserve">et al.</w:t>
      </w:r>
      <w:r>
        <w:t xml:space="preserve">, 2020)</w:t>
      </w:r>
      <w:r>
        <w:t xml:space="preserve">.</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t xml:space="preserve"> </w:t>
      </w:r>
      <w:r>
        <w:t xml:space="preserve">(Hammarström</w:t>
      </w:r>
      <w:r>
        <w:t xml:space="preserve"> </w:t>
      </w:r>
      <w:r>
        <w:rPr>
          <w:i/>
        </w:rPr>
        <w:t xml:space="preserve">et al.</w:t>
      </w:r>
      <w:r>
        <w:t xml:space="preserve">, 2020)</w:t>
      </w:r>
      <w:r>
        <w:t xml:space="preserve">.</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bookmarkEnd w:id="22"/>
    <w:bookmarkStart w:id="31" w:name="methods"/>
    <w:p>
      <w:pPr>
        <w:pStyle w:val="Overskrift1"/>
      </w:pPr>
      <w:r>
        <w:t xml:space="preserve">Methods</w:t>
      </w:r>
    </w:p>
    <w:bookmarkStart w:id="23" w:name="study-overview"/>
    <w:p>
      <w:pPr>
        <w:pStyle w:val="Overskrift2"/>
      </w:pPr>
      <w:r>
        <w:t xml:space="preserve">Study overview</w:t>
      </w:r>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bookmarkEnd w:id="23"/>
    <w:bookmarkStart w:id="24"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4"/>
    <w:bookmarkStart w:id="25"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bookmarkEnd w:id="25"/>
    <w:bookmarkStart w:id="26" w:name="muscle-biopsy-sampling"/>
    <w:p>
      <w:pPr>
        <w:pStyle w:val="Overskrift2"/>
      </w:pPr>
      <w:r>
        <w:t xml:space="preserve">Muscle biopsy sampling</w:t>
      </w:r>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bookmarkEnd w:id="26"/>
    <w:bookmarkStart w:id="27"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bookmarkEnd w:id="27"/>
    <w:bookmarkStart w:id="28"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bookmarkEnd w:id="28"/>
    <w:bookmarkStart w:id="29"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bookmarkEnd w:id="29"/>
    <w:bookmarkStart w:id="30"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w:t>
      </w:r>
    </w:p>
    <w:p>
      <w:pPr>
        <w:pStyle w:val="Brdtekst"/>
      </w:pPr>
      <w:r>
        <w:t xml:space="preserve">Muscle strength, muscle thickness, protein and total RNA data was modeled after log transformation.</w:t>
      </w:r>
      <w:r>
        <w:t xml:space="preserve"> </w:t>
      </w:r>
      <w:r>
        <w:t xml:space="preserve">Gene abundance data were fitted with number of sessions as a categorical variable in comparisons of volume conditions, and Cq values converted to counts as suggested by Matz et al.</w:t>
      </w:r>
      <w:r>
        <w:t xml:space="preserve"> </w:t>
      </w:r>
      <w:r>
        <w:t xml:space="preserve">(2013)</w:t>
      </w:r>
      <w:r>
        <w:t xml:space="preserve">. A Poisson-lognormal model was used to fit these count,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bookmarkEnd w:id="30"/>
    <w:bookmarkEnd w:id="31"/>
    <w:bookmarkStart w:id="32" w:name="results"/>
    <w:p>
      <w:pPr>
        <w:pStyle w:val="Overskrift1"/>
      </w:pPr>
      <w:r>
        <w:t xml:space="preserve">Results</w:t>
      </w:r>
    </w:p>
    <w:p>
      <w:pPr>
        <w:pStyle w:val="FirstParagraph"/>
      </w:pPr>
      <w:r>
        <w:t xml:space="preserve">In TRAIN, all participants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CI: [21, 41]) and third (47% [35, 61]) training block, with each block consisting of four training sessions.</w:t>
      </w:r>
      <w:r>
        <w:t xml:space="preserve"> </w:t>
      </w:r>
      <w:r>
        <w:t xml:space="preserve">Concomitantly, in TRAIN, isokinetic strength and thickness of</w:t>
      </w:r>
      <w:r>
        <w:t xml:space="preserve"> </w:t>
      </w:r>
      <w:r>
        <w:rPr>
          <w:i/>
        </w:rPr>
        <w:t xml:space="preserve">m. vastus lateralis</w:t>
      </w:r>
      <w:r>
        <w:t xml:space="preserve"> </w:t>
      </w:r>
      <w:r>
        <w:t xml:space="preserve">increased from baseline to after Session 12 compared to CTRL (isokinetic strength</w:t>
      </w:r>
      <w:r>
        <w:t xml:space="preserve"> </w:t>
      </w:r>
      <m:oMath>
        <m:r>
          <m:t>∼</m:t>
        </m:r>
      </m:oMath>
      <w:r>
        <w:t xml:space="preserve"> </w:t>
      </w:r>
      <w:r>
        <w:t xml:space="preserve">9.2%-point difference; muscle thickness</w:t>
      </w:r>
      <w:r>
        <w:t xml:space="preserve"> </w:t>
      </w:r>
      <m:oMath>
        <m:r>
          <m:t>∼</m:t>
        </m:r>
      </m:oMath>
      <w:r>
        <w:t xml:space="preserve"> </w:t>
      </w:r>
      <w:r>
        <w:t xml:space="preserve">3.6%-point difference, Figure 1C and D), a difference that was sustained to after eight days of de-training (</w:t>
      </w:r>
      <m:oMath>
        <m:r>
          <m:t>∼</m:t>
        </m:r>
      </m:oMath>
      <w:r>
        <w:t xml:space="preserve"> </w:t>
      </w:r>
      <w:r>
        <w:t xml:space="preserve">6.7%-point and</w:t>
      </w:r>
      <w:r>
        <w:t xml:space="preserve"> </w:t>
      </w:r>
      <m:oMath>
        <m:r>
          <m:t>∼</m:t>
        </m:r>
      </m:oMath>
      <w:r>
        <w:t xml:space="preserve"> </w:t>
      </w:r>
      <w:r>
        <w:t xml:space="preserve">3.5%-point difference in change in isokinetic strength and muscle thickness, respectively; Figure 1C and D). Isometric strength showed the same general pattern to after Session 12 (</w:t>
      </w:r>
      <m:oMath>
        <m:r>
          <m:t>∼</m:t>
        </m:r>
      </m:oMath>
      <w:r>
        <w:t xml:space="preserve"> </w:t>
      </w:r>
      <w:r>
        <w:t xml:space="preserve">3.5%-point difference), though with considerably larger degrees of uncertainty, as indicated by wider 95% CI normalization compared to CTRL after de-training (</w:t>
      </w:r>
      <m:oMath>
        <m:r>
          <m:t>∼</m:t>
        </m:r>
      </m:oMath>
      <w:r>
        <w:t xml:space="preserve"> </w:t>
      </w:r>
      <w:r>
        <w:t xml:space="preserve">1.9%-point; Figure 1C). No differences were observed between volume conditions for either strength or muscle thickness.</w:t>
      </w:r>
    </w:p>
    <w:p>
      <w:pPr>
        <w:pStyle w:val="Brdtekst"/>
      </w:pPr>
      <w:r>
        <w:t xml:space="preserve">For both rpS6 and UBF, protein levels increased linearly throughout the training intervention, with rpS6 showing estimated increments per session corresponding to 4.2% [1.1, 7.3] during block 1 (session 1-4), 2.6% [-0.4, 5.6] during block 2 (session 5-8) and 4.6% [1.2, 8.1] during block 3 (session 9-12), and UBF showing increments corresponding to 7.3% [2.1, 12.7], 4.6% [-0.4, 9.9] and 6.1% [0.3, 12.2]. This general pattern was confirmed when comparing TRAIN to CTRL where UBF and rpS6 protein levels were higher in TRAIN compared to CTRL after Session 12 and elevated after eight days of rest (Figure 2A and B), however with no differences being observed after the first training session (48 hrs). Increases did not differ between volume-conditions but for UBF, there was a tendency towards lower levels in VAR after Session 12 (-19.7% [-42.8, 11.6]). After de-training, UBF-levels tended to decrease in CONST (-22.5% [-44.4, 7.0]) while levels in VAR remained at elevated level compare to after Session 12 (8.0% [-21.4, 49.6]; interaction effect: 34.4% [-14.8, 113.1]). For rpS6, de-training affect protein levels, which remained similar between volume conditions period and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expression per unit tissue weight, which increased robustly and steadily in TRAIN throughout the initial part of the intervention (Figure 3E and G), leading to robust increase compared to CTRL after Session 12 (Figure 3F), followed by decreased levels after de-training (-19.2%, [-29.1, -8.1]).</w:t>
      </w:r>
      <w:r>
        <w:t xml:space="preserve"> </w:t>
      </w:r>
      <w:r>
        <w:t xml:space="preserve">For both rRNA expression and total RNA levels, the training-associated increases in abundances occurred predominately during the first four sessions, evident as 8.6% [5.5, 11.7] increase per session, followed by sustained levels from sessions four to eight (1.9% [-0.9, 4.7] increase per session) and from sessions eight to twelve 0.0% [-3.1, 3.2], corresponding to 38.9% [23.9, 55.4], 49.5% [34.2, 66.5] and 49.5% [32.5, 68.6]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6.3% [1.8, 11.0] increases in total RNA per unit tissue weight coninciding with one unit increase in UBF levels (corresponding to one standard deviation; Table 3). In contrast, no evidence was found for a relationship between total RNA and rpS6 protein levels (Table 3).</w:t>
      </w:r>
    </w:p>
    <w:p>
      <w:pPr>
        <w:pStyle w:val="Brdtekst"/>
      </w:pPr>
      <w:r>
        <w:t xml:space="preserve">In TRAIN, there was a robust positive relationship between rates of increase in total RNA in response to training and muscle growth measured as increases in</w:t>
      </w:r>
      <w:r>
        <w:t xml:space="preserve"> </w:t>
      </w:r>
      <w:r>
        <w:rPr>
          <w:i/>
        </w:rPr>
        <w:t xml:space="preserve">m. vastus lateralis</w:t>
      </w:r>
      <w:r>
        <w:t xml:space="preserve"> </w:t>
      </w:r>
      <w:r>
        <w:t xml:space="preserve">thickness (Table 4,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4,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r4esults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(Participant 8 and 3 in Figure 4D).</w:t>
      </w:r>
    </w:p>
    <w:bookmarkEnd w:id="32"/>
    <w:bookmarkStart w:id="33"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it leveled out, establishing a plausible time course for changes in ribosomal concentration in response to RT that plateaus after</w:t>
      </w:r>
      <w:r>
        <w:t xml:space="preserve"> </w:t>
      </w:r>
      <m:oMath>
        <m:r>
          <m:t>∼</m:t>
        </m:r>
      </m:oMath>
      <w:r>
        <w:t xml:space="preserve"> </w:t>
      </w:r>
      <w:r>
        <w:t xml:space="preserve">8 sessions.</w:t>
      </w:r>
      <w:r>
        <w:t xml:space="preserve"> </w:t>
      </w:r>
      <w:r>
        <w:t xml:space="preserve">This increase in total RNA was interconnected with increases in UBF protein abundance, suggesting UBF levels</w:t>
      </w:r>
      <w:r>
        <w:t xml:space="preserve"> </w:t>
      </w:r>
      <w:r>
        <w:rPr>
          <w:i/>
        </w:rPr>
        <w:t xml:space="preserve">per se</w:t>
      </w:r>
      <w:r>
        <w:t xml:space="preserve"> </w:t>
      </w:r>
      <w:r>
        <w:t xml:space="preserve">to play a role in regulation of rRNA transcription regulation in response to RT.</w:t>
      </w:r>
      <w:r>
        <w:t xml:space="preserve"> </w:t>
      </w:r>
      <w:r>
        <w:t xml:space="preserve">Total RNA increases was not affected 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mass accretion</w:t>
      </w:r>
      <w:r>
        <w:t xml:space="preserve"> </w:t>
      </w:r>
      <w:r>
        <w:t xml:space="preserve">(West</w:t>
      </w:r>
      <w:r>
        <w:t xml:space="preserve"> </w:t>
      </w:r>
      <w:r>
        <w:rPr>
          <w:i/>
        </w:rPr>
        <w:t xml:space="preserve">et al.</w:t>
      </w:r>
      <w:r>
        <w:t xml:space="preserve">, 2016;</w:t>
      </w:r>
      <w:r>
        <w:t xml:space="preserve"> </w:t>
      </w:r>
      <w:r>
        <w:t xml:space="preserve">Millward</w:t>
      </w:r>
      <w:r>
        <w:t xml:space="preserve"> </w:t>
      </w:r>
      <w:r>
        <w:rPr>
          <w:i/>
        </w:rPr>
        <w:t xml:space="preserve">et al.</w:t>
      </w:r>
      <w:r>
        <w:t xml:space="preserve">, 1973)</w:t>
      </w:r>
      <w:r>
        <w:t xml:space="preserve"> </w:t>
      </w:r>
      <w:r>
        <w:t xml:space="preserve">and muscle hypertrophy</w:t>
      </w:r>
      <w:r>
        <w:t xml:space="preserve"> </w:t>
      </w:r>
      <w:r>
        <w:t xml:space="preserve">(Figueiredo</w:t>
      </w:r>
      <w:r>
        <w:t xml:space="preserve"> </w:t>
      </w:r>
      <w:r>
        <w:rPr>
          <w:i/>
        </w:rPr>
        <w:t xml:space="preserve">et al.</w:t>
      </w:r>
      <w:r>
        <w:t xml:space="preserve">, 2015;</w:t>
      </w:r>
      <w:r>
        <w:t xml:space="preserve"> </w:t>
      </w:r>
      <w:r>
        <w:t xml:space="preserve">Stec</w:t>
      </w:r>
      <w:r>
        <w:t xml:space="preserve"> </w:t>
      </w:r>
      <w:r>
        <w:rPr>
          <w:i/>
        </w:rPr>
        <w:t xml:space="preserve">et al.</w:t>
      </w:r>
      <w:r>
        <w:t xml:space="preserve">, 2016;</w:t>
      </w:r>
      <w:r>
        <w:t xml:space="preserve"> </w:t>
      </w:r>
      <w:r>
        <w:t xml:space="preserve">Hammarström</w:t>
      </w:r>
      <w:r>
        <w:t xml:space="preserve"> </w:t>
      </w:r>
      <w:r>
        <w:rPr>
          <w:i/>
        </w:rPr>
        <w:t xml:space="preserve">et al.</w:t>
      </w:r>
      <w:r>
        <w:t xml:space="preserve">, 2020)</w:t>
      </w:r>
      <w:r>
        <w:t xml:space="preserve">.</w:t>
      </w:r>
    </w:p>
    <w:p>
      <w:pPr>
        <w:pStyle w:val="Brdtekst"/>
      </w:pPr>
      <w:r>
        <w:t xml:space="preserve">Total RNA seems to be a valid proxy marker of ribosomal density, as most of the RNA is assumed to be ribosomal RNA</w:t>
      </w:r>
      <w:r>
        <w:t xml:space="preserve"> </w:t>
      </w:r>
      <w:r>
        <w:t xml:space="preserve">(Young, 1970)</w:t>
      </w:r>
      <w:r>
        <w:t xml:space="preserve">,</w:t>
      </w:r>
      <w:r>
        <w:t xml:space="preserve"> </w:t>
      </w:r>
      <w:r>
        <w:t xml:space="preserve">which in turn is a valid marker of translational capacity</w:t>
      </w:r>
      <w:r>
        <w:t xml:space="preserve"> </w:t>
      </w:r>
      <w:r>
        <w:t xml:space="preserve">(Millward</w:t>
      </w:r>
      <w:r>
        <w:t xml:space="preserve"> </w:t>
      </w:r>
      <w:r>
        <w:rPr>
          <w:i/>
        </w:rPr>
        <w:t xml:space="preserve">et al.</w:t>
      </w:r>
      <w:r>
        <w:t xml:space="preserve">, 1973)</w:t>
      </w:r>
      <w:r>
        <w:t xml:space="preserve">.</w:t>
      </w:r>
      <w:r>
        <w:t xml:space="preserve"> </w:t>
      </w:r>
      <w:r>
        <w:t xml:space="preserve">Several studies have shown that total RNA content is altered by RT</w:t>
      </w:r>
      <w:r>
        <w:t xml:space="preserve"> </w:t>
      </w:r>
      <w:r>
        <w:t xml:space="preserve"> </w:t>
      </w:r>
      <w:r>
        <w:t xml:space="preserve">(Haun</w:t>
      </w:r>
      <w:r>
        <w:t xml:space="preserve"> </w:t>
      </w:r>
      <w:r>
        <w:rPr>
          <w:i/>
        </w:rPr>
        <w:t xml:space="preserve">et al.</w:t>
      </w:r>
      <w:r>
        <w:t xml:space="preserve">, 2019;</w:t>
      </w:r>
      <w:r>
        <w:t xml:space="preserve"> </w:t>
      </w:r>
      <w:r>
        <w:t xml:space="preserve">Haddad</w:t>
      </w:r>
      <w:r>
        <w:t xml:space="preserve"> </w:t>
      </w:r>
      <w:r>
        <w:rPr>
          <w:i/>
        </w:rPr>
        <w:t xml:space="preserve">et al.</w:t>
      </w:r>
      <w:r>
        <w:t xml:space="preserve">, 2005;</w:t>
      </w:r>
      <w:r>
        <w:t xml:space="preserve"> </w:t>
      </w:r>
      <w:r>
        <w:t xml:space="preserve">Stec</w:t>
      </w:r>
      <w:r>
        <w:t xml:space="preserve"> </w:t>
      </w:r>
      <w:r>
        <w:rPr>
          <w:i/>
        </w:rPr>
        <w:t xml:space="preserve">et al.</w:t>
      </w:r>
      <w:r>
        <w:t xml:space="preserve">, 2015,</w:t>
      </w:r>
      <w:r>
        <w:t xml:space="preserve"> </w:t>
      </w:r>
      <w:r>
        <w:t xml:space="preserve">2016</w:t>
      </w:r>
      <w:r>
        <w:t xml:space="preserve">;</w:t>
      </w:r>
      <w:r>
        <w:t xml:space="preserve"> </w:t>
      </w:r>
      <w:r>
        <w:t xml:space="preserve">Bickel</w:t>
      </w:r>
      <w:r>
        <w:t xml:space="preserve"> </w:t>
      </w:r>
      <w:r>
        <w:rPr>
          <w:i/>
        </w:rPr>
        <w:t xml:space="preserve">et al.</w:t>
      </w:r>
      <w:r>
        <w:t xml:space="preserve">, 2005;</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Brook</w:t>
      </w:r>
      <w:r>
        <w:t xml:space="preserve"> </w:t>
      </w:r>
      <w:r>
        <w:rPr>
          <w:i/>
        </w:rPr>
        <w:t xml:space="preserve">et al.</w:t>
      </w:r>
      <w:r>
        <w:t xml:space="preserve">, 2016;</w:t>
      </w:r>
      <w:r>
        <w:t xml:space="preserve"> </w:t>
      </w:r>
      <w:r>
        <w:t xml:space="preserve">Reidy</w:t>
      </w:r>
      <w:r>
        <w:t xml:space="preserve"> </w:t>
      </w:r>
      <w:r>
        <w:rPr>
          <w:i/>
        </w:rPr>
        <w:t xml:space="preserve">et al.</w:t>
      </w:r>
      <w:r>
        <w:t xml:space="preserve">, 2017</w:t>
      </w:r>
      <w:r>
        <w:t xml:space="preserve">)</w:t>
      </w:r>
      <w:r>
        <w:t xml:space="preserve">,</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 session,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t xml:space="preserve"> </w:t>
      </w:r>
      <w:r>
        <w:t xml:space="preserve">(Brook</w:t>
      </w:r>
      <w:r>
        <w:t xml:space="preserve"> </w:t>
      </w:r>
      <w:r>
        <w:rPr>
          <w:i/>
        </w:rPr>
        <w:t xml:space="preserve">et al.</w:t>
      </w:r>
      <w:r>
        <w:t xml:space="preserve">, 2016; Hammarström</w:t>
      </w:r>
      <w:r>
        <w:t xml:space="preserve"> </w:t>
      </w:r>
      <w:r>
        <w:rPr>
          <w:i/>
        </w:rPr>
        <w:t xml:space="preserve">et al.</w:t>
      </w:r>
      <w:r>
        <w:t xml:space="preserve">, 2020)</w:t>
      </w:r>
      <w:r>
        <w:t xml:space="preserve">, and may be essential for preparing muscle fibers for subsequent growth</w:t>
      </w:r>
      <w:r>
        <w:t xml:space="preserve"> </w:t>
      </w:r>
      <w:r>
        <w:t xml:space="preserve">(Brook</w:t>
      </w:r>
      <w:r>
        <w:t xml:space="preserve"> </w:t>
      </w:r>
      <w:r>
        <w:rPr>
          <w:i/>
        </w:rPr>
        <w:t xml:space="preserve">et al.</w:t>
      </w:r>
      <w:r>
        <w:t xml:space="preserve">, 2016;</w:t>
      </w:r>
      <w:r>
        <w:t xml:space="preserve"> </w:t>
      </w:r>
      <w:r>
        <w:t xml:space="preserve">Figueiredo</w:t>
      </w:r>
      <w:r>
        <w:t xml:space="preserve"> </w:t>
      </w:r>
      <w:r>
        <w:rPr>
          <w:i/>
        </w:rPr>
        <w:t xml:space="preserve">et al.</w:t>
      </w:r>
      <w:r>
        <w:t xml:space="preserve">, 2015;</w:t>
      </w:r>
      <w:r>
        <w:t xml:space="preserve"> </w:t>
      </w:r>
      <w:r>
        <w:t xml:space="preserve">Hammarström</w:t>
      </w:r>
      <w:r>
        <w:t xml:space="preserve"> </w:t>
      </w:r>
      <w:r>
        <w:rPr>
          <w:i/>
        </w:rPr>
        <w:t xml:space="preserve">et al.</w:t>
      </w:r>
      <w:r>
        <w:t xml:space="preserve">, 2020)</w:t>
      </w:r>
      <w:r>
        <w:t xml:space="preserve">.</w:t>
      </w:r>
      <w:r>
        <w:t xml:space="preserve"> </w:t>
      </w:r>
      <w:r>
        <w:t xml:space="preserve">After the 8</w:t>
      </w:r>
      <w:r>
        <w:rPr>
          <w:vertAlign w:val="superscript"/>
        </w:rPr>
        <w:t xml:space="preserve">th</w:t>
      </w:r>
      <w:r>
        <w:t xml:space="preserve"> </w:t>
      </w:r>
      <w:r>
        <w:t xml:space="preserve">session, no meaningful increase or decrease were observed for total RNA/rRNA content within the training period, suggesting a plateau phase with attenuated net synthesis of novel ribosomes. Within this last part of the intervention, synthesis of novel rRNA still seemed to be elevated per weight unit muscle tissue compared to baseline, as suggested by sustained elevation of pre-rRNA transcripts, coinciding with peak values of UBF protein levels. This may indicate that during the plateau phase, the ribosomal concentration is balanced by muscle growth</w:t>
      </w:r>
      <w:r>
        <w:t xml:space="preserve"> </w:t>
      </w:r>
      <w:r>
        <w:t xml:space="preserve">(Figueiredo &amp; McCarthy, 2019)</w:t>
      </w:r>
      <w:r>
        <w:t xml:space="preserve">.</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t xml:space="preserve"> </w:t>
      </w:r>
      <w:r>
        <w:t xml:space="preserve">(Figueiredo</w:t>
      </w:r>
      <w:r>
        <w:t xml:space="preserve"> </w:t>
      </w:r>
      <w:r>
        <w:rPr>
          <w:i/>
        </w:rPr>
        <w:t xml:space="preserve">et al.</w:t>
      </w:r>
      <w:r>
        <w:t xml:space="preserve">, 2015;</w:t>
      </w:r>
      <w:r>
        <w:t xml:space="preserve"> </w:t>
      </w:r>
      <w:r>
        <w:t xml:space="preserve">Reidy</w:t>
      </w:r>
      <w:r>
        <w:t xml:space="preserve"> </w:t>
      </w:r>
      <w:r>
        <w:rPr>
          <w:i/>
        </w:rPr>
        <w:t xml:space="preserve">et al.</w:t>
      </w:r>
      <w:r>
        <w:t xml:space="preserve">, 2017; Mobley</w:t>
      </w:r>
      <w:r>
        <w:t xml:space="preserve"> </w:t>
      </w:r>
      <w:r>
        <w:rPr>
          <w:i/>
        </w:rPr>
        <w:t xml:space="preserve">et al.</w:t>
      </w:r>
      <w:r>
        <w:t xml:space="preserve">, 2018)</w:t>
      </w:r>
      <w:r>
        <w:t xml:space="preserve">,</w:t>
      </w:r>
      <w:r>
        <w:t xml:space="preserve"> </w:t>
      </w:r>
      <w:r>
        <w:t xml:space="preserve"> </w:t>
      </w:r>
      <w:r>
        <w:t xml:space="preserve">differs between individuals displaying low vs. high levels of muscle hypertrophy in response to RT</w:t>
      </w:r>
      <w:r>
        <w:t xml:space="preserve"> </w:t>
      </w:r>
      <w:r>
        <w:t xml:space="preserve">(Stec</w:t>
      </w:r>
      <w:r>
        <w:t xml:space="preserve"> </w:t>
      </w:r>
      <w:r>
        <w:rPr>
          <w:i/>
        </w:rPr>
        <w:t xml:space="preserve">et al.</w:t>
      </w:r>
      <w:r>
        <w:t xml:space="preserve">, 2016)</w:t>
      </w:r>
      <w:r>
        <w:t xml:space="preserve"> </w:t>
      </w:r>
      <w:r>
        <w:t xml:space="preserve">an contribute to explain RT volume-dependent changes in muscle mass and strength</w:t>
      </w:r>
      <w:r>
        <w:t xml:space="preserve"> </w:t>
      </w:r>
      <w:r>
        <w:t xml:space="preserve">(Hammarström</w:t>
      </w:r>
      <w:r>
        <w:t xml:space="preserve"> </w:t>
      </w:r>
      <w:r>
        <w:rPr>
          <w:i/>
        </w:rPr>
        <w:t xml:space="preserve">et al.</w:t>
      </w:r>
      <w:r>
        <w:t xml:space="preserve">, 2020)</w:t>
      </w:r>
      <w:r>
        <w:t xml:space="preserve">.</w:t>
      </w:r>
      <w:r>
        <w:t xml:space="preserve"> </w:t>
      </w:r>
      <w:r>
        <w:t xml:space="preserve">In addition, supression of ribosomal biogenesis in</w:t>
      </w:r>
      <w:r>
        <w:t xml:space="preserve"> </w:t>
      </w:r>
      <w:r>
        <w:rPr>
          <w:i/>
        </w:rPr>
        <w:t xml:space="preserve">in vitro</w:t>
      </w:r>
      <w:r>
        <w:t xml:space="preserve"> </w:t>
      </w:r>
      <w:r>
        <w:t xml:space="preserve">models leads to halted muscle cellular growth in some</w:t>
      </w:r>
      <w:r>
        <w:t xml:space="preserve"> </w:t>
      </w:r>
      <w:r>
        <w:t xml:space="preserve">(Nader</w:t>
      </w:r>
      <w:r>
        <w:t xml:space="preserve"> </w:t>
      </w:r>
      <w:r>
        <w:rPr>
          <w:i/>
        </w:rPr>
        <w:t xml:space="preserve">et al.</w:t>
      </w:r>
      <w:r>
        <w:t xml:space="preserve">, 2005;</w:t>
      </w:r>
      <w:r>
        <w:t xml:space="preserve"> </w:t>
      </w:r>
      <w:r>
        <w:t xml:space="preserve">West</w:t>
      </w:r>
      <w:r>
        <w:t xml:space="preserve"> </w:t>
      </w:r>
      <w:r>
        <w:rPr>
          <w:i/>
        </w:rPr>
        <w:t xml:space="preserve">et al.</w:t>
      </w:r>
      <w:r>
        <w:t xml:space="preserve">, 2016</w:t>
      </w:r>
      <w:r>
        <w:t xml:space="preserve">; Stec</w:t>
      </w:r>
      <w:r>
        <w:t xml:space="preserve"> </w:t>
      </w:r>
      <w:r>
        <w:rPr>
          <w:i/>
        </w:rPr>
        <w:t xml:space="preserve">et al.</w:t>
      </w:r>
      <w:r>
        <w:t xml:space="preserve">, 2016)</w:t>
      </w:r>
      <w:r>
        <w:t xml:space="preserve"> </w:t>
      </w:r>
      <w:r>
        <w:t xml:space="preserve">but not all studies</w:t>
      </w:r>
      <w:r>
        <w:t xml:space="preserve"> </w:t>
      </w:r>
      <w:r>
        <w:t xml:space="preserve">(Crossland</w:t>
      </w:r>
      <w:r>
        <w:t xml:space="preserve"> </w:t>
      </w:r>
      <w:r>
        <w:rPr>
          <w:i/>
        </w:rPr>
        <w:t xml:space="preserve">et al.</w:t>
      </w:r>
      <w:r>
        <w:t xml:space="preserve">, 2017)</w:t>
      </w:r>
      <w:r>
        <w:t xml:space="preserve">.</w:t>
      </w:r>
      <w:r>
        <w:t xml:space="preserve"> </w:t>
      </w:r>
      <w:r>
        <w:t xml:space="preserve">Conversely, individual variation in fixed amounts of total RNA was not found to determine muscle mass accretion, and higher levels of total RNA was instead associated with a tendency towards lowered muscle growth.</w:t>
      </w:r>
      <w:r>
        <w:t xml:space="preserve"> </w:t>
      </w:r>
      <w:r>
        <w:t xml:space="preserve">Overall, the rate of increases in ribosomal density thus seems to be a better predictor of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t xml:space="preserve"> </w:t>
      </w:r>
      <w:r>
        <w:t xml:space="preserve">(Stec</w:t>
      </w:r>
      <w:r>
        <w:t xml:space="preserve"> </w:t>
      </w:r>
      <w:r>
        <w:rPr>
          <w:i/>
        </w:rPr>
        <w:t xml:space="preserve">et al.</w:t>
      </w:r>
      <w:r>
        <w:t xml:space="preserve">, 2015)</w:t>
      </w:r>
      <w:r>
        <w:t xml:space="preserve"> </w:t>
      </w:r>
      <w:r>
        <w:t xml:space="preserve">they show reduced changes in total RNA levels in response to RT</w:t>
      </w:r>
      <w:r>
        <w:t xml:space="preserve"> </w:t>
      </w:r>
      <w:r>
        <w:t xml:space="preserve">(Brook</w:t>
      </w:r>
      <w:r>
        <w:t xml:space="preserve"> </w:t>
      </w:r>
      <w:r>
        <w:rPr>
          <w:i/>
        </w:rPr>
        <w:t xml:space="preserve">et al.</w:t>
      </w:r>
      <w:r>
        <w:t xml:space="preserve">, 2016)</w:t>
      </w:r>
      <w:r>
        <w:t xml:space="preserve">,</w:t>
      </w:r>
      <w:r>
        <w:t xml:space="preserve"> </w:t>
      </w:r>
      <w:r>
        <w:t xml:space="preserve">potentially explaining their alleged poorer overall hypertrophic responses</w:t>
      </w:r>
      <w:r>
        <w:t xml:space="preserve"> </w:t>
      </w:r>
      <w:r>
        <w:t xml:space="preserve">(Brook</w:t>
      </w:r>
      <w:r>
        <w:t xml:space="preserve"> </w:t>
      </w:r>
      <w:r>
        <w:rPr>
          <w:i/>
        </w:rPr>
        <w:t xml:space="preserve">et al.</w:t>
      </w:r>
      <w:r>
        <w:t xml:space="preserve">, 2016)</w:t>
      </w:r>
      <w:r>
        <w:t xml:space="preserve">.</w:t>
      </w:r>
      <w:r>
        <w:t xml:space="preserve"> </w:t>
      </w:r>
      <w:r>
        <w:t xml:space="preserve">Whether these cellular characteristics are related to e.g. differences in fiber type distributions</w:t>
      </w:r>
      <w:r>
        <w:t xml:space="preserve"> </w:t>
      </w:r>
      <w:r>
        <w:t xml:space="preserve">(Habets</w:t>
      </w:r>
      <w:r>
        <w:t xml:space="preserve"> </w:t>
      </w:r>
      <w:r>
        <w:rPr>
          <w:i/>
        </w:rPr>
        <w:t xml:space="preserve">et al.</w:t>
      </w:r>
      <w:r>
        <w:t xml:space="preserve">, 1999)</w:t>
      </w:r>
      <w:r>
        <w:t xml:space="preserve"> </w:t>
      </w:r>
      <w:r>
        <w:t xml:space="preserve">remains to be determined.</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t xml:space="preserve"> </w:t>
      </w:r>
      <w:r>
        <w:t xml:space="preserve">(Brook</w:t>
      </w:r>
      <w:r>
        <w:t xml:space="preserve"> </w:t>
      </w:r>
      <w:r>
        <w:rPr>
          <w:i/>
        </w:rPr>
        <w:t xml:space="preserve">et al.</w:t>
      </w:r>
      <w:r>
        <w:t xml:space="preserve">, 2015)</w:t>
      </w:r>
      <w:r>
        <w:t xml:space="preserve">,</w:t>
      </w:r>
      <w:r>
        <w:t xml:space="preserve"> </w:t>
      </w:r>
      <w:r>
        <w:t xml:space="preserve">but not in elderly men and women where a decrease was observed in response to training despite increases in total RNA and rRNA</w:t>
      </w:r>
      <w:r>
        <w:t xml:space="preserve"> </w:t>
      </w:r>
      <w:r>
        <w:t xml:space="preserve">(Stec</w:t>
      </w:r>
      <w:r>
        <w:t xml:space="preserve"> </w:t>
      </w:r>
      <w:r>
        <w:rPr>
          <w:i/>
        </w:rPr>
        <w:t xml:space="preserve">et al.</w:t>
      </w:r>
      <w:r>
        <w:t xml:space="preserve">, 2016)</w:t>
      </w:r>
      <w:r>
        <w:t xml:space="preserve">.</w:t>
      </w:r>
      <w:r>
        <w:t xml:space="preserve"> </w:t>
      </w:r>
      <w:r>
        <w:t xml:space="preserve">Although increases were seen in both rpS6 and and total RNA, rpS6 did not explain variations in total RNA when number of sessions were controlled for. Together with a disconnect after the de-training period, this suggest that regulations of rpS6 expression and ribosomal RNA transcription displays different temporal characteristics in response to RT. Additionally, ribosomal proteins may have extra-ribosomal functions</w:t>
      </w:r>
      <w:r>
        <w:t xml:space="preserve"> </w:t>
      </w:r>
      <w:r>
        <w:t xml:space="preserve">affecting their expression</w:t>
      </w:r>
      <w:r>
        <w:t xml:space="preserve"> </w:t>
      </w:r>
      <w:r>
        <w:t xml:space="preserve">(Warner &amp; McIntosh, 2009)</w:t>
      </w:r>
      <w:r>
        <w:t xml:space="preserve">.</w:t>
      </w:r>
    </w:p>
    <w:p>
      <w:pPr>
        <w:pStyle w:val="Brdtekst"/>
      </w:pPr>
      <w:r>
        <w:t xml:space="preserve">UBF levels robustly explained total RNA levels over the entire course of the intervention. These analyses were done with the number of sessions accounted for, allowing unbiased estimates.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t xml:space="preserve"> </w:t>
      </w:r>
      <w:r>
        <w:t xml:space="preserve">(Lin</w:t>
      </w:r>
      <w:r>
        <w:t xml:space="preserve"> </w:t>
      </w:r>
      <w:r>
        <w:rPr>
          <w:i/>
        </w:rPr>
        <w:t xml:space="preserve">et al.</w:t>
      </w:r>
      <w:r>
        <w:t xml:space="preserve">, 2007)</w:t>
      </w:r>
      <w:r>
        <w:t xml:space="preserve">.</w:t>
      </w:r>
      <w:r>
        <w:t xml:space="preserve"> </w:t>
      </w:r>
      <w:r>
        <w:t xml:space="preserve">Activation of UBF is controlled by the mechanosensitive mTOR pathway, and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Hannan</w:t>
      </w:r>
      <w:r>
        <w:t xml:space="preserve"> </w:t>
      </w:r>
      <w:r>
        <w:rPr>
          <w:i/>
        </w:rPr>
        <w:t xml:space="preserve">et al.</w:t>
      </w:r>
      <w:r>
        <w:t xml:space="preserve">, 2003)</w:t>
      </w:r>
      <w:r>
        <w:t xml:space="preserve">.</w:t>
      </w:r>
      <w:r>
        <w:t xml:space="preserve"> </w:t>
      </w:r>
      <w:r>
        <w:t xml:space="preserve"> </w:t>
      </w:r>
      <w:r>
        <w:t xml:space="preserve">Evidence from human exercise studies confirms training-induced activation of UBF through phosphorylation</w:t>
      </w:r>
      <w:r>
        <w:t xml:space="preserve"> </w:t>
      </w:r>
      <w:r>
        <w:t xml:space="preserve">(Figueiredo</w:t>
      </w:r>
      <w:r>
        <w:t xml:space="preserve"> </w:t>
      </w:r>
      <w:r>
        <w:rPr>
          <w:i/>
        </w:rPr>
        <w:t xml:space="preserve">et al.</w:t>
      </w:r>
      <w:r>
        <w:t xml:space="preserve">, 2016,</w:t>
      </w:r>
      <w:r>
        <w:t xml:space="preserve"> </w:t>
      </w:r>
      <w:r>
        <w:t xml:space="preserve">2015)</w:t>
      </w:r>
      <w:r>
        <w:t xml:space="preserve">.</w:t>
      </w:r>
      <w:r>
        <w:t xml:space="preserve"> </w:t>
      </w:r>
      <w:r>
        <w:t xml:space="preserve">In addition to exercise-induced activation of UBF, mechanical loading also leads to increased levels of total UBF</w:t>
      </w:r>
      <w:r>
        <w:t xml:space="preserve"> </w:t>
      </w:r>
      <w:r>
        <w:t xml:space="preserve">(Figueiredo</w:t>
      </w:r>
      <w:r>
        <w:t xml:space="preserve"> </w:t>
      </w:r>
      <w:r>
        <w:rPr>
          <w:i/>
        </w:rPr>
        <w:t xml:space="preserve">et al.</w:t>
      </w:r>
      <w:r>
        <w:t xml:space="preserve">, 2016,</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availability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Together with our observations, this underlines the importance of UBF as a regulator of RT-induced ribosomal biogenesis.</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t xml:space="preserve">This supports the idea that ribosomal biogenesis is a cellular activity on demand, possibly relating to its relative expense</w:t>
      </w:r>
      <w:r>
        <w:t xml:space="preserve"> </w:t>
      </w:r>
      <w:r>
        <w:t xml:space="preserve">(Warner, 1999)</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t xml:space="preserve"> </w:t>
      </w:r>
      <w:r>
        <w:t xml:space="preserve">(Hammarström</w:t>
      </w:r>
      <w:r>
        <w:t xml:space="preserve"> </w:t>
      </w:r>
      <w:r>
        <w:rPr>
          <w:i/>
        </w:rPr>
        <w:t xml:space="preserve">et al.</w:t>
      </w:r>
      <w:r>
        <w:t xml:space="preserve">, 2020;</w:t>
      </w:r>
      <w:r>
        <w:t xml:space="preserve"> </w:t>
      </w:r>
      <w:r>
        <w:t xml:space="preserve">Ahtiainen</w:t>
      </w:r>
      <w:r>
        <w:t xml:space="preserve"> </w:t>
      </w:r>
      <w:r>
        <w:rPr>
          <w:i/>
        </w:rPr>
        <w:t xml:space="preserve">et al.</w:t>
      </w:r>
      <w:r>
        <w:t xml:space="preserve">, 2015;</w:t>
      </w:r>
      <w:r>
        <w:t xml:space="preserve"> </w:t>
      </w:r>
      <w:r>
        <w:t xml:space="preserve">Burd</w:t>
      </w:r>
      <w:r>
        <w:t xml:space="preserve"> </w:t>
      </w:r>
      <w:r>
        <w:rPr>
          <w:i/>
        </w:rPr>
        <w:t xml:space="preserve">et al.</w:t>
      </w:r>
      <w:r>
        <w:t xml:space="preserve">, 2010)</w:t>
      </w:r>
      <w:r>
        <w:t xml:space="preserve">,</w:t>
      </w:r>
      <w:r>
        <w:t xml:space="preserve"> </w:t>
      </w:r>
      <w:r>
        <w:t xml:space="preserve">subsequent 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t xml:space="preserve"> </w:t>
      </w:r>
      <w:r>
        <w:t xml:space="preserve">(Schoenfeld</w:t>
      </w:r>
      <w:r>
        <w:t xml:space="preserve"> </w:t>
      </w:r>
      <w:r>
        <w:rPr>
          <w:i/>
        </w:rPr>
        <w:t xml:space="preserve">et al.</w:t>
      </w:r>
      <w:r>
        <w:t xml:space="preserve">, 2016;</w:t>
      </w:r>
      <w:r>
        <w:t xml:space="preserve"> </w:t>
      </w:r>
      <w:r>
        <w:t xml:space="preserve">Ralston</w:t>
      </w:r>
      <w:r>
        <w:t xml:space="preserve"> </w:t>
      </w:r>
      <w:r>
        <w:rPr>
          <w:i/>
        </w:rPr>
        <w:t xml:space="preserve">et al.</w:t>
      </w:r>
      <w:r>
        <w:t xml:space="preserve">, 2017)</w:t>
      </w:r>
      <w:r>
        <w:t xml:space="preserve">,</w:t>
      </w:r>
      <w:r>
        <w:t xml:space="preserve"> </w:t>
      </w:r>
      <w:r>
        <w:t xml:space="preserve">differences in organization of training loads is likely of minor importance when training volumes are equated over time</w:t>
      </w:r>
      <w:r>
        <w:t xml:space="preserve"> </w:t>
      </w:r>
      <w:r>
        <w:t xml:space="preserve">(Grgic</w:t>
      </w:r>
      <w:r>
        <w:t xml:space="preserve"> </w:t>
      </w:r>
      <w:r>
        <w:rPr>
          <w:i/>
        </w:rPr>
        <w:t xml:space="preserve">et al.</w:t>
      </w:r>
      <w:r>
        <w:t xml:space="preserve">, 2017)</w:t>
      </w:r>
      <w:r>
        <w:t xml:space="preserve">.</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t xml:space="preserve"> </w:t>
      </w:r>
      <w:r>
        <w:t xml:space="preserve">(Hammarström</w:t>
      </w:r>
      <w:r>
        <w:t xml:space="preserve"> </w:t>
      </w:r>
      <w:r>
        <w:rPr>
          <w:i/>
        </w:rPr>
        <w:t xml:space="preserve">et al.</w:t>
      </w:r>
      <w:r>
        <w:t xml:space="preserve">, 2020)</w:t>
      </w:r>
      <w:r>
        <w:t xml:space="preserve">.</w:t>
      </w:r>
      <w:r>
        <w:t xml:space="preserve"> </w:t>
      </w:r>
      <w:r>
        <w:t xml:space="preserve">There, higher levels of total RNA were observed after four sessions in the moderate compared to a low volume protocol</w:t>
      </w:r>
      <w:r>
        <w:t xml:space="preserve"> </w:t>
      </w:r>
      <w:r>
        <w:t xml:space="preserve">(Hammarström</w:t>
      </w:r>
      <w:r>
        <w:t xml:space="preserve"> </w:t>
      </w:r>
      <w:r>
        <w:rPr>
          <w:i/>
        </w:rPr>
        <w:t xml:space="preserve">et al.</w:t>
      </w:r>
      <w:r>
        <w:t xml:space="preserve">, 2020)</w:t>
      </w:r>
      <w:r>
        <w:t xml:space="preserve">.</w:t>
      </w:r>
      <w:r>
        <w:t xml:space="preserve"> </w:t>
      </w:r>
      <w:r>
        <w:t xml:space="preserve">Interestingly, using a progressive volume protocol in well-trained participants, increases in total RNA have been reported throughout six weeks of training</w:t>
      </w:r>
      <w:r>
        <w:t xml:space="preserve"> </w:t>
      </w:r>
      <w:r>
        <w:t xml:space="preserve">(Haun</w:t>
      </w:r>
      <w:r>
        <w:t xml:space="preserve"> </w:t>
      </w:r>
      <w:r>
        <w:rPr>
          <w:i/>
        </w:rPr>
        <w:t xml:space="preserve">et al.</w:t>
      </w:r>
      <w:r>
        <w:t xml:space="preserve">, 2019)</w:t>
      </w:r>
      <w:r>
        <w:t xml:space="preserve">.</w:t>
      </w:r>
      <w:r>
        <w:t xml:space="preserve"> </w:t>
      </w:r>
      <w:r>
        <w:t xml:space="preserve">Altough this observation was done in well-trained participants performing a high volume protocol without a control condition with constant volume, compared to constant volume protocols</w:t>
      </w:r>
      <w:r>
        <w:t xml:space="preserve"> </w:t>
      </w:r>
      <w:r>
        <w:t xml:space="preserve">[</w:t>
      </w:r>
      <w:r>
        <w:t xml:space="preserve">Brook</w:t>
      </w:r>
      <w:r>
        <w:t xml:space="preserve"> </w:t>
      </w:r>
      <w:r>
        <w:rPr>
          <w:i/>
        </w:rPr>
        <w:t xml:space="preserve">et al.</w:t>
      </w:r>
      <w:r>
        <w:t xml:space="preserve"> </w:t>
      </w:r>
      <w:r>
        <w:t xml:space="preserve">(2016)</w:t>
      </w:r>
      <w:r>
        <w:t xml:space="preserve">;</w:t>
      </w:r>
      <w:r>
        <w:t xml:space="preserve"> </w:t>
      </w:r>
      <w:r>
        <w:t xml:space="preserve">Hammarström</w:t>
      </w:r>
      <w:r>
        <w:t xml:space="preserve"> </w:t>
      </w:r>
      <w:r>
        <w:rPr>
          <w:i/>
        </w:rPr>
        <w:t xml:space="preserve">et al.</w:t>
      </w:r>
      <w:r>
        <w:t xml:space="preserve"> </w:t>
      </w:r>
      <w:r>
        <w:t xml:space="preserve">(2020)</w:t>
      </w:r>
      <w:r>
        <w:t xml:space="preserve">; and the present study],</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33"/>
    <w:bookmarkStart w:id="91" w:name="references"/>
    <w:p>
      <w:pPr>
        <w:pStyle w:val="Overskrift1"/>
      </w:pPr>
      <w:r>
        <w:t xml:space="preserve">References</w:t>
      </w:r>
    </w:p>
    <w:bookmarkStart w:id="90" w:name="refs"/>
    <w:bookmarkStart w:id="34"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4"/>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8"/>
    <w:bookmarkStart w:id="39"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39"/>
    <w:bookmarkStart w:id="41" w:name="ref-RN1929"/>
    <w:p>
      <w:pPr>
        <w:pStyle w:val="Bibliografi"/>
      </w:pPr>
      <w:r>
        <w:t xml:space="preserve">Crossland H, Timmons JA &amp; Atherton PJ (2017). A dynamic ribosomal biogenesis response is not required for IGF-1-mediated hypertrophy of human primary myotubes.</w:t>
      </w:r>
      <w:r>
        <w:t xml:space="preserve"> </w:t>
      </w:r>
      <w:r>
        <w:rPr>
          <w:i/>
        </w:rPr>
        <w:t xml:space="preserve">Faseb j</w:t>
      </w:r>
      <w:r>
        <w:t xml:space="preserve">; DOI:</w:t>
      </w:r>
      <w:r>
        <w:t xml:space="preserve"> </w:t>
      </w:r>
      <w:hyperlink r:id="rId40">
        <w:r>
          <w:rPr>
            <w:rStyle w:val="Hyperkobling"/>
          </w:rPr>
          <w:t xml:space="preserve">10.1096/fj.201700329R</w:t>
        </w:r>
      </w:hyperlink>
      <w:r>
        <w:t xml:space="preserve">.</w:t>
      </w:r>
    </w:p>
    <w:bookmarkEnd w:id="41"/>
    <w:bookmarkStart w:id="42"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2"/>
    <w:bookmarkStart w:id="44"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3">
        <w:r>
          <w:rPr>
            <w:rStyle w:val="Hyperkobling"/>
          </w:rPr>
          <w:t xml:space="preserve">http://dx.doi.org/10.1007/978-981-10-3292-9_6</w:t>
        </w:r>
      </w:hyperlink>
      <w:r>
        <w:t xml:space="preserve">.</w:t>
      </w:r>
    </w:p>
    <w:bookmarkEnd w:id="44"/>
    <w:bookmarkStart w:id="45"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5"/>
    <w:bookmarkStart w:id="47"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6">
        <w:r>
          <w:rPr>
            <w:rStyle w:val="Hyperkobling"/>
          </w:rPr>
          <w:t xml:space="preserve">10.14814/phy2.12670</w:t>
        </w:r>
      </w:hyperlink>
      <w:r>
        <w:t xml:space="preserve">.</w:t>
      </w:r>
    </w:p>
    <w:bookmarkEnd w:id="47"/>
    <w:bookmarkStart w:id="48"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8"/>
    <w:bookmarkStart w:id="49" w:name="ref-RN2572"/>
    <w:p>
      <w:pPr>
        <w:pStyle w:val="Bibliografi"/>
      </w:pPr>
      <w:r>
        <w:t xml:space="preserve">Grgic J, Mikulic P, Podnar H &amp; Pedisic Z (2017). Effects of linear and daily undulating periodized resistance training programs on measures of muscle hypertrophy: A systematic review and meta-analysis.</w:t>
      </w:r>
      <w:r>
        <w:t xml:space="preserve"> </w:t>
      </w:r>
      <w:r>
        <w:rPr>
          <w:i/>
        </w:rPr>
        <w:t xml:space="preserve">PeerJ</w:t>
      </w:r>
      <w:r>
        <w:t xml:space="preserve"> </w:t>
      </w:r>
      <w:r>
        <w:rPr>
          <w:b/>
        </w:rPr>
        <w:t xml:space="preserve">5,</w:t>
      </w:r>
      <w:r>
        <w:t xml:space="preserve"> </w:t>
      </w:r>
      <w:r>
        <w:t xml:space="preserve">e3695–e3695.</w:t>
      </w:r>
    </w:p>
    <w:bookmarkEnd w:id="49"/>
    <w:bookmarkStart w:id="50" w:name="ref-RN1707"/>
    <w:p>
      <w:pPr>
        <w:pStyle w:val="Bibliografi"/>
      </w:pPr>
      <w:r>
        <w:t xml:space="preserve">Habets PE, Franco D, Ruijter JM, Sargeant AJ, Pereira JA &amp; Moorman AF (1999). RNA content differs in slow and fast muscle fibers: Implications for interpretation of changes in muscle gene expression.</w:t>
      </w:r>
      <w:r>
        <w:t xml:space="preserve"> </w:t>
      </w:r>
      <w:r>
        <w:rPr>
          <w:i/>
        </w:rPr>
        <w:t xml:space="preserve">J Histochem Cytochem</w:t>
      </w:r>
      <w:r>
        <w:t xml:space="preserve"> </w:t>
      </w:r>
      <w:r>
        <w:rPr>
          <w:b/>
        </w:rPr>
        <w:t xml:space="preserve">47,</w:t>
      </w:r>
      <w:r>
        <w:t xml:space="preserve"> </w:t>
      </w:r>
      <w:r>
        <w:t xml:space="preserve">995–1004.</w:t>
      </w:r>
    </w:p>
    <w:bookmarkEnd w:id="50"/>
    <w:bookmarkStart w:id="51" w:name="ref-RN2180"/>
    <w:p>
      <w:pPr>
        <w:pStyle w:val="Bibliografi"/>
      </w:pPr>
      <w:r>
        <w:t xml:space="preserve">Haddad F, Baldwin KM &amp; Tesch PA (2005). Pretranslational markers of contractile protein expression in human skeletal muscle: Effect of limb unloading plus resistance exercise.</w:t>
      </w:r>
      <w:r>
        <w:t xml:space="preserve"> </w:t>
      </w:r>
      <w:r>
        <w:rPr>
          <w:i/>
        </w:rPr>
        <w:t xml:space="preserve">J Appl Physiol (1985)</w:t>
      </w:r>
      <w:r>
        <w:t xml:space="preserve"> </w:t>
      </w:r>
      <w:r>
        <w:rPr>
          <w:b/>
        </w:rPr>
        <w:t xml:space="preserve">98,</w:t>
      </w:r>
      <w:r>
        <w:t xml:space="preserve"> </w:t>
      </w:r>
      <w:r>
        <w:t xml:space="preserve">46–52.</w:t>
      </w:r>
    </w:p>
    <w:bookmarkEnd w:id="51"/>
    <w:bookmarkStart w:id="53"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52">
        <w:r>
          <w:rPr>
            <w:rStyle w:val="Hyperkobling"/>
          </w:rPr>
          <w:t xml:space="preserve">https://www.jstatsoft.org/v033/i02 http://dx.doi.org/10.18637/jss.v033.i02</w:t>
        </w:r>
      </w:hyperlink>
      <w:r>
        <w:t xml:space="preserve">.</w:t>
      </w:r>
    </w:p>
    <w:bookmarkEnd w:id="53"/>
    <w:bookmarkStart w:id="54"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4"/>
    <w:bookmarkStart w:id="55"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5"/>
    <w:bookmarkStart w:id="56"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6"/>
    <w:bookmarkStart w:id="58" w:name="ref-RN2225"/>
    <w:p>
      <w:pPr>
        <w:pStyle w:val="Bibliografi"/>
      </w:pPr>
      <w:r>
        <w:t xml:space="preserve">Haun CT, Vann CG, Mobley CB, Osburn SC, Mumford PW, Roberson PA, Romero MA, Fox CD, Parry HA, Kavazis AN, Moon JR, Young KC &amp; Roberts MD (2019).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DOI:</w:t>
      </w:r>
      <w:r>
        <w:t xml:space="preserve"> </w:t>
      </w:r>
      <w:hyperlink r:id="rId57">
        <w:r>
          <w:rPr>
            <w:rStyle w:val="Hyperkobling"/>
          </w:rPr>
          <w:t xml:space="preserve">10.3389/fphys.2019.00297</w:t>
        </w:r>
      </w:hyperlink>
      <w:r>
        <w:t xml:space="preserve">.</w:t>
      </w:r>
    </w:p>
    <w:bookmarkEnd w:id="58"/>
    <w:bookmarkStart w:id="59"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59"/>
    <w:bookmarkStart w:id="60"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60"/>
    <w:bookmarkStart w:id="61"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61"/>
    <w:bookmarkStart w:id="62"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62"/>
    <w:bookmarkStart w:id="63"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63"/>
    <w:bookmarkStart w:id="64" w:name="ref-RN2055"/>
    <w:p>
      <w:pPr>
        <w:pStyle w:val="Bibliografi"/>
      </w:pPr>
      <w:r>
        <w:t xml:space="preserve">Mobley CB, Haun CT, Roberson PA, Mumford PW, Kephart WC, Romero MA, Osburn SC, Vann CG, Young KC, Beck DT, Martin JS, Lockwood CM &amp; Roberts MD (2018). Biomarkers associated with low, moderate, and high vastus lateralis muscle hypertrophy following 12 weeks of resistance training.</w:t>
      </w:r>
      <w:r>
        <w:t xml:space="preserve"> </w:t>
      </w:r>
      <w:r>
        <w:rPr>
          <w:i/>
        </w:rPr>
        <w:t xml:space="preserve">PLoS One</w:t>
      </w:r>
      <w:r>
        <w:t xml:space="preserve"> </w:t>
      </w:r>
      <w:r>
        <w:rPr>
          <w:b/>
        </w:rPr>
        <w:t xml:space="preserve">13,</w:t>
      </w:r>
      <w:r>
        <w:t xml:space="preserve"> </w:t>
      </w:r>
      <w:r>
        <w:t xml:space="preserve">e0195203.</w:t>
      </w:r>
    </w:p>
    <w:bookmarkEnd w:id="64"/>
    <w:bookmarkStart w:id="65"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65"/>
    <w:bookmarkStart w:id="66"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66"/>
    <w:bookmarkStart w:id="67"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7"/>
    <w:bookmarkStart w:id="68"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8"/>
    <w:bookmarkStart w:id="69"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69"/>
    <w:bookmarkStart w:id="70"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70"/>
    <w:bookmarkStart w:id="72"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71">
        <w:r>
          <w:rPr>
            <w:rStyle w:val="Hyperkobling"/>
          </w:rPr>
          <w:t xml:space="preserve">https://www.R-project.org/</w:t>
        </w:r>
      </w:hyperlink>
      <w:r>
        <w:t xml:space="preserve">.</w:t>
      </w:r>
    </w:p>
    <w:bookmarkEnd w:id="72"/>
    <w:bookmarkStart w:id="73" w:name="ref-RN2492"/>
    <w:p>
      <w:pPr>
        <w:pStyle w:val="Bibliografi"/>
      </w:pPr>
      <w:r>
        <w:t xml:space="preserve">Ralston GW, Kilgore L, Wyatt FB &amp; Baker JS (2017). The effect of weekly set volume on strength gain: A meta-analysis.</w:t>
      </w:r>
      <w:r>
        <w:t xml:space="preserve"> </w:t>
      </w:r>
      <w:r>
        <w:rPr>
          <w:i/>
        </w:rPr>
        <w:t xml:space="preserve">Sports Med</w:t>
      </w:r>
      <w:r>
        <w:t xml:space="preserve"> </w:t>
      </w:r>
      <w:r>
        <w:rPr>
          <w:b/>
        </w:rPr>
        <w:t xml:space="preserve">47,</w:t>
      </w:r>
      <w:r>
        <w:t xml:space="preserve"> </w:t>
      </w:r>
      <w:r>
        <w:t xml:space="preserve">2585–2601.</w:t>
      </w:r>
    </w:p>
    <w:bookmarkEnd w:id="73"/>
    <w:bookmarkStart w:id="74"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74"/>
    <w:bookmarkStart w:id="75"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75"/>
    <w:bookmarkStart w:id="76"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76"/>
    <w:bookmarkStart w:id="77"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77"/>
    <w:bookmarkStart w:id="78"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8"/>
    <w:bookmarkStart w:id="7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79"/>
    <w:bookmarkStart w:id="80"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80"/>
    <w:bookmarkStart w:id="81" w:name="ref-RN2582"/>
    <w:p>
      <w:pPr>
        <w:pStyle w:val="Bibliografi"/>
      </w:pPr>
      <w:r>
        <w:t xml:space="preserve">Tuan JC, Zhai W &amp; Comai L (1999).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w:t>
      </w:r>
      <w:r>
        <w:rPr>
          <w:b/>
        </w:rPr>
        <w:t xml:space="preserve">19,</w:t>
      </w:r>
      <w:r>
        <w:t xml:space="preserve"> </w:t>
      </w:r>
      <w:r>
        <w:t xml:space="preserve">2872–2879.</w:t>
      </w:r>
    </w:p>
    <w:bookmarkEnd w:id="81"/>
    <w:bookmarkStart w:id="82"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82"/>
    <w:bookmarkStart w:id="83"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83"/>
    <w:bookmarkStart w:id="84" w:name="ref-RN2588"/>
    <w:p>
      <w:pPr>
        <w:pStyle w:val="Bibliografi"/>
      </w:pPr>
      <w:r>
        <w:t xml:space="preserve">Warner JR &amp; McIntosh KB (2009). How common are extraribosomal functions of ribosomal proteins?</w:t>
      </w:r>
      <w:r>
        <w:t xml:space="preserve"> </w:t>
      </w:r>
      <w:r>
        <w:rPr>
          <w:i/>
        </w:rPr>
        <w:t xml:space="preserve">Molecular cell</w:t>
      </w:r>
      <w:r>
        <w:t xml:space="preserve"> </w:t>
      </w:r>
      <w:r>
        <w:rPr>
          <w:b/>
        </w:rPr>
        <w:t xml:space="preserve">34,</w:t>
      </w:r>
      <w:r>
        <w:t xml:space="preserve"> </w:t>
      </w:r>
      <w:r>
        <w:t xml:space="preserve">3–11.</w:t>
      </w:r>
    </w:p>
    <w:bookmarkEnd w:id="84"/>
    <w:bookmarkStart w:id="85"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85"/>
    <w:bookmarkStart w:id="86"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86"/>
    <w:bookmarkStart w:id="87"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87"/>
    <w:bookmarkStart w:id="89" w:name="ref-RN2223"/>
    <w:p>
      <w:pPr>
        <w:pStyle w:val="Bibliografi"/>
      </w:pPr>
      <w:r>
        <w:t xml:space="preserve">Young VR (1970). CHAPTER 40 - the role of skeletal and cardiac muscle in the regulation of protein metabolism. In</w:t>
      </w:r>
      <w:r>
        <w:t xml:space="preserve"> </w:t>
      </w:r>
      <w:r>
        <w:rPr>
          <w:i/>
        </w:rPr>
        <w:t xml:space="preserve">Mammalian protein metabolism</w:t>
      </w:r>
      <w:r>
        <w:t xml:space="preserve">, ed. Munro HN, pp. 585–674. Academic Press. Available at:</w:t>
      </w:r>
      <w:r>
        <w:t xml:space="preserve"> </w:t>
      </w:r>
      <w:hyperlink r:id="rId88">
        <w:r>
          <w:rPr>
            <w:rStyle w:val="Hyperkobling"/>
          </w:rPr>
          <w:t xml:space="preserve">http://www.sciencedirect.com/science/article/pii/B9780125106047500189</w:t>
        </w:r>
      </w:hyperlink>
      <w:r>
        <w:t xml:space="preserve">.</w:t>
      </w:r>
    </w:p>
    <w:bookmarkEnd w:id="89"/>
    <w:bookmarkEnd w:id="90"/>
    <w:bookmarkEnd w:id="91"/>
    <w:bookmarkStart w:id="92" w:name="figure-legends"/>
    <w:p>
      <w:pPr>
        <w:pStyle w:val="Overskrift1"/>
      </w:pPr>
      <w:r>
        <w:t xml:space="preserve">Figure legends</w:t>
      </w:r>
    </w:p>
    <w:p>
      <w:pPr>
        <w:pStyle w:val="FirstParagraph"/>
      </w:pPr>
      <w:r>
        <w:rPr>
          <w:b/>
        </w:rPr>
        <w:t xml:space="preserve">Figure 1.</w:t>
      </w:r>
      <w:r>
        <w:t xml:space="preserve"> </w:t>
      </w:r>
      <w:r>
        <w:t xml:space="preserve">Study design (A) observed training loads in response to Constant and Variable volume protocols (B) and training outcomes (muscle strength, C; muscle thickness D).</w:t>
      </w:r>
    </w:p>
    <w:p>
      <w:pPr>
        <w:pStyle w:val="Brdtekst"/>
      </w:pPr>
      <w:r>
        <w:rPr>
          <w:b/>
        </w:rPr>
        <w:t xml:space="preserve">Figure 2.</w:t>
      </w:r>
      <w:r>
        <w:t xml:space="preserve"> </w:t>
      </w:r>
      <w:r>
        <w:t xml:space="preserve">Protein (A and B) and mRNA abundances (D and E) of rpS6 and UBF. Black points and error bars represents statistically robust results (a 95% CI not containing 0). C shows western-blots and total protein stains from a representative participant. mRNA data is normalized per total RNA.</w:t>
      </w:r>
    </w:p>
    <w:p>
      <w:pPr>
        <w:pStyle w:val="Brdtekst"/>
      </w:pPr>
      <w:r>
        <w:rPr>
          <w:b/>
        </w:rPr>
        <w:t xml:space="preserve">Figure 3.</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is shown in C together with results from leave-one-out analysis (D). Leave-one-out analysis shows the effect of removing a single participant (black point and error-bars) and individual values from the total RNA per time estimates where green points represents bounds of the 95% CI and yellow points represents mean estimates.</w:t>
      </w:r>
    </w:p>
    <w:bookmarkEnd w:id="92"/>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3"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0" Target="https://doi.org/10.1096/fj.201700329R" TargetMode="External" /><Relationship Type="http://schemas.openxmlformats.org/officeDocument/2006/relationships/hyperlink" Id="rId46"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1" Target="https://www.R-project.org/" TargetMode="External" /><Relationship Type="http://schemas.openxmlformats.org/officeDocument/2006/relationships/hyperlink" Id="rId52" Target="https://www.jstatsoft.org/v033/i02 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0" Target="https://doi.org/10.1096/fj.201700329R" TargetMode="External" /><Relationship Type="http://schemas.openxmlformats.org/officeDocument/2006/relationships/hyperlink" Id="rId46"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1" Target="https://www.R-project.org/" TargetMode="External" /><Relationship Type="http://schemas.openxmlformats.org/officeDocument/2006/relationships/hyperlink" Id="rId52" Target="https://www.jstatsoft.org/v033/i02 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139</Words>
  <Characters>742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2021-04-09T06:32:47Z</dcterms:created>
  <dcterms:modified xsi:type="dcterms:W3CDTF">2021-04-09T06:32:47Z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