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p>
    <w:p>
      <w:pPr>
        <w:pStyle w:val="Author"/>
      </w:pPr>
      <w:r>
        <w:t xml:space="preserve">Daniel</w:t>
      </w:r>
      <w:r>
        <w:t xml:space="preserve"> </w:t>
      </w:r>
      <w:r>
        <w:t xml:space="preserve">Hammarström</w:t>
      </w:r>
      <w:r>
        <w:rPr>
          <w:vertAlign w:val="superscript"/>
        </w:rPr>
        <w:t xml:space="preserve">1,2,£</w:t>
      </w:r>
      <w:r>
        <w:t xml:space="preserve">*,Sjur</w:t>
      </w:r>
      <w:r>
        <w:t xml:space="preserve"> </w:t>
      </w:r>
      <w:r>
        <w:t xml:space="preserve">Øfsteng</w:t>
      </w:r>
      <w:r>
        <w:rPr>
          <w:vertAlign w:val="superscript"/>
        </w:rPr>
        <w:t xml:space="preserve">2,£</w:t>
      </w:r>
      <w:r>
        <w:t xml:space="preserve"> </w:t>
      </w:r>
      <w:r>
        <w:t xml:space="preserve">Bent</w:t>
      </w:r>
      <w:r>
        <w:t xml:space="preserve"> </w:t>
      </w:r>
      <w:r>
        <w:t xml:space="preserve">R.</w:t>
      </w:r>
      <w:r>
        <w:t xml:space="preserve"> </w:t>
      </w:r>
      <w:r>
        <w:t xml:space="preserve">Rønnestad</w:t>
      </w:r>
      <w:r>
        <w:rPr>
          <w:vertAlign w:val="superscript"/>
        </w:rPr>
        <w:t xml:space="preserve">2</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p>
      <w:pPr>
        <w:pStyle w:val="Brdtekst"/>
      </w:pPr>
      <w:r>
        <w:rPr>
          <w:vertAlign w:val="superscript"/>
        </w:rPr>
        <w:t xml:space="preserve">2</w:t>
      </w:r>
      <w:r>
        <w:t xml:space="preserve"> </w:t>
      </w:r>
      <w:r>
        <w:t xml:space="preserve">Swedish School of Sport and Health Sciences, Stockholm, Sweden.</w:t>
      </w:r>
    </w:p>
    <w:p>
      <w:pPr>
        <w:pStyle w:val="Compact"/>
      </w:pP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mpact"/>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mpact"/>
        <w:pStyle w:val="runningtitlestyle"/>
      </w:pPr>
      <w:r>
        <w:rPr>
          <w:b/>
        </w:rPr>
        <w:t xml:space="preserve">Running title:</w:t>
      </w:r>
      <w:r>
        <w:t xml:space="preserve"> </w:t>
      </w:r>
      <w:r>
        <w:t xml:space="preserve">Ribosome biogenesis in early phase resistace training</w:t>
      </w:r>
    </w:p>
    <w:p>
      <w:r>
        <w:br w:type="page"/>
      </w:r>
    </w:p>
    <w:p>
      <w:pPr>
        <w:pStyle w:val="Overskrift1"/>
      </w:pPr>
      <w:bookmarkStart w:id="21" w:name="abstract"/>
      <w:r>
        <w:t xml:space="preserve">Abstract</w:t>
      </w:r>
      <w:bookmarkEnd w:id="21"/>
    </w:p>
    <w:p>
      <w:pPr>
        <w:pStyle w:val="abstractstyle"/>
      </w:pPr>
      <w:r>
        <w:t xml:space="preserve">Abstract…</w:t>
      </w:r>
    </w:p>
    <w:p>
      <w:pPr>
        <w:pStyle w:val="abstractstyle"/>
      </w:pPr>
      <w:r>
        <w:rPr>
          <w:b/>
        </w:rPr>
        <w:t xml:space="preserve">Keywords:</w:t>
      </w:r>
      <w:r>
        <w:t xml:space="preserve"> </w:t>
      </w:r>
      <w:r>
        <w:t xml:space="preserve">Resistance training, ribosome biogenesis</w:t>
      </w:r>
    </w:p>
    <w:p>
      <w:r>
        <w:br w:type="page"/>
      </w:r>
    </w:p>
    <w:p>
      <w:pPr>
        <w:pStyle w:val="Overskrift1"/>
      </w:pPr>
      <w:bookmarkStart w:id="22" w:name="introduction"/>
      <w:r>
        <w:t xml:space="preserve">Introduction</w:t>
      </w:r>
      <w:bookmarkEnd w:id="22"/>
    </w:p>
    <w:p>
      <w:pPr>
        <w:pStyle w:val="FirstParagraph"/>
      </w:pPr>
      <w:r>
        <w:t xml:space="preserve">Our skeletal muscles not only constitutes our locomotive apparatus but also serve as our primary storage site of amino-acids. This makes the skeletal muscle system a critical target for interventions that promotes health across the lifespan</w:t>
      </w:r>
      <w:r>
        <w:t xml:space="preserve"> </w:t>
      </w:r>
      <w:r>
        <w:t xml:space="preserve">(Wolfe, 2006)</w:t>
      </w:r>
      <w:r>
        <w:t xml:space="preserve">.</w:t>
      </w:r>
      <w:r>
        <w:t xml:space="preserve"> </w:t>
      </w:r>
      <w:r>
        <w:t xml:space="preserve">The beneficial effects of resistance-training (RT) are in large part mediated through exercise-induced changes in the balance between muscular protein breakdown and synthesis, with successful RT leading to net protein accretion and muscle hypertrophy. A traditional view of exercise-induced muscle hypertrophy has been that muscle protein accumulates as a consequence of repeated episodes of elevated post-exercise protein synthesis in the acute phase, resulting in a net-positive protein balance over time. Indeed, one bout of resistance exercise acutely up-regulates skeletal muscle protein synthesis up to 48-hr after exercise</w:t>
      </w:r>
      <w:r>
        <w:t xml:space="preserve"> </w:t>
      </w:r>
      <w:r>
        <w:t xml:space="preserve">(Phillips</w:t>
      </w:r>
      <w:r>
        <w:t xml:space="preserve"> </w:t>
      </w:r>
      <w:r>
        <w:rPr>
          <w:i/>
        </w:rPr>
        <w:t xml:space="preserve">et al.</w:t>
      </w:r>
      <w:r>
        <w:t xml:space="preserve">, 1997)</w:t>
      </w:r>
      <w:r>
        <w:t xml:space="preserve"> </w:t>
      </w:r>
      <w:r>
        <w:t xml:space="preserve">and subsequently, repeated bouts would lead to accumulation of muscle protein over time</w:t>
      </w:r>
      <w:r>
        <w:t xml:space="preserve"> </w:t>
      </w:r>
      <w:r>
        <w:t xml:space="preserve">(Phillips, 2014 ; Brook</w:t>
      </w:r>
      <w:r>
        <w:t xml:space="preserve"> </w:t>
      </w:r>
      <w:r>
        <w:rPr>
          <w:i/>
        </w:rPr>
        <w:t xml:space="preserve">et al.</w:t>
      </w:r>
      <w:r>
        <w:t xml:space="preserve">, 2015)</w:t>
      </w:r>
      <w:r>
        <w:t xml:space="preserve">.</w:t>
      </w:r>
      <w:r>
        <w:t xml:space="preserve"> </w:t>
      </w:r>
      <w:r>
        <w:t xml:space="preserve">In recent years, this view has been supplemented with evidence showing that chronic RT also leads to an increased resting synthetic rate of muscle protein</w:t>
      </w:r>
      <w:r>
        <w:t xml:space="preserve"> </w:t>
      </w:r>
      <w:r>
        <w:t xml:space="preserve">(Kim</w:t>
      </w:r>
      <w:r>
        <w:t xml:space="preserve"> </w:t>
      </w:r>
      <w:r>
        <w:rPr>
          <w:i/>
        </w:rPr>
        <w:t xml:space="preserve">et al.</w:t>
      </w:r>
      <w:r>
        <w:t xml:space="preserve">, 2005;</w:t>
      </w:r>
      <w:r>
        <w:t xml:space="preserve"> </w:t>
      </w:r>
      <w:r>
        <w:t xml:space="preserve"> </w:t>
      </w:r>
      <w:r>
        <w:t xml:space="preserve">Wilkinson</w:t>
      </w:r>
      <w:r>
        <w:t xml:space="preserve"> </w:t>
      </w:r>
      <w:r>
        <w:rPr>
          <w:i/>
        </w:rPr>
        <w:t xml:space="preserve">et al.</w:t>
      </w:r>
      <w:r>
        <w:t xml:space="preserve">, 2008;</w:t>
      </w:r>
      <w:r>
        <w:t xml:space="preserve"> </w:t>
      </w:r>
      <w:r>
        <w:t xml:space="preserve"> </w:t>
      </w:r>
      <w:r>
        <w:t xml:space="preserve">Reidy</w:t>
      </w:r>
      <w:r>
        <w:t xml:space="preserve"> </w:t>
      </w:r>
      <w:r>
        <w:rPr>
          <w:i/>
        </w:rPr>
        <w:t xml:space="preserve">et al.</w:t>
      </w:r>
      <w:r>
        <w:t xml:space="preserve">, 2017)</w:t>
      </w:r>
      <w:r>
        <w:t xml:space="preserve">.</w:t>
      </w:r>
      <w:r>
        <w:t xml:space="preserve"> </w:t>
      </w:r>
      <w:r>
        <w:t xml:space="preserve">An increase in the resting protein synthetic rate has been postulated to be related to an increased translational capacity, i.e. accumulation of ribosomes</w:t>
      </w:r>
      <w:r>
        <w:t xml:space="preserve"> </w:t>
      </w:r>
      <w:r>
        <w:t xml:space="preserve">(Reidy</w:t>
      </w:r>
      <w:r>
        <w:t xml:space="preserve"> </w:t>
      </w:r>
      <w:r>
        <w:rPr>
          <w:i/>
        </w:rPr>
        <w:t xml:space="preserve">et al.</w:t>
      </w:r>
      <w:r>
        <w:t xml:space="preserve">, 2017;</w:t>
      </w:r>
      <w:r>
        <w:t xml:space="preserve"> </w:t>
      </w:r>
      <w:r>
        <w:t xml:space="preserve"> </w:t>
      </w:r>
      <w:r>
        <w:t xml:space="preserve">Figueiredo &amp; McCarthy, 2017)</w:t>
      </w:r>
      <w:r>
        <w:t xml:space="preserve">,</w:t>
      </w:r>
      <w:r>
        <w:t xml:space="preserve"> </w:t>
      </w:r>
      <w:r>
        <w:t xml:space="preserve">a notion supported by observations relating exercise-induced changes in total RNA, a proxy marker for ribosome abundance, to muscle hypertrophy</w:t>
      </w:r>
      <w:r>
        <w:t xml:space="preserve"> </w:t>
      </w:r>
      <w:r>
        <w:t xml:space="preserve">(Figueiredo</w:t>
      </w:r>
      <w:r>
        <w:t xml:space="preserve"> </w:t>
      </w:r>
      <w:r>
        <w:rPr>
          <w:i/>
        </w:rPr>
        <w:t xml:space="preserve">et al.</w:t>
      </w:r>
      <w:r>
        <w:t xml:space="preserve">, 2015;</w:t>
      </w:r>
      <w:r>
        <w:t xml:space="preserve"> </w:t>
      </w:r>
      <w:r>
        <w:t xml:space="preserve"> </w:t>
      </w:r>
      <w:r>
        <w:t xml:space="preserve">Stec</w:t>
      </w:r>
      <w:r>
        <w:t xml:space="preserve"> </w:t>
      </w:r>
      <w:r>
        <w:rPr>
          <w:i/>
        </w:rPr>
        <w:t xml:space="preserve">et al.</w:t>
      </w:r>
      <w:r>
        <w:t xml:space="preserve">, 2016;</w:t>
      </w:r>
      <w:r>
        <w:t xml:space="preserve"> </w:t>
      </w:r>
      <w:r>
        <w:t xml:space="preserve"> </w:t>
      </w:r>
      <w:r>
        <w:t xml:space="preserve">Hammarström</w:t>
      </w:r>
      <w:r>
        <w:t xml:space="preserve"> </w:t>
      </w:r>
      <w:r>
        <w:rPr>
          <w:i/>
        </w:rPr>
        <w:t xml:space="preserve">et al.</w:t>
      </w:r>
      <w:r>
        <w:t xml:space="preserve">, 2020)</w:t>
      </w:r>
      <w:r>
        <w:t xml:space="preserve">. Furthermore, inhibition of ribosomal RNA (rRNA) transcription or inhibition of up-stream transcription factors leads to halted biosynthesis of ribosomes resulting in diminished cellular growth</w:t>
      </w:r>
      <w:r>
        <w:t xml:space="preserve"> </w:t>
      </w:r>
      <w:r>
        <w:t xml:space="preserve">(Stec</w:t>
      </w:r>
      <w:r>
        <w:t xml:space="preserve"> </w:t>
      </w:r>
      <w:r>
        <w:rPr>
          <w:i/>
        </w:rPr>
        <w:t xml:space="preserve">et al.</w:t>
      </w:r>
      <w:r>
        <w:t xml:space="preserve">, 2016 ; West</w:t>
      </w:r>
      <w:r>
        <w:t xml:space="preserve"> </w:t>
      </w:r>
      <w:r>
        <w:rPr>
          <w:i/>
        </w:rPr>
        <w:t xml:space="preserve">et al.</w:t>
      </w:r>
      <w:r>
        <w:t xml:space="preserve">, 2016 ; Walden</w:t>
      </w:r>
      <w:r>
        <w:t xml:space="preserve"> </w:t>
      </w:r>
      <w:r>
        <w:rPr>
          <w:i/>
        </w:rPr>
        <w:t xml:space="preserve">et al.</w:t>
      </w:r>
      <w:r>
        <w:t xml:space="preserve">, 2016)</w:t>
      </w:r>
      <w:r>
        <w:t xml:space="preserve">.</w:t>
      </w:r>
    </w:p>
    <w:p>
      <w:pPr>
        <w:pStyle w:val="Brdtekst"/>
      </w:pPr>
      <w:r>
        <w:t xml:space="preserve">Formation of new ribosomes is a complex and energy demanding process involving the whole transcriptional apparatus</w:t>
      </w:r>
      <w:r>
        <w:t xml:space="preserve"> </w:t>
      </w:r>
      <w:r>
        <w:t xml:space="preserve">(Warner, 1999</w:t>
      </w:r>
      <w:r>
        <w:t xml:space="preserve"> </w:t>
      </w:r>
      <w:r>
        <w:t xml:space="preserve">,</w:t>
      </w:r>
      <w:r>
        <w:t xml:space="preserve"> </w:t>
      </w:r>
      <w:r>
        <w:t xml:space="preserve">@RN1820</w:t>
      </w:r>
      <w:r>
        <w:t xml:space="preserve">;</w:t>
      </w:r>
      <w:r>
        <w:t xml:space="preserve"> </w:t>
      </w:r>
      <w:r>
        <w:t xml:space="preserve"> </w:t>
      </w:r>
      <w:r>
        <w:t xml:space="preserve">Walden</w:t>
      </w:r>
      <w:r>
        <w:t xml:space="preserve"> </w:t>
      </w:r>
      <w:r>
        <w:rPr>
          <w:i/>
        </w:rPr>
        <w:t xml:space="preserve">et al.</w:t>
      </w:r>
      <w:r>
        <w:t xml:space="preserve">, 2016)</w:t>
      </w:r>
      <w:r>
        <w:t xml:space="preserve">.</w:t>
      </w:r>
      <w:r>
        <w:t xml:space="preserve"> </w:t>
      </w:r>
      <w:r>
        <w:t xml:space="preserve">In skeletal muscle, a single bout of resistance exercise elevates markers of ribosome biogenesis in skeletal muscle evident from studies investigating immature forms of rRNA in response to exercise in the untrained state</w:t>
      </w:r>
      <w:r>
        <w:t xml:space="preserve"> </w:t>
      </w:r>
      <w:r>
        <w:t xml:space="preserve">(</w:t>
      </w:r>
      <w:r>
        <w:rPr>
          <w:b/>
        </w:rPr>
        <w:t xml:space="preserve">???</w:t>
      </w:r>
      <w:r>
        <w:t xml:space="preserve"> </w:t>
      </w:r>
      <w:r>
        <w:t xml:space="preserve">; Nader</w:t>
      </w:r>
      <w:r>
        <w:t xml:space="preserve"> </w:t>
      </w:r>
      <w:r>
        <w:rPr>
          <w:i/>
        </w:rPr>
        <w:t xml:space="preserve">et al.</w:t>
      </w:r>
      <w:r>
        <w:t xml:space="preserve">, 2014</w:t>
      </w:r>
      <w:r>
        <w:t xml:space="preserve"> </w:t>
      </w:r>
      <w:r>
        <w:t xml:space="preserve">)</w:t>
      </w:r>
      <w:r>
        <w:t xml:space="preserve">.</w:t>
      </w:r>
      <w:r>
        <w:t xml:space="preserve"> </w:t>
      </w:r>
      <w:r>
        <w:t xml:space="preserve">Studies examining repeated bouts of resistance exercise suggests that RT leads to accumulation of ribosomes. Bickel</w:t>
      </w:r>
      <w:r>
        <w:t xml:space="preserve"> </w:t>
      </w:r>
      <w:r>
        <w:rPr>
          <w:i/>
        </w:rPr>
        <w:t xml:space="preserve">et al</w:t>
      </w:r>
      <w:r>
        <w:t xml:space="preserve">. showed that two subsequent bouts of a hypertrophic stimulus increased total RNA at 72 h after a second bout of RT</w:t>
      </w:r>
      <w:r>
        <w:t xml:space="preserve"> </w:t>
      </w:r>
      <w:r>
        <w:t xml:space="preserve">(Bickel</w:t>
      </w:r>
      <w:r>
        <w:t xml:space="preserve"> </w:t>
      </w:r>
      <w:r>
        <w:rPr>
          <w:i/>
        </w:rPr>
        <w:t xml:space="preserve">et al.</w:t>
      </w:r>
      <w:r>
        <w:t xml:space="preserve">, 2005)</w:t>
      </w:r>
      <w:r>
        <w:t xml:space="preserve">.</w:t>
      </w:r>
      <w:r>
        <w:t xml:space="preserve"> </w:t>
      </w:r>
      <w:r>
        <w:t xml:space="preserve">Following three weeks of RT, Brook et al. reported an increase in total RNA with no further increase after three additional weeks of training</w:t>
      </w:r>
      <w:r>
        <w:t xml:space="preserve"> </w:t>
      </w:r>
      <w:r>
        <w:t xml:space="preserve">(Brook</w:t>
      </w:r>
      <w:r>
        <w:t xml:space="preserve"> </w:t>
      </w:r>
      <w:r>
        <w:rPr>
          <w:i/>
        </w:rPr>
        <w:t xml:space="preserve">et al.</w:t>
      </w:r>
      <w:r>
        <w:t xml:space="preserve">, 2015)</w:t>
      </w:r>
      <w:r>
        <w:t xml:space="preserve">.</w:t>
      </w:r>
      <w:r>
        <w:t xml:space="preserve"> </w:t>
      </w:r>
      <w:r>
        <w:t xml:space="preserve">The findings of Brook et al. fits with observations from our laboratory where we saw a ~30% increase in total RNA per tissue weight after two weeks of RT. Following an additional 10 weeks of RT the RNA content tended to normalized without reaching baseline values (Hammarström et al. 2017 unpublished observation). These data suggests that ribosome accumulation per tissue weight, reaches a plateau in the early phase of RT. Interestingly, in the study by Figueiredo and colleagues, acute exercise in the trained state (after eight weeks of RT), rRNA and pre-rRNA rapidly decreases in response to acute exercise</w:t>
      </w:r>
      <w:r>
        <w:t xml:space="preserve"> </w:t>
      </w:r>
      <w:r>
        <w:t xml:space="preserve">(Figueiredo</w:t>
      </w:r>
      <w:r>
        <w:t xml:space="preserve"> </w:t>
      </w:r>
      <w:r>
        <w:rPr>
          <w:i/>
        </w:rPr>
        <w:t xml:space="preserve">et al.</w:t>
      </w:r>
      <w:r>
        <w:t xml:space="preserve">, 2015)</w:t>
      </w:r>
      <w:r>
        <w:t xml:space="preserve">.</w:t>
      </w:r>
      <w:r>
        <w:t xml:space="preserve"> </w:t>
      </w:r>
      <w:r>
        <w:t xml:space="preserve">Based on these observations we are hypothesizing that (1) ribosome accumulation occurs in the early phase (3-4 weeks) of RT and (2) reaches a plateau during this phase in response to constant volume RT and finally (3) that fluctuations in ribosome abundance occurs in response to altered training volume and training cessation. Subsequently the aim of this study is to characterize fluctuations in ribosomal biogenesis during the initial phase of RT, in response to altered training volumes and in response to a short-term de-training period.</w:t>
      </w:r>
    </w:p>
    <w:p>
      <w:pPr>
        <w:pStyle w:val="Overskrift1"/>
      </w:pPr>
      <w:bookmarkStart w:id="23" w:name="methods"/>
      <w:r>
        <w:t xml:space="preserve">Methods</w:t>
      </w:r>
      <w:bookmarkEnd w:id="23"/>
    </w:p>
    <w:p>
      <w:pPr>
        <w:pStyle w:val="Overskrift2"/>
      </w:pPr>
      <w:bookmarkStart w:id="24" w:name="study-overview"/>
      <w:r>
        <w:t xml:space="preserve">Study overview</w:t>
      </w:r>
      <w:bookmarkEnd w:id="24"/>
    </w:p>
    <w:p>
      <w:pPr>
        <w:pStyle w:val="FirstParagraph"/>
      </w:pPr>
      <w:r>
        <w:t xml:space="preserve">Eighteen volunteers were recruited to the study. Eligible participants had to be non-smokers, between 18 and 35 years of age, report a training history of less than one RT session per week during the six months leading up to the study and not consume dietary supplements or medication with known effects on muscle metabolism. Potential participants were further screened for injuries causing impaired strength and/or affecting their ability to perform RT, symptoms or history of disease or known adverse reactions to local anaesthetics. Included participants were allocated to either an experimental group (EXP,</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1 for participant characteristics). EXP performed a 12 session RT protocol consisting unilateral knee-extension to allow for within-participant comparison exercise volume. In EXP, one leg performed constant volume (CONST, 6 sets per session) and the other leg performed variable volume over the course of the study (VAR, four sessions each with 6, 3 and 9 sets per session; Figure 1A). CTRL did not partake in RT and were instructed to continue their everyday activities. Muscle biopsies were sampled bilaterally in EXP before and 48 h after the first session and 48 h after the fourth, fifth, eight, ninth and twelfth session as wells as after a seven day de-training period. Muscle biopsies were obtained from CTRL at three occasions with 48 h separating the first two and 2-4 weeks separating second and third sampling. EXP and CTRL performed strength assessments at least seven days prior to the first biopsy sampling and 72 h after the twelwth session (EXP) and 24 h after the last biopsy (EXP and CTRL). Appendicular lean mass (Dual-energy X-ray absorptiometry, DXA) and muscle thickness of</w:t>
      </w:r>
      <w:r>
        <w:t xml:space="preserve"> </w:t>
      </w:r>
      <w:r>
        <w:rPr>
          <w:i/>
        </w:rPr>
        <w:t xml:space="preserve">m. vastus lateralis</w:t>
      </w:r>
      <w:r>
        <w:t xml:space="preserve"> </w:t>
      </w:r>
      <w:r>
        <w:t xml:space="preserve">were assessed prior to the first biopsy (EXP and CTRL) as wells as before the second to last (EXP) and last (EXP and CTRL) biopsy (Figure 1A).</w:t>
      </w:r>
    </w:p>
    <w:p>
      <w:pPr>
        <w:pStyle w:val="Overskrift2"/>
      </w:pPr>
      <w:bookmarkStart w:id="25" w:name="rt-protocol"/>
      <w:r>
        <w:t xml:space="preserve">RT protocol</w:t>
      </w:r>
      <w:bookmarkEnd w:id="25"/>
    </w:p>
    <w:p>
      <w:pPr>
        <w:pStyle w:val="FirstParagraph"/>
      </w:pPr>
      <w:r>
        <w:t xml:space="preserve">Prior to all RT-sessions, participants performed a standardized warm-up consisting of 5 min ergometer cycling (RPE 12-14), followed by ten repetitions each of push-ups, sit-ups and back-extensions. After warm-up participants performed unilateral knee-extension with the prescribed number of sets. Each set was prescribed with 10 repetitions maximum (RM). When sets was completed with either fewer (8) or more (12) repetitions than 10, the resistance was adjusted accordingly. Inter-set rest periods were 90 sec. Participants performed the first set alternating between the right and left leg every other session and the set of the contralateral leg was performed in the rest-period of the first leg. The second session of each four-session block (session 2, 6 and 10) were performed at a sub-maximal resistance (~90% of the previous session) with the same number of repetitions. In each session, after the knee-extension exercise, participants completed two sets each of three upper-body exercises (bench press, lateral pull-down and shoulder press). Prior to each session, participants were asked to rate muscle soreness on a scale from 0 to 10 (0 = no soreness, 10 = hurting very bad, e.g. not being able to walk properly)</w:t>
      </w:r>
      <w:r>
        <w:t xml:space="preserve"> </w:t>
      </w:r>
      <w:r>
        <w:t xml:space="preserve">(</w:t>
      </w:r>
      <w:r>
        <w:rPr>
          <w:b/>
        </w:rPr>
        <w:t xml:space="preserve">???</w:t>
      </w:r>
      <w:r>
        <w:t xml:space="preserve">)</w:t>
      </w:r>
      <w:r>
        <w:t xml:space="preserve">. After each session, participants were asked to rate their perceived exertion (Borg CR10). After the completion of each session participants were given a standardized drink to aid recovery (0.15 g × kg-1 protein, 11.2 g × kg-1 carbohydrates and 0.5 g × kg-1 fat).</w:t>
      </w:r>
    </w:p>
    <w:p>
      <w:pPr>
        <w:pStyle w:val="Overskrift2"/>
      </w:pPr>
      <w:bookmarkStart w:id="26" w:name="X53467e62f1677ef73bd51b8a6d6fcb88478bda3"/>
      <w:r>
        <w:t xml:space="preserve">Muscle strength, body composition and muscle thickness assessments</w:t>
      </w:r>
      <w:bookmarkEnd w:id="26"/>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During the same assessment session, participants remained seated in the dynamometer for meassurement from both legs. The first measurement was alternated between legs and sessions. For statistical treatment of the data, all successful attempts were used. Successful attempts were decided based on participants (…). The last strength assessment at baseline was performed at least</w:t>
      </w:r>
      <w:r>
        <w:t xml:space="preserve"> </w:t>
      </w:r>
      <w:r>
        <w:rPr>
          <w:b/>
        </w:rPr>
        <w:t xml:space="preserve">seven</w:t>
      </w:r>
      <w:r>
        <w:t xml:space="preserve"> </w:t>
      </w:r>
      <w:r>
        <w:t xml:space="preserve">days prior to the first biopsy sampling. At least one strength was performed on separate days with two sessions allowed perform on the same day with a short rest between sessions. Post training assessments were performed approximately 48 hours after the last session and after seven days of no training.</w:t>
      </w:r>
    </w:p>
    <w:p>
      <w:pPr>
        <w:pStyle w:val="Brdtekst"/>
      </w:pPr>
      <w:r>
        <w:t xml:space="preserve">Muscle thickness was assessed using (…) ultra sound. DXA.</w:t>
      </w:r>
    </w:p>
    <w:p>
      <w:pPr>
        <w:pStyle w:val="Overskrift2"/>
      </w:pPr>
      <w:bookmarkStart w:id="27" w:name="muscle-biopsy-sampling"/>
      <w:r>
        <w:t xml:space="preserve">Muscle biopsy sampling</w:t>
      </w:r>
      <w:bookmarkEnd w:id="27"/>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(lidocaion %, Manufacturer, Oslo, Norway) using a disposable needle (12-14 gauge, Universal plus, Medax, Italy), operated with a spring loaded device (Bard Magnum). Two to four passes were made to get sufficient material. One to two aliquots of the samples were quickly dissected free from connective and fat tissue, weighed and frozen in isopentan chilled to -80°C and stored at -80°C until further processing. At baseline, after twelve weeks of training and, after the de-training period, a further aliquot from each sample was selected for immunohistochemistry analysis and subsequently immersed in 4% formalin for fixation.</w:t>
      </w:r>
    </w:p>
    <w:p>
      <w:pPr>
        <w:pStyle w:val="Overskrift2"/>
      </w:pPr>
      <w:bookmarkStart w:id="28" w:name="rna-and-protein-extraction"/>
      <w:r>
        <w:t xml:space="preserve">RNA and protein extraction</w:t>
      </w:r>
      <w:bookmarkEnd w:id="28"/>
    </w:p>
    <w:p>
      <w:pPr>
        <w:pStyle w:val="FirstParagraph"/>
      </w:pPr>
      <w:r>
        <w:t xml:space="preserve">Frozen muscle tissue was homogenized in 1 ml of Trizol (ThermoFisher Scientific, Oslo, Norway) spiked with 0.04 ng of an external, non-mammalian, RNA spike-in (Lambda, Takara Bioscience). Mechanical disruption of the samples was achieved using Zirconium Oxide Beads (0.5 mm, Next Advance, Inc., New York, USA) and a bead mill (Bullet blender, Next Advance). Chloroform (200 μl) was added prior to centrifugation (12000 g, 15 min at 4°C) to achieve phase separation. Four houndred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t xml:space="preserve"> </w:t>
      </w:r>
      <w:r>
        <w:t xml:space="preserve">(</w:t>
      </w:r>
      <w:r>
        <w:rPr>
          <w:b/>
        </w:rPr>
        <w:t xml:space="preserve">???</w:t>
      </w:r>
      <w:r>
        <w:t xml:space="preserve">)</w:t>
      </w:r>
      <w:r>
        <w:t xml:space="preserve"> </w:t>
      </w:r>
      <w:r>
        <w:t xml:space="preserve">with modifications. The remaining aqueous phase was removed and DNA was precipitated by the addition of XXX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 was added (4% SDS, 300 mM Tris …, pH;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p>
      <w:pPr>
        <w:pStyle w:val="Overskrift2"/>
      </w:pPr>
      <w:bookmarkStart w:id="29" w:name="Xdb6ea80b8443aafd59a989e3a5491b5d6eb79f1"/>
      <w:r>
        <w:t xml:space="preserve">Quantitative polymerase chain reaction (qPCR)</w:t>
      </w:r>
      <w:bookmarkEnd w:id="29"/>
    </w:p>
    <w:p>
      <w:pPr>
        <w:pStyle w:val="FirstParagraph"/>
      </w:pPr>
      <w:r>
        <w:t xml:space="preserve">Complementary DNA (cDNA) was synthesized in technical duplicates from 500 ng of total RNA using random hexemer and anchored Oligo-dT primers (Thermo Scientific) together with Superscript IV (ThermoFisher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Fast cycling was used (1 sec denaturing, 30 sec annealing) after UNG (2 min, 50°C) and polymerase (2 min, 95°C) activation. Melt curves were collected from all reactions to confirm single product amplification. Primers were further evaluated by agarose gel electrophoresis an non-template control experiments. Primer sequences and their respective average performances are shown in Table 2.</w:t>
      </w:r>
    </w:p>
    <w:p>
      <w:pPr>
        <w:pStyle w:val="Brdtekst"/>
      </w:pPr>
      <w:r>
        <w:t xml:space="preserve">Raw fluorescence data was exported from the QuantStudio software and estimates of quantification cycles (Cq) and amplification efficiencies were derived using the qpcR package[qpcR-package]. Relative abundance data was linearized using average efficiencies per primer pair and reaction specific Cq-values before any further statistical treatment.</w:t>
      </w:r>
    </w:p>
    <w:p>
      <w:pPr>
        <w:pStyle w:val="Overskrift2"/>
      </w:pPr>
      <w:bookmarkStart w:id="30" w:name="immunoblotting"/>
      <w:r>
        <w:t xml:space="preserve">Immunoblotting</w:t>
      </w:r>
      <w:bookmarkEnd w:id="30"/>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leat duplicates.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ThermoFisher Scientiﬁc). Primary antibodies were acquired to detect UBF (F-9, sc-13125, Santa-Cruz Biotechnology) and ribosomal protein S6 (54D2, #2317, Cell signaling technology).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Singlaing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ThermoFisher Scientiﬁc) using a documentation system (). Total protein content was quantified whole membrane images defined as the mean gray value of the whole lane. Between-lane gray values were used as background subtracted from protein values. Total protein quantification was done using ImageJ [REF]. Chemiluminescence signals were quantified using Image Studio Lite (LI-COR Biotechnology, Lincoln, NE, USA).</w:t>
      </w:r>
    </w:p>
    <w:p>
      <w:pPr>
        <w:pStyle w:val="Overskrift2"/>
      </w:pPr>
      <w:bookmarkStart w:id="31" w:name="immunohistochemistry"/>
      <w:r>
        <w:t xml:space="preserve">Immunohistochemistry</w:t>
      </w:r>
      <w:bookmarkEnd w:id="31"/>
    </w:p>
    <w:p>
      <w:pPr>
        <w:pStyle w:val="Overskrift2"/>
      </w:pPr>
      <w:bookmarkStart w:id="32" w:name="statistics-and-data-analysis"/>
      <w:r>
        <w:t xml:space="preserve">Statistics and data analysis</w:t>
      </w:r>
      <w:bookmarkEnd w:id="32"/>
    </w:p>
    <w:p>
      <w:pPr>
        <w:pStyle w:val="Overskrift1"/>
      </w:pPr>
      <w:bookmarkStart w:id="33" w:name="results"/>
      <w:r>
        <w:t xml:space="preserve">Results</w:t>
      </w:r>
      <w:bookmarkEnd w:id="33"/>
    </w:p>
    <w:p>
      <w:pPr>
        <w:pStyle w:val="Overskrift1"/>
      </w:pPr>
      <w:bookmarkStart w:id="34" w:name="discussion"/>
      <w:r>
        <w:t xml:space="preserve">Discussion</w:t>
      </w:r>
      <w:bookmarkEnd w:id="34"/>
    </w:p>
    <w:p>
      <w:pPr>
        <w:pStyle w:val="Overskrift1"/>
      </w:pPr>
      <w:bookmarkStart w:id="35" w:name="references"/>
      <w:r>
        <w:t xml:space="preserve">References</w:t>
      </w:r>
      <w:bookmarkEnd w:id="35"/>
    </w:p>
    <w:bookmarkStart w:id="54" w:name="refs"/>
    <w:bookmarkStart w:id="36" w:name="ref-RN1520"/>
    <w:p>
      <w:pPr>
        <w:pStyle w:val="Bibliografi"/>
      </w:pPr>
      <w:r>
        <w:t xml:space="preserve">Bickel CS, Slade J, Mahoney E, Haddad F, Dudley GA &amp; Adams GR (2005). Time course of molecular responses of human skeletal muscle to acute bouts of resistance exercise.</w:t>
      </w:r>
      <w:r>
        <w:t xml:space="preserve"> </w:t>
      </w:r>
      <w:r>
        <w:rPr>
          <w:i/>
        </w:rPr>
        <w:t xml:space="preserve">J Appl Physiol (1985)</w:t>
      </w:r>
      <w:r>
        <w:t xml:space="preserve"> </w:t>
      </w:r>
      <w:r>
        <w:rPr>
          <w:b/>
        </w:rPr>
        <w:t xml:space="preserve">98,</w:t>
      </w:r>
      <w:r>
        <w:t xml:space="preserve"> </w:t>
      </w:r>
      <w:r>
        <w:t xml:space="preserve">482–488.</w:t>
      </w:r>
    </w:p>
    <w:bookmarkEnd w:id="36"/>
    <w:bookmarkStart w:id="37" w:name="ref-RN1642"/>
    <w:p>
      <w:pPr>
        <w:pStyle w:val="Bibliografi"/>
      </w:pPr>
      <w:r>
        <w:t xml:space="preserve">Brook MS, Wilkinson DJ, Mitchell WK, Lund JN, Szewczyk NJ, Greenhaff PL, Smith K &amp; Atherton PJ (2015).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w:t>
      </w:r>
      <w:r>
        <w:rPr>
          <w:b/>
        </w:rPr>
        <w:t xml:space="preserve">29,</w:t>
      </w:r>
      <w:r>
        <w:t xml:space="preserve"> </w:t>
      </w:r>
      <w:r>
        <w:t xml:space="preserve">4485–4496.</w:t>
      </w:r>
    </w:p>
    <w:bookmarkEnd w:id="37"/>
    <w:bookmarkStart w:id="38" w:name="ref-RN1644"/>
    <w:p>
      <w:pPr>
        <w:pStyle w:val="Bibliografi"/>
      </w:pPr>
      <w:r>
        <w:t xml:space="preserve">Figueiredo VC, Caldow MK, Massie V, Markworth JF, Cameron-Smith D &amp; Blazevich AJ (2015). Ribosome biogenesis adaptation in resistance training-induced human skeletal muscle hypertrophy.</w:t>
      </w:r>
      <w:r>
        <w:t xml:space="preserve"> </w:t>
      </w:r>
      <w:r>
        <w:rPr>
          <w:i/>
        </w:rPr>
        <w:t xml:space="preserve">Am J Physiol Endocrinol Metab</w:t>
      </w:r>
      <w:r>
        <w:t xml:space="preserve"> </w:t>
      </w:r>
      <w:r>
        <w:rPr>
          <w:b/>
        </w:rPr>
        <w:t xml:space="preserve">309,</w:t>
      </w:r>
      <w:r>
        <w:t xml:space="preserve"> </w:t>
      </w:r>
      <w:r>
        <w:t xml:space="preserve">E72–83.</w:t>
      </w:r>
    </w:p>
    <w:bookmarkEnd w:id="38"/>
    <w:bookmarkStart w:id="40" w:name="ref-RN1912"/>
    <w:p>
      <w:pPr>
        <w:pStyle w:val="Bibliografi"/>
      </w:pPr>
      <w:r>
        <w:t xml:space="preserve">Figueiredo VC &amp; McCarthy JJ (2017). The role of ribosome biogenesis in skeletal muscle hypertrophy. In</w:t>
      </w:r>
      <w:r>
        <w:t xml:space="preserve"> </w:t>
      </w:r>
      <w:r>
        <w:rPr>
          <w:i/>
        </w:rPr>
        <w:t xml:space="preserve">The plasticity of skeletal muscle</w:t>
      </w:r>
      <w:r>
        <w:t xml:space="preserve">, ed. Sakuma K, pp. 141–153. Springer Singapore, Singapore. Available at:</w:t>
      </w:r>
      <w:r>
        <w:t xml:space="preserve"> </w:t>
      </w:r>
      <w:hyperlink r:id="rId39">
        <w:r>
          <w:rPr>
            <w:rStyle w:val="Hyperkobling"/>
          </w:rPr>
          <w:t xml:space="preserve">http://dx.doi.org/10.1007/978-981-10-3292-9_6</w:t>
        </w:r>
      </w:hyperlink>
      <w:r>
        <w:t xml:space="preserve">.</w:t>
      </w:r>
    </w:p>
    <w:bookmarkEnd w:id="40"/>
    <w:bookmarkStart w:id="41" w:name="ref-Hammarstrm2020"/>
    <w:p>
      <w:pPr>
        <w:pStyle w:val="Bibliografi"/>
      </w:pPr>
      <w:r>
        <w:t xml:space="preserve">Hammarström D, Øfsteng S, Koll L, Hanestadhaugen M, Hollan I, Apró W, Whist JE, Blomstrand E, Rønnestad BR &amp; Ellefsen S (2020). Benefits of higher resistance-training volume are related to ribosome biogenesis.</w:t>
      </w:r>
      <w:r>
        <w:t xml:space="preserve"> </w:t>
      </w:r>
      <w:r>
        <w:rPr>
          <w:i/>
        </w:rPr>
        <w:t xml:space="preserve">The Journal of Physiology</w:t>
      </w:r>
      <w:r>
        <w:t xml:space="preserve"> </w:t>
      </w:r>
      <w:r>
        <w:rPr>
          <w:b/>
        </w:rPr>
        <w:t xml:space="preserve">598,</w:t>
      </w:r>
      <w:r>
        <w:t xml:space="preserve"> </w:t>
      </w:r>
      <w:r>
        <w:t xml:space="preserve">543–565.</w:t>
      </w:r>
    </w:p>
    <w:bookmarkEnd w:id="41"/>
    <w:bookmarkStart w:id="42" w:name="ref-RN1521"/>
    <w:p>
      <w:pPr>
        <w:pStyle w:val="Bibliografi"/>
      </w:pPr>
      <w:r>
        <w:t xml:space="preserve">Kim PL, Staron RS &amp; Phillips SM (2005). Fasted-state skeletal muscle protein synthesis after resistance exercise is altered with training.</w:t>
      </w:r>
      <w:r>
        <w:t xml:space="preserve"> </w:t>
      </w:r>
      <w:r>
        <w:rPr>
          <w:i/>
        </w:rPr>
        <w:t xml:space="preserve">J Physiol</w:t>
      </w:r>
      <w:r>
        <w:t xml:space="preserve"> </w:t>
      </w:r>
      <w:r>
        <w:rPr>
          <w:b/>
        </w:rPr>
        <w:t xml:space="preserve">568,</w:t>
      </w:r>
      <w:r>
        <w:t xml:space="preserve"> </w:t>
      </w:r>
      <w:r>
        <w:t xml:space="preserve">283–290.</w:t>
      </w:r>
    </w:p>
    <w:bookmarkEnd w:id="42"/>
    <w:bookmarkStart w:id="43" w:name="ref-RN1820"/>
    <w:p>
      <w:pPr>
        <w:pStyle w:val="Bibliografi"/>
      </w:pPr>
      <w:r>
        <w:t xml:space="preserve">Moss T, Langlois F, Gagnon-Kugler T &amp; Stefanovsky V (2007). A housekeeper with power of attorney: The rRNA genes in ribosome biogenesis.</w:t>
      </w:r>
      <w:r>
        <w:t xml:space="preserve"> </w:t>
      </w:r>
      <w:r>
        <w:rPr>
          <w:i/>
        </w:rPr>
        <w:t xml:space="preserve">Cell Mol Life Sci</w:t>
      </w:r>
      <w:r>
        <w:t xml:space="preserve"> </w:t>
      </w:r>
      <w:r>
        <w:rPr>
          <w:b/>
        </w:rPr>
        <w:t xml:space="preserve">64,</w:t>
      </w:r>
      <w:r>
        <w:t xml:space="preserve"> </w:t>
      </w:r>
      <w:r>
        <w:t xml:space="preserve">29–49.</w:t>
      </w:r>
    </w:p>
    <w:bookmarkEnd w:id="43"/>
    <w:bookmarkStart w:id="44" w:name="ref-RN1037"/>
    <w:p>
      <w:pPr>
        <w:pStyle w:val="Bibliografi"/>
      </w:pPr>
      <w:r>
        <w:t xml:space="preserve">Nader GA, Walden F von, Liu C, Lindvall J, Gutmann L, Pistilli EE &amp; Gordon PM (2014). Resistance exercise training modulates acute gene expression during human skeletal muscle hypertrophy.</w:t>
      </w:r>
      <w:r>
        <w:t xml:space="preserve"> </w:t>
      </w:r>
      <w:r>
        <w:rPr>
          <w:i/>
        </w:rPr>
        <w:t xml:space="preserve">J Appl Physiol (1985)</w:t>
      </w:r>
      <w:r>
        <w:t xml:space="preserve"> </w:t>
      </w:r>
      <w:r>
        <w:rPr>
          <w:b/>
        </w:rPr>
        <w:t xml:space="preserve">116,</w:t>
      </w:r>
      <w:r>
        <w:t xml:space="preserve"> </w:t>
      </w:r>
      <w:r>
        <w:t xml:space="preserve">693–702.</w:t>
      </w:r>
    </w:p>
    <w:bookmarkEnd w:id="44"/>
    <w:bookmarkStart w:id="45" w:name="ref-RN1272"/>
    <w:p>
      <w:pPr>
        <w:pStyle w:val="Bibliografi"/>
      </w:pPr>
      <w:r>
        <w:t xml:space="preserve">Phillips SM (2014). A brief review of critical processes in exercise-induced muscular hypertrophy.</w:t>
      </w:r>
      <w:r>
        <w:t xml:space="preserve"> </w:t>
      </w:r>
      <w:r>
        <w:rPr>
          <w:i/>
        </w:rPr>
        <w:t xml:space="preserve">Sports Med</w:t>
      </w:r>
      <w:r>
        <w:t xml:space="preserve"> </w:t>
      </w:r>
      <w:r>
        <w:rPr>
          <w:b/>
        </w:rPr>
        <w:t xml:space="preserve">44 Suppl 1,</w:t>
      </w:r>
      <w:r>
        <w:t xml:space="preserve"> </w:t>
      </w:r>
      <w:r>
        <w:t xml:space="preserve">S71–7.</w:t>
      </w:r>
    </w:p>
    <w:bookmarkEnd w:id="45"/>
    <w:bookmarkStart w:id="46" w:name="ref-RN786"/>
    <w:p>
      <w:pPr>
        <w:pStyle w:val="Bibliografi"/>
      </w:pPr>
      <w:r>
        <w:t xml:space="preserve">Phillips SM, Tipton KD, Aarsland A, Wolf SE &amp; Wolfe RR (1997). Mixed muscle protein synthesis and breakdown after resistance exercise in humans.</w:t>
      </w:r>
      <w:r>
        <w:t xml:space="preserve"> </w:t>
      </w:r>
      <w:r>
        <w:rPr>
          <w:i/>
        </w:rPr>
        <w:t xml:space="preserve">Am J Physiol</w:t>
      </w:r>
      <w:r>
        <w:t xml:space="preserve"> </w:t>
      </w:r>
      <w:r>
        <w:rPr>
          <w:b/>
        </w:rPr>
        <w:t xml:space="preserve">273,</w:t>
      </w:r>
      <w:r>
        <w:t xml:space="preserve"> </w:t>
      </w:r>
      <w:r>
        <w:t xml:space="preserve">E99–107.</w:t>
      </w:r>
    </w:p>
    <w:bookmarkEnd w:id="46"/>
    <w:bookmarkStart w:id="47" w:name="ref-RN1897"/>
    <w:p>
      <w:pPr>
        <w:pStyle w:val="Bibliografi"/>
      </w:pPr>
      <w:r>
        <w:t xml:space="preserve">Reidy PT, Borack MS, Markofski MM, Dickinson JM, Fry CS, Deer RR, Volpi E &amp; Rasmussen BB (2017). Post-absorptive muscle protein turnover affects resistance training hypertrophy.</w:t>
      </w:r>
      <w:r>
        <w:t xml:space="preserve"> </w:t>
      </w:r>
      <w:r>
        <w:rPr>
          <w:i/>
        </w:rPr>
        <w:t xml:space="preserve">Eur J Appl Physiol</w:t>
      </w:r>
      <w:r>
        <w:t xml:space="preserve"> </w:t>
      </w:r>
      <w:r>
        <w:rPr>
          <w:b/>
        </w:rPr>
        <w:t xml:space="preserve">117,</w:t>
      </w:r>
      <w:r>
        <w:t xml:space="preserve"> </w:t>
      </w:r>
      <w:r>
        <w:t xml:space="preserve">853–866.</w:t>
      </w:r>
    </w:p>
    <w:bookmarkEnd w:id="47"/>
    <w:bookmarkStart w:id="48" w:name="ref-RN1755"/>
    <w:p>
      <w:pPr>
        <w:pStyle w:val="Bibliografi"/>
      </w:pPr>
      <w:r>
        <w:t xml:space="preserve">Stec MJ, Kelly NA, Many GM, Windham ST, Tuggle SC &amp; Bamman MM (2016). Ribosome biogenesis may augment resistance training-induced myofiber hypertrophy and is required for myotube growth in vitro.</w:t>
      </w:r>
      <w:r>
        <w:t xml:space="preserve"> </w:t>
      </w:r>
      <w:r>
        <w:rPr>
          <w:i/>
        </w:rPr>
        <w:t xml:space="preserve">Am J Physiol Endocrinol Metab</w:t>
      </w:r>
      <w:r>
        <w:t xml:space="preserve"> </w:t>
      </w:r>
      <w:r>
        <w:rPr>
          <w:b/>
        </w:rPr>
        <w:t xml:space="preserve">310,</w:t>
      </w:r>
      <w:r>
        <w:t xml:space="preserve"> </w:t>
      </w:r>
      <w:r>
        <w:t xml:space="preserve">E652–E661.</w:t>
      </w:r>
    </w:p>
    <w:bookmarkEnd w:id="48"/>
    <w:bookmarkStart w:id="49" w:name="ref-vonWalden2016"/>
    <w:p>
      <w:pPr>
        <w:pStyle w:val="Bibliografi"/>
      </w:pPr>
      <w:r>
        <w:t xml:space="preserve">Walden F von, Liu C, Aurigemma N &amp; Nader GA (2016). mTOR signaling regulates myotube hypertrophy by modulating protein synthesis, rDNA transcription, and chromatin remodeling.</w:t>
      </w:r>
      <w:r>
        <w:t xml:space="preserve"> </w:t>
      </w:r>
      <w:r>
        <w:rPr>
          <w:i/>
        </w:rPr>
        <w:t xml:space="preserve">American Journal of Physiology-Cell Physiology</w:t>
      </w:r>
      <w:r>
        <w:t xml:space="preserve"> </w:t>
      </w:r>
      <w:r>
        <w:rPr>
          <w:b/>
        </w:rPr>
        <w:t xml:space="preserve">311,</w:t>
      </w:r>
      <w:r>
        <w:t xml:space="preserve"> </w:t>
      </w:r>
      <w:r>
        <w:t xml:space="preserve">C663–C672.</w:t>
      </w:r>
    </w:p>
    <w:bookmarkEnd w:id="49"/>
    <w:bookmarkStart w:id="50" w:name="ref-RN1920"/>
    <w:p>
      <w:pPr>
        <w:pStyle w:val="Bibliografi"/>
      </w:pPr>
      <w:r>
        <w:t xml:space="preserve">Warner JR (1999). The economics of ribosome biosynthesis in yeast.</w:t>
      </w:r>
      <w:r>
        <w:t xml:space="preserve"> </w:t>
      </w:r>
      <w:r>
        <w:rPr>
          <w:i/>
        </w:rPr>
        <w:t xml:space="preserve">Trends Biochem Sci</w:t>
      </w:r>
      <w:r>
        <w:t xml:space="preserve"> </w:t>
      </w:r>
      <w:r>
        <w:rPr>
          <w:b/>
        </w:rPr>
        <w:t xml:space="preserve">24,</w:t>
      </w:r>
      <w:r>
        <w:t xml:space="preserve"> </w:t>
      </w:r>
      <w:r>
        <w:t xml:space="preserve">437–440.</w:t>
      </w:r>
    </w:p>
    <w:bookmarkEnd w:id="50"/>
    <w:bookmarkStart w:id="51" w:name="ref-RN1754"/>
    <w:p>
      <w:pPr>
        <w:pStyle w:val="Bibliografi"/>
      </w:pPr>
      <w:r>
        <w:t xml:space="preserve">West DW, Baehr LM, Marcotte GR, Chason CM, Tolento L, Gomes AV, Bodine SC &amp; Baar K (2016). Acute resistance exercise activates rapamycin-sensitive and -insensitive mechanisms that control translational activity and capacity in skeletal muscle.</w:t>
      </w:r>
      <w:r>
        <w:t xml:space="preserve"> </w:t>
      </w:r>
      <w:r>
        <w:rPr>
          <w:i/>
        </w:rPr>
        <w:t xml:space="preserve">J Physiol</w:t>
      </w:r>
      <w:r>
        <w:t xml:space="preserve"> </w:t>
      </w:r>
      <w:r>
        <w:rPr>
          <w:b/>
        </w:rPr>
        <w:t xml:space="preserve">594,</w:t>
      </w:r>
      <w:r>
        <w:t xml:space="preserve"> </w:t>
      </w:r>
      <w:r>
        <w:t xml:space="preserve">453–468.</w:t>
      </w:r>
    </w:p>
    <w:bookmarkEnd w:id="51"/>
    <w:bookmarkStart w:id="52" w:name="ref-RN1866"/>
    <w:p>
      <w:pPr>
        <w:pStyle w:val="Bibliografi"/>
      </w:pPr>
      <w:r>
        <w:t xml:space="preserve">Wilkinson SB, Phillips SM, Atherton PJ, Patel R, Yarasheski KE, Tarnopolsky MA &amp; Rennie MJ (2008). Differential effects of resistance and endurance exercise in the fed state on signalling molecule phosphorylation and protein synthesis in human muscle.</w:t>
      </w:r>
      <w:r>
        <w:t xml:space="preserve"> </w:t>
      </w:r>
      <w:r>
        <w:rPr>
          <w:i/>
        </w:rPr>
        <w:t xml:space="preserve">J Physiol</w:t>
      </w:r>
      <w:r>
        <w:t xml:space="preserve"> </w:t>
      </w:r>
      <w:r>
        <w:rPr>
          <w:b/>
        </w:rPr>
        <w:t xml:space="preserve">586,</w:t>
      </w:r>
      <w:r>
        <w:t xml:space="preserve"> </w:t>
      </w:r>
      <w:r>
        <w:t xml:space="preserve">3701–3717.</w:t>
      </w:r>
    </w:p>
    <w:bookmarkEnd w:id="52"/>
    <w:bookmarkStart w:id="53" w:name="ref-RN763"/>
    <w:p>
      <w:pPr>
        <w:pStyle w:val="Bibliografi"/>
      </w:pPr>
      <w:r>
        <w:t xml:space="preserve">Wolfe RR (2006). The underappreciated role of muscle in health and disease.</w:t>
      </w:r>
      <w:r>
        <w:t xml:space="preserve"> </w:t>
      </w:r>
      <w:r>
        <w:rPr>
          <w:i/>
        </w:rPr>
        <w:t xml:space="preserve">Am J Clin Nutr</w:t>
      </w:r>
      <w:r>
        <w:t xml:space="preserve"> </w:t>
      </w:r>
      <w:r>
        <w:rPr>
          <w:b/>
        </w:rPr>
        <w:t xml:space="preserve">84,</w:t>
      </w:r>
      <w:r>
        <w:t xml:space="preserve"> </w:t>
      </w:r>
      <w:r>
        <w:t xml:space="preserve">475–482.</w:t>
      </w:r>
    </w:p>
    <w:bookmarkEnd w:id="53"/>
    <w:bookmarkEnd w:id="54"/>
    <w:sectPr w:rsidR="007E2213" w:rsidRPr="007E2213" w:rsidSect="008F6D5B">
      <w:headerReference w:type="default" r:id="rId9"/>
      <w:pgSz w:w="11906" w:h="16838" w:code="9"/>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716970"/>
      <w:docPartObj>
        <w:docPartGallery w:val="Page Numbers (Top of Page)"/>
        <w:docPartUnique/>
      </w:docPartObj>
    </w:sdtPr>
    <w:sdtEndPr/>
    <w:sdtContent>
      <w:p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3A04F6"/>
    <w:pPr>
      <w:spacing w:before="180" w:after="180" w:line="360" w:lineRule="auto"/>
      <w:ind w:firstLine="720"/>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pPr>
      <w:ind w:firstLine="0"/>
    </w:pPr>
  </w:style>
  <w:style w:type="paragraph" w:customStyle="1" w:styleId="Compact">
    <w:name w:val="Compact"/>
    <w:basedOn w:val="Brdtekst"/>
    <w:qFormat/>
    <w:pPr>
      <w:spacing w:before="36" w:after="36"/>
    </w:pPr>
  </w:style>
  <w:style w:type="paragraph" w:styleId="Tittel">
    <w:name w:val="Title"/>
    <w:basedOn w:val="Normal"/>
    <w:next w:val="Brdtekst"/>
    <w:qFormat/>
    <w:rsid w:val="00677890"/>
    <w:pPr>
      <w:keepNext/>
      <w:keepLines/>
      <w:spacing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062854"/>
    <w:pPr>
      <w:keepNext/>
      <w:keepLines/>
    </w:pPr>
    <w:rPr>
      <w:rFonts w:ascii="Times New Roman" w:hAnsi="Times New Roman"/>
      <w:sz w:val="28"/>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3A04F6"/>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495104"/>
    <w:pPr>
      <w:spacing w:before="120" w:after="120"/>
      <w:ind w:firstLine="0"/>
    </w:pPr>
  </w:style>
  <w:style w:type="paragraph" w:customStyle="1" w:styleId="affiliationstyle">
    <w:name w:val="affiliation_style"/>
    <w:basedOn w:val="Brdtekst"/>
    <w:link w:val="affiliationstyleTegn"/>
    <w:qFormat/>
    <w:rsid w:val="00495104"/>
    <w:pPr>
      <w:spacing w:before="0" w:after="0"/>
      <w:ind w:firstLine="0"/>
    </w:pPr>
  </w:style>
  <w:style w:type="character" w:customStyle="1" w:styleId="abstractstyleTegn">
    <w:name w:val="abstract_style Tegn"/>
    <w:basedOn w:val="BrdtekstTegn"/>
    <w:link w:val="abstractstyle"/>
    <w:rsid w:val="00495104"/>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ind w:firstLine="0"/>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ind w:firstLine="0"/>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39" Target="http://dx.doi.org/10.1007/978-981-10-3292-9_6" TargetMode="External" /><Relationship Type="http://schemas.openxmlformats.org/officeDocument/2006/relationships/hyperlink" Id="rId20" Target="mailto:daniel.hammarstrom@inn.no"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978-981-10-3292-9_6" TargetMode="External" /><Relationship Type="http://schemas.openxmlformats.org/officeDocument/2006/relationships/hyperlink" Id="rId20" Target="mailto:daniel.hammarstrom@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131</Words>
  <Characters>750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dc:title>
  <dc:creator>Daniel Hammarström1,2,£*,Sjur Øfsteng2,£ Bent R. Rønnestad2, Stian Ellefsen1,3</dc:creator>
  <cp:keywords/>
  <dcterms:created xsi:type="dcterms:W3CDTF">2020-08-24T10:31:22Z</dcterms:created>
  <dcterms:modified xsi:type="dcterms:W3CDTF">2020-08-24T10:31:22Z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resources/experimental-physiology.csl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