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Skeletal muscle is a critical target for interventions that promotes health across the lifespan</w:t>
      </w:r>
      <w:r>
        <w:t xml:space="preserve"> </w:t>
      </w:r>
      <w:r>
        <w:t xml:space="preserve">(Wolfe, 2006)</w:t>
      </w:r>
      <w:r>
        <w:t xml:space="preserve">,</w:t>
      </w:r>
      <w:r>
        <w:t xml:space="preserve"> </w:t>
      </w:r>
      <w:r>
        <w:t xml:space="preserve">with resistance training (RT) being the advocated remedy.</w:t>
      </w:r>
      <w:r>
        <w:br/>
      </w:r>
      <w:r>
        <w:t xml:space="preserve">RT promotes changes in the balance between muscular protein breakdown and synthesis through repeated episodes of elevated post-exercise protein synthesis, leading to net positive protein balance over time. Indeed, one bout of resistance exercise acutely increases skeletal muscle protein synthesis for up to 48 hrs after the exercise</w:t>
      </w:r>
      <w:r>
        <w:t xml:space="preserve"> </w:t>
      </w:r>
      <w:r>
        <w:t xml:space="preserve">(Phillips</w:t>
      </w:r>
      <w:r>
        <w:t xml:space="preserve"> </w:t>
      </w:r>
      <w:r>
        <w:rPr>
          <w:i/>
        </w:rPr>
        <w:t xml:space="preserve">et al.</w:t>
      </w:r>
      <w:r>
        <w:t xml:space="preserve">, 1997)</w:t>
      </w:r>
      <w:r>
        <w:t xml:space="preserve">,</w:t>
      </w:r>
      <w:r>
        <w:t xml:space="preserve"> </w:t>
      </w:r>
      <w:r>
        <w:t xml:space="preserve">with subsequent repeated bouts leading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w:t>
      </w:r>
      <w:r>
        <w:t xml:space="preserve"> </w:t>
      </w:r>
      <w:r>
        <w:t xml:space="preserve">by evidence suggesting that chronic RT leads to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which has been postulated to be associated with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This notion is supported by exercise-induced increases in total RNA, a proxy marker of ribosome abundance, occuring in proportion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 </w:t>
      </w:r>
      <w:r>
        <w:t xml:space="preserve">and the close relationship between RNA abundance and protein synthesis</w:t>
      </w:r>
      <w:r>
        <w:t xml:space="preserve"> </w:t>
      </w:r>
      <w:r>
        <w:t xml:space="preserve">(West</w:t>
      </w:r>
      <w:r>
        <w:t xml:space="preserve"> </w:t>
      </w:r>
      <w:r>
        <w:rPr>
          <w:i/>
        </w:rPr>
        <w:t xml:space="preserve">et al.</w:t>
      </w:r>
      <w:r>
        <w:t xml:space="preserve">, 2016;</w:t>
      </w:r>
      <w:r>
        <w:t xml:space="preserve"> </w:t>
      </w:r>
      <w:r>
        <w:t xml:space="preserve"> </w:t>
      </w:r>
      <w:r>
        <w:t xml:space="preserve">Millward</w:t>
      </w:r>
      <w:r>
        <w:t xml:space="preserve"> </w:t>
      </w:r>
      <w:r>
        <w:rPr>
          <w:i/>
        </w:rPr>
        <w:t xml:space="preserve">et al.</w:t>
      </w:r>
      <w:r>
        <w:t xml:space="preserve">, 1973)</w:t>
      </w:r>
      <w:r>
        <w:t xml:space="preserve">.</w:t>
      </w:r>
      <w:r>
        <w:t xml:space="preserve"> </w:t>
      </w:r>
      <w:r>
        <w:t xml:space="preserve">Conversely, inhibition of ribosomal RNA (rRNA) transcription and inhibition of its up-stream transcription factors act to diminish muscle cell growth</w:t>
      </w:r>
      <w:r>
        <w:t xml:space="preserve"> </w:t>
      </w:r>
      <w:r>
        <w:t xml:space="preserve">(Stec</w:t>
      </w:r>
      <w:r>
        <w:t xml:space="preserve"> </w:t>
      </w:r>
      <w:r>
        <w:rPr>
          <w:i/>
        </w:rPr>
        <w:t xml:space="preserve">et al.</w:t>
      </w:r>
      <w:r>
        <w:t xml:space="preserve">, 2016 ; Walden</w:t>
      </w:r>
      <w:r>
        <w:t xml:space="preserve"> </w:t>
      </w:r>
      <w:r>
        <w:rPr>
          <w:i/>
        </w:rPr>
        <w:t xml:space="preserve">et al.</w:t>
      </w:r>
      <w:r>
        <w:t xml:space="preserve">, 2016; West</w:t>
      </w:r>
      <w:r>
        <w:t xml:space="preserve"> </w:t>
      </w:r>
      <w:r>
        <w:rPr>
          <w:i/>
        </w:rPr>
        <w:t xml:space="preserve">et al.</w:t>
      </w:r>
      <w:r>
        <w:t xml:space="preserve">, 2016</w:t>
      </w:r>
      <w:r>
        <w:t xml:space="preserve"> </w:t>
      </w:r>
      <w:r>
        <w:t xml:space="preserve">)</w:t>
      </w:r>
      <w:r>
        <w:t xml:space="preserve">.</w:t>
      </w:r>
    </w:p>
    <w:p>
      <w:pPr>
        <w:pStyle w:val="Brdtekst"/>
      </w:pPr>
      <w:r>
        <w:t xml:space="preserve">Biosynthesis of novel ribosomes is a complex, highly coordinated and energy demanding process that involves synthesis of both proteins and four different mature rRNA</w:t>
      </w:r>
      <w:r>
        <w:t xml:space="preserve"> </w:t>
      </w:r>
      <w:r>
        <w:t xml:space="preserve">(Warner, 1999;</w:t>
      </w:r>
      <w:r>
        <w:t xml:space="preserve"> </w:t>
      </w:r>
      <w:r>
        <w:t xml:space="preserve"> </w:t>
      </w:r>
      <w:r>
        <w:t xml:space="preserve">Moss</w:t>
      </w:r>
      <w:r>
        <w:t xml:space="preserve"> </w:t>
      </w:r>
      <w:r>
        <w:rPr>
          <w:i/>
        </w:rPr>
        <w:t xml:space="preserve">et al.</w:t>
      </w:r>
      <w:r>
        <w:t xml:space="preserve">, 2007;</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This process is limited at the level of pre-rRNA transcription by RNA polymerase I (Pol I) which in turn is regulated by coordinated assembly of a complex of transcription factors at the rDNA promoter</w:t>
      </w:r>
      <w:r>
        <w:t xml:space="preserve"> </w:t>
      </w:r>
      <w:r>
        <w:t xml:space="preserve">(Moss</w:t>
      </w:r>
      <w:r>
        <w:t xml:space="preserve"> </w:t>
      </w:r>
      <w:r>
        <w:rPr>
          <w:i/>
        </w:rPr>
        <w:t xml:space="preserve">et al.</w:t>
      </w:r>
      <w:r>
        <w:t xml:space="preserve">, 2007)</w:t>
      </w:r>
      <w:r>
        <w:t xml:space="preserve">.</w:t>
      </w:r>
      <w:r>
        <w:t xml:space="preserve"> </w:t>
      </w:r>
      <w:r>
        <w:t xml:space="preserve">Specifically, phosphorylation of the upstream bindning factor (UBF) is needed to initiate transcription</w:t>
      </w:r>
      <w:r>
        <w:t xml:space="preserve"> </w:t>
      </w:r>
      <w:r>
        <w:t xml:space="preserve">(Tuan</w:t>
      </w:r>
      <w:r>
        <w:t xml:space="preserve"> </w:t>
      </w:r>
      <w:r>
        <w:rPr>
          <w:i/>
        </w:rPr>
        <w:t xml:space="preserve">et al.</w:t>
      </w:r>
      <w:r>
        <w:t xml:space="preserve">, 1999;</w:t>
      </w:r>
      <w:r>
        <w:t xml:space="preserve"> </w:t>
      </w:r>
      <w:r>
        <w:t xml:space="preserve"> </w:t>
      </w:r>
      <w:r>
        <w:t xml:space="preserve">Lin</w:t>
      </w:r>
      <w:r>
        <w:t xml:space="preserve"> </w:t>
      </w:r>
      <w:r>
        <w:rPr>
          <w:i/>
        </w:rPr>
        <w:t xml:space="preserve">et al.</w:t>
      </w:r>
      <w:r>
        <w:t xml:space="preserve">, 2007)</w:t>
      </w:r>
      <w:r>
        <w:t xml:space="preserve"> </w:t>
      </w:r>
      <w:r>
        <w:t xml:space="preserve">and this is related to signaling through the mechanosensitive mTOR pathway as its inhibition blocks UBF phosphorylation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w:t>
      </w:r>
      <w:r>
        <w:t xml:space="preserve"> </w:t>
      </w:r>
      <w:r>
        <w:t xml:space="preserve">Interestingly the availability of UBF</w:t>
      </w:r>
      <w:r>
        <w:t xml:space="preserve"> </w:t>
      </w:r>
      <w:r>
        <w:rPr>
          <w:i/>
        </w:rPr>
        <w:t xml:space="preserve">per se</w:t>
      </w:r>
      <w:r>
        <w:t xml:space="preserve"> </w:t>
      </w:r>
      <w:r>
        <w:t xml:space="preserve">has been shown to also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p>
    <w:p>
      <w:pPr>
        <w:pStyle w:val="Brdtekst"/>
      </w:pPr>
      <w:r>
        <w:t xml:space="preserve">Resistance exercise is a potent stimuli for rRNA transcription as a single session leads to increases in pre-rRNA</w:t>
      </w:r>
      <w:r>
        <w:t xml:space="preserve"> </w:t>
      </w:r>
      <w:r>
        <w:t xml:space="preserve">(Nader</w:t>
      </w:r>
      <w:r>
        <w:t xml:space="preserve"> </w:t>
      </w:r>
      <w:r>
        <w:rPr>
          <w:i/>
        </w:rPr>
        <w:t xml:space="preserve">et al.</w:t>
      </w:r>
      <w:r>
        <w:t xml:space="preserve">, 2014 ; Stec</w:t>
      </w:r>
      <w:r>
        <w:t xml:space="preserve"> </w:t>
      </w:r>
      <w:r>
        <w:rPr>
          <w:i/>
        </w:rPr>
        <w:t xml:space="preserve">et al.</w:t>
      </w:r>
      <w:r>
        <w:t xml:space="preserve">, 2015</w:t>
      </w:r>
      <w:r>
        <w:t xml:space="preserve"> </w:t>
      </w:r>
      <w:r>
        <w:t xml:space="preserve">)</w:t>
      </w:r>
      <w:r>
        <w:t xml:space="preserve"> </w:t>
      </w:r>
      <w:r>
        <w:t xml:space="preserve">and repeated bouts lead to accumulation of mature rRNA thus also total RNA and presumably functional ribosomes</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However, the true time course of ribosomal transcription and accumulation in response to RT remains largely unstudied, with only a few studies having investigated exercise-induced changes in rRNA over multiple time-points.</w:t>
      </w:r>
      <w:r>
        <w:t xml:space="preserve"> </w:t>
      </w:r>
      <w:r>
        <w:t xml:space="preserve">As such, Bickel</w:t>
      </w:r>
      <w:r>
        <w:t xml:space="preserve"> </w:t>
      </w:r>
      <w:r>
        <w:rPr>
          <w:i/>
        </w:rPr>
        <w:t xml:space="preserve">et al</w:t>
      </w:r>
      <w:r>
        <w:t xml:space="preserve">. showed that two consecutive bouts of electrically induced muscle contractions were associated with increased levels of total RNA, with peak values being observed 72 hrs after the second bout</w:t>
      </w:r>
      <w:r>
        <w:t xml:space="preserve"> </w:t>
      </w:r>
      <w:r>
        <w:t xml:space="preserve">(Bickel</w:t>
      </w:r>
      <w:r>
        <w:t xml:space="preserve"> </w:t>
      </w:r>
      <w:r>
        <w:rPr>
          <w:i/>
        </w:rPr>
        <w:t xml:space="preserve">et al.</w:t>
      </w:r>
      <w:r>
        <w:t xml:space="preserve">, 2005)</w:t>
      </w:r>
      <w:r>
        <w:t xml:space="preserve">.</w:t>
      </w:r>
      <w:r>
        <w:t xml:space="preserve"> </w:t>
      </w:r>
      <w:r>
        <w:t xml:space="preserve">Brook</w:t>
      </w:r>
      <w:r>
        <w:t xml:space="preserve"> </w:t>
      </w:r>
      <w:r>
        <w:rPr>
          <w:i/>
        </w:rPr>
        <w:t xml:space="preserve">et al.</w:t>
      </w:r>
      <w:r>
        <w:t xml:space="preserve">, reported peak values after nine sessions followed by a slight decrease to after 18 sessions of RT</w:t>
      </w:r>
      <w:r>
        <w:t xml:space="preserve"> </w:t>
      </w:r>
      <w:r>
        <w:t xml:space="preserve">(Brook</w:t>
      </w:r>
      <w:r>
        <w:t xml:space="preserve"> </w:t>
      </w:r>
      <w:r>
        <w:rPr>
          <w:i/>
        </w:rPr>
        <w:t xml:space="preserve">et al.</w:t>
      </w:r>
      <w:r>
        <w:t xml:space="preserve">, 2016)</w:t>
      </w:r>
      <w:r>
        <w:t xml:space="preserve">,</w:t>
      </w:r>
      <w:r>
        <w:t xml:space="preserve"> </w:t>
      </w:r>
      <w:r>
        <w:t xml:space="preserve">resembling data from our lab where five sessions of RT led to marked increase in total RNA levels (per-unit muscle tissue), whereupon a numerical lowering occurred to after the last training session of the 12 wk interventions (31 sessions).</w:t>
      </w:r>
      <w:r>
        <w:t xml:space="preserve"> </w:t>
      </w:r>
      <w:r>
        <w:t xml:space="preserve">(Hammarström</w:t>
      </w:r>
      <w:r>
        <w:t xml:space="preserve"> </w:t>
      </w:r>
      <w:r>
        <w:rPr>
          <w:i/>
        </w:rPr>
        <w:t xml:space="preserve">et al.</w:t>
      </w:r>
      <w:r>
        <w:t xml:space="preserve">, 2020)</w:t>
      </w:r>
      <w:r>
        <w:t xml:space="preserve">.</w:t>
      </w:r>
      <w:r>
        <w:t xml:space="preserve"> </w:t>
      </w:r>
      <w:r>
        <w:t xml:space="preserve">Interestingly, total RNA accumulation in the initial phase was shown to be training volume sensitive as three sets per exercise in leg exercises led to increased total RNA and rRNA accumulation compared to a single set per exercise, coinciding with differences in muscle hypertrophy after 12 weeks of RT.</w:t>
      </w:r>
      <w:r>
        <w:t xml:space="preserve"> </w:t>
      </w:r>
      <w:r>
        <w:t xml:space="preserve">(Hammarström</w:t>
      </w:r>
      <w:r>
        <w:t xml:space="preserve"> </w:t>
      </w:r>
      <w:r>
        <w:rPr>
          <w:i/>
        </w:rPr>
        <w:t xml:space="preserve">et al.</w:t>
      </w:r>
      <w:r>
        <w:t xml:space="preserve">, 2020)</w:t>
      </w:r>
      <w:r>
        <w:t xml:space="preserve">.</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Overskrift2"/>
      </w:pPr>
      <w:bookmarkStart w:id="25" w:name="rt-protocol"/>
      <w:r>
        <w:t xml:space="preserve">RT protocol</w:t>
      </w:r>
      <w:bookmarkEnd w:id="25"/>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w:t>
      </w:r>
    </w:p>
    <w:p>
      <w:pPr>
        <w:pStyle w:val="Brdtekst"/>
      </w:pPr>
      <w:r>
        <w:t xml:space="preserve">Muscle strength, muscle thickness, protein and total RNA data was modeled after log transformation.</w:t>
      </w:r>
      <w:r>
        <w:t xml:space="preserve"> </w:t>
      </w:r>
      <w:r>
        <w:t xml:space="preserve">Gene abundance data were fitted with number of sessions as a categorical variable in comparisons of volume conditions, and Cq values converted to counts as suggested by Matz et al. </w:t>
      </w:r>
      <w:r>
        <w:t xml:space="preserve">(2013)</w:t>
      </w:r>
      <w:r>
        <w:t xml:space="preserve">. A Poisson-lognormal model was used to fit these count,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colinearity issues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Leg nested within participant was used as group levels effects.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p>
      <w:pPr>
        <w:pStyle w:val="Overskrift1"/>
      </w:pPr>
      <w:bookmarkStart w:id="32" w:name="results"/>
      <w:r>
        <w:t xml:space="preserve">Results</w:t>
      </w:r>
      <w:bookmarkEnd w:id="32"/>
    </w:p>
    <w:p>
      <w:pPr>
        <w:pStyle w:val="FirstParagraph"/>
      </w:pPr>
      <w:r>
        <w:t xml:space="preserve">In TRAIN, all participants successfully completed their prescribed RT on both legs, with the two volume conditions resulting in diverging volume profiles (load × repetitions) over the course of the study (Figure 1B). Exercise intensities (resistance at 10RM) increased similarly between conditions from the first to the second (30%, 95% CI: [21, 41]) and third (47%, [35, 61]) training block, with each block consisting of four training sessions. Isokinetic strength increased from baseline to after Session 12 in TRAIN compared to CTRL. This difference was still seen after de-training (Figure 1C). Isometric strength showed the same general pattern, though with considerably larger degrees of uncertainty, as indicated by wider 95% CI (Figure 1C). Muscle thickness of</w:t>
      </w:r>
      <w:r>
        <w:t xml:space="preserve"> </w:t>
      </w:r>
      <w:r>
        <w:rPr>
          <w:i/>
        </w:rPr>
        <w:t xml:space="preserve">m. vastus lateralis</w:t>
      </w:r>
      <w:r>
        <w:t xml:space="preserve"> </w:t>
      </w:r>
      <w:r>
        <w:t xml:space="preserve">increased in TRAIN compared CTRL, measured both after Session 12 and after eight days of de-training (Figure 1D). There were no indications of differences between volume conditions in strength or muscle thickness changes.</w:t>
      </w:r>
    </w:p>
    <w:p>
      <w:pPr>
        <w:pStyle w:val="Brdtekst"/>
      </w:pPr>
      <w:r>
        <w:t xml:space="preserve">UBF and rpS6 protein levels were increased only after twelve sessions in the training group compared to control and stayed elevated after eight days of rest (Figure 2A and B), with no changes being observed after the first training session (48 hrs). For both rpS6 and UBF, protein levels increased linearly throughout the training intervention, with rpS6 showing estimated increments per session corresponding to 4.2% [1.1, 7.3] during block 1 (session 1-4), 2.6% [-0.4, 5.6] during block 2 (session 5-8) and 4.6% [1.2, 8.1] during block 3 (session 9-12) and UBF showing increments corresponding to 7.3% [2.1, 12.7], 4.6% [-0.4, 9.9] and 6.1% [0.3, 12.2]. Slopes did not differ between volume-conditions but there was a tendency towards lower levels of UBF in VAR after session 12 (-19.7% [-42.8, 11.6]). After the de-training period CONST tended to show decreased levels of UBF (-22.5% [-44.4, 7.0]) while VAR remained at elevated level compare to after session 12 (8.0% [-21.4, 49.6]; interaction effect: 34.4% [-14.8, 113.1]). Levels of rpS6 did not change in response to the de-training period and remained similar between volume conditions. UBF was robustly up-regulated at the mRNA level compared to CTRL after 48 hrs (Figure 2D) with no other robust differences seen between TRAIN and CTRL or between volume conditions in TRAIN in either UBF or rpS6 mRNA levels (Figure 2D and E).</w:t>
      </w:r>
    </w:p>
    <w:p>
      <w:pPr>
        <w:pStyle w:val="Brdtekst"/>
      </w:pPr>
      <w:r>
        <w:t xml:space="preserve">A single session of RT led to robust increases in pre-rRNA 47S and 45S abundance, measured as expression per unit tissue weight, both from baseline to 48 hrs after session 1 within TRAIN (Figure 3B) and compared to CTRL (Figure 3C).</w:t>
      </w:r>
      <w:r>
        <w:t xml:space="preserve"> </w:t>
      </w:r>
      <w:r>
        <w:t xml:space="preserve">Similarly, 47S and 45S abundances were also increased after twelve sessions, together with 45S ITS and rRNA 28S and 18S species, measured both within-participant and compared to CTRL (Figure 3C).</w:t>
      </w:r>
      <w:r>
        <w:t xml:space="preserve"> </w:t>
      </w:r>
      <w:r>
        <w:t xml:space="preserve">After eight days of rest, only 18S and 28S remained at elevated levels compared to CTRL (Figure 3B).</w:t>
      </w:r>
      <w:r>
        <w:t xml:space="preserve"> </w:t>
      </w:r>
      <w:r>
        <w:t xml:space="preserve">This general pattern of rRNA expression was reflected by total RNA expression per unit tissue weight, which were robustly increase in TRAIN compared to CTRL after session twelve (Figure 3E and F), followed by decreased levels after de-training -19.2%, [-29.1, -8.1].</w:t>
      </w:r>
      <w:r>
        <w:t xml:space="preserve"> </w:t>
      </w:r>
      <w:r>
        <w:t xml:space="preserve">For both rRNA expression and total RNA levels, these training-associated increases in abundance predominately occured during the first four sessions, evident as 8.6% [5.5, 11.7] increase per session, followed by sustained levels from sessions four to eight 1.9% [-0.9, 4.7] and from sessions eight to twelve 0.0% [-3.1, 3.2]. This corresponded to an increase from baseline by 38.9% [23.9, 55.4], 49.5% [34.2, 66.5] and 49.5% [32.5, 68.6] to 48 hrs after session four, eight and twelve, respectively.</w:t>
      </w:r>
      <w:r>
        <w:t xml:space="preserve"> </w:t>
      </w:r>
      <w:r>
        <w:t xml:space="preserve">In TRAIN, the two volume conditions were associated with minor differences in rRNA subspecies abundance, with only 45S ETS showing differential expression between conditions, evident as robustly higher levels in VAR compared to CONST after the 12th session (Figure 3D), coinciding with increased volume in this condition towards the end of the intervention.</w:t>
      </w:r>
      <w:r>
        <w:t xml:space="preserve"> </w:t>
      </w:r>
      <w:r>
        <w:t xml:space="preserve">No robust differences were seen between conditions for total RNA abundances (Figure 3G), increasing similarly in both conditions.</w:t>
      </w:r>
    </w:p>
    <w:p>
      <w:pPr>
        <w:pStyle w:val="Brdtekst"/>
      </w:pPr>
      <w:r>
        <w:t xml:space="preserve">In TRAIN (after for controlling for time), UBF levels robustly predicted total RNA levels with a one unit difference in UBF levels corresponding to one standard deviation leading to 1.2% [-4.0, 6.7] increases in total RNA per unit tissue weight (Table 3). In contrast, no evidence for a relationship between total RNA and rpS6 was found when controlling for time (Table 3).</w:t>
      </w:r>
      <w:r>
        <w:t xml:space="preserve"> </w:t>
      </w:r>
      <w:r>
        <w:t xml:space="preserve">To estimate the influence of total RNA on changes in muscle mass in TRAIN, measured as</w:t>
      </w:r>
      <w:r>
        <w:t xml:space="preserve"> </w:t>
      </w:r>
      <w:r>
        <w:rPr>
          <w:i/>
        </w:rPr>
        <w:t xml:space="preserve">m.vastus lateralis</w:t>
      </w:r>
      <w:r>
        <w:t xml:space="preserve"> </w:t>
      </w:r>
      <w:r>
        <w:t xml:space="preserve">thickness, the average linear increase in total RNA was calculated for each leg together with the average total RNA abundance over the course of the training intervention.</w:t>
      </w:r>
      <w:r>
        <w:t xml:space="preserve"> </w:t>
      </w:r>
      <w:r>
        <w:t xml:space="preserve">The relationship between muscle growth and characteristics of individual total RNA profiles were estimated using a regression model containing the increase in total RNA concentrations, expressed as percentage increase per session, and average total RNA abundance at Session 6, expressed as standard deviations from the mean.</w:t>
      </w:r>
      <w:r>
        <w:t xml:space="preserve"> </w:t>
      </w:r>
      <w:r>
        <w:t xml:space="preserve">The model also contained sex as predictor to account for sex differences in muscle growth.</w:t>
      </w:r>
      <w:r>
        <w:t xml:space="preserve"> </w:t>
      </w:r>
      <w:r>
        <w:t xml:space="preserve">Total RNA increase in response to training RNA was robustly related to muscle growth (Table 4, Figure 4A). Average total RNA levels tended to negatively influence muscle growth (Table 4, Figure 4B). To assess the robustness of the model, individual relationships between sessions and total RNA levels (Figure 4C) were recalculated after removal of single data points. The model was refitted using new estimates of the total RNA abundance and increase per session. Effects of refitting the model is shown in Figure 4D. This analysis indicated that the relationship between Total RNA increase and muscle growth was preserved in all iterations (Figure 4D). We further assessed the model by iteratively removing one participant from the data set, similarly this showed that estimates of the effect of total RNA increase on muscle growth was robust but the effect of average total RNA estimates were more variable (Participant 8 and 3 in Figure 4D).</w:t>
      </w:r>
    </w:p>
    <w:p>
      <w:pPr>
        <w:pStyle w:val="Overskrift1"/>
      </w:pPr>
      <w:bookmarkStart w:id="33" w:name="discussion"/>
      <w:r>
        <w:t xml:space="preserve">Discussion</w:t>
      </w:r>
      <w:bookmarkEnd w:id="33"/>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 We show that this increase is interconnected with increases in UBF protein abundance, suggesting a plausible manner for rRNA transcription regulation in response to RT. We did not find any convincing support for the notion that ribosomal biogenesis is tightly regulated by changes in training volume, however, training cessation may lead to halted ribosome biogenesis. Finally, the rate of increase in total RNA abundance predicted the magnitude of muscle growth.</w:t>
      </w:r>
    </w:p>
    <w:p>
      <w:pPr>
        <w:pStyle w:val="Brdtekst"/>
      </w:pPr>
      <w:r>
        <w:t xml:space="preserve">Several studies have presented evidence of a determinant role for ribosomal biogenesis in RT induced muscle hypertrophy. Increases in total RNA has been shown to positively correlate with RT induced hypertrophy</w:t>
      </w:r>
      <w:r>
        <w:t xml:space="preserve"> </w:t>
      </w:r>
      <w:r>
        <w:t xml:space="preserve">(Figueiredo</w:t>
      </w:r>
      <w:r>
        <w:t xml:space="preserve"> </w:t>
      </w:r>
      <w:r>
        <w:rPr>
          <w:i/>
        </w:rPr>
        <w:t xml:space="preserve">et al.</w:t>
      </w:r>
      <w:r>
        <w:t xml:space="preserve">, 2015;</w:t>
      </w:r>
      <w:r>
        <w:t xml:space="preserve"> </w:t>
      </w:r>
      <w:r>
        <w:t xml:space="preserve"> </w:t>
      </w:r>
      <w:r>
        <w:t xml:space="preserve">Reidy</w:t>
      </w:r>
      <w:r>
        <w:t xml:space="preserve"> </w:t>
      </w:r>
      <w:r>
        <w:rPr>
          <w:i/>
        </w:rPr>
        <w:t xml:space="preserve">et al.</w:t>
      </w:r>
      <w:r>
        <w:t xml:space="preserve">, 2017; Mobley</w:t>
      </w:r>
      <w:r>
        <w:t xml:space="preserve"> </w:t>
      </w:r>
      <w:r>
        <w:rPr>
          <w:i/>
        </w:rPr>
        <w:t xml:space="preserve">et al.</w:t>
      </w:r>
      <w:r>
        <w:t xml:space="preserve">, 2018)</w:t>
      </w:r>
      <w:r>
        <w:t xml:space="preserve">.</w:t>
      </w:r>
      <w:r>
        <w:t xml:space="preserve"> </w:t>
      </w:r>
      <w:r>
        <w:t xml:space="preserve"> </w:t>
      </w:r>
      <w:r>
        <w:t xml:space="preserve">and differs between high- and low-responders to RT</w:t>
      </w:r>
      <w:r>
        <w:t xml:space="preserve"> </w:t>
      </w:r>
      <w:r>
        <w:t xml:space="preserve">(Stec</w:t>
      </w:r>
      <w:r>
        <w:t xml:space="preserve"> </w:t>
      </w:r>
      <w:r>
        <w:rPr>
          <w:i/>
        </w:rPr>
        <w:t xml:space="preserve">et al.</w:t>
      </w:r>
      <w:r>
        <w:t xml:space="preserve">, 2016)</w:t>
      </w:r>
      <w:r>
        <w:t xml:space="preserve">.</w:t>
      </w:r>
      <w:r>
        <w:t xml:space="preserve"> </w:t>
      </w:r>
      <w:r>
        <w:t xml:space="preserve">Additionally, volume-dependent regulation of total RNA predicted beneficial effects of high- vs. low-volume RT</w:t>
      </w:r>
      <w:r>
        <w:t xml:space="preserve"> </w:t>
      </w:r>
      <w:r>
        <w:t xml:space="preserve">(Hammarström</w:t>
      </w:r>
      <w:r>
        <w:t xml:space="preserve"> </w:t>
      </w:r>
      <w:r>
        <w:rPr>
          <w:i/>
        </w:rPr>
        <w:t xml:space="preserve">et al.</w:t>
      </w:r>
      <w:r>
        <w:t xml:space="preserve">, 2020)</w:t>
      </w:r>
      <w:r>
        <w:t xml:space="preserve">. In addition to observational evidence from human studies, blockage of ribosomal biogenesis halts muscle cellular growth</w:t>
      </w:r>
      <w:r>
        <w:t xml:space="preserve"> </w:t>
      </w:r>
      <w:r>
        <w:rPr>
          <w:i/>
        </w:rPr>
        <w:t xml:space="preserve">in vitro</w:t>
      </w:r>
      <w:r>
        <w:t xml:space="preserve"> </w:t>
      </w:r>
      <w:r>
        <w:t xml:space="preserve">in some</w:t>
      </w:r>
      <w:r>
        <w:t xml:space="preserve"> </w:t>
      </w:r>
      <w:r>
        <w:t xml:space="preserve">(Nader</w:t>
      </w:r>
      <w:r>
        <w:t xml:space="preserve"> </w:t>
      </w:r>
      <w:r>
        <w:rPr>
          <w:i/>
        </w:rPr>
        <w:t xml:space="preserve">et al.</w:t>
      </w:r>
      <w:r>
        <w:t xml:space="preserve">, 2005;</w:t>
      </w:r>
      <w:r>
        <w:t xml:space="preserve"> </w:t>
      </w:r>
      <w:r>
        <w:t xml:space="preserve"> </w:t>
      </w:r>
      <w:r>
        <w:t xml:space="preserve">West</w:t>
      </w:r>
      <w:r>
        <w:t xml:space="preserve"> </w:t>
      </w:r>
      <w:r>
        <w:rPr>
          <w:i/>
        </w:rPr>
        <w:t xml:space="preserve">et al.</w:t>
      </w:r>
      <w:r>
        <w:t xml:space="preserve">, 2016 ; Stec</w:t>
      </w:r>
      <w:r>
        <w:t xml:space="preserve"> </w:t>
      </w:r>
      <w:r>
        <w:rPr>
          <w:i/>
        </w:rPr>
        <w:t xml:space="preserve">et al.</w:t>
      </w:r>
      <w:r>
        <w:t xml:space="preserve">, 2016)</w:t>
      </w:r>
      <w:r>
        <w:t xml:space="preserve"> </w:t>
      </w:r>
      <w:r>
        <w:t xml:space="preserve">but not all situations</w:t>
      </w:r>
      <w:r>
        <w:t xml:space="preserve"> </w:t>
      </w:r>
      <w:r>
        <w:t xml:space="preserve">(Crossland</w:t>
      </w:r>
      <w:r>
        <w:t xml:space="preserve"> </w:t>
      </w:r>
      <w:r>
        <w:rPr>
          <w:i/>
        </w:rPr>
        <w:t xml:space="preserve">et al.</w:t>
      </w:r>
      <w:r>
        <w:t xml:space="preserve">, 2017)</w:t>
      </w:r>
      <w:r>
        <w:t xml:space="preserve"> </w:t>
      </w:r>
      <w:r>
        <w:t xml:space="preserve">Results from the present study corroborates the link between ribosomal biogenesis and muscle hypertrophy.</w:t>
      </w:r>
      <w:r>
        <w:t xml:space="preserve"> </w:t>
      </w:r>
      <w:r>
        <w:t xml:space="preserve">When using all available data points we were able to robustly estimate both the rate of increase in total RNA and the average RNA levels over the course of the study and include both when modeling changes in muscle thickness.</w:t>
      </w:r>
      <w:r>
        <w:t xml:space="preserve"> </w:t>
      </w:r>
      <w:r>
        <w:t xml:space="preserve">The results of this analysis showed that the rate of RNA accumulation determined muscle growth when average levels of total RNA was controlled for.</w:t>
      </w:r>
      <w:r>
        <w:t xml:space="preserve"> </w:t>
      </w:r>
      <w:r>
        <w:t xml:space="preserve">In other words, at a fixed relative rate of increase in total RNA, legs with higher levels of RNA did not grow more but at a fixed amount of total RNA, legs with higher increase per session did.</w:t>
      </w:r>
      <w:r>
        <w:t xml:space="preserve"> </w:t>
      </w:r>
      <w:r>
        <w:t xml:space="preserve">This suggest that the absolute ribosomal density is not as important as the rate of increase in ribosomal density.</w:t>
      </w:r>
      <w:r>
        <w:t xml:space="preserve"> </w:t>
      </w:r>
      <w:r>
        <w:t xml:space="preserve">In an homogeneous group, in response to RT, the rate of increase will be highly correlated with maximal values seen after RT, linking maximal rate to the resulting abundance of ribosomes.</w:t>
      </w:r>
      <w:r>
        <w:t xml:space="preserve"> </w:t>
      </w:r>
      <w:r>
        <w:t xml:space="preserve">The same pattern revealed in our model is seen when comparing young and old muscle, where aged muscle display higher levels of total RNA at rest</w:t>
      </w:r>
      <w:r>
        <w:t xml:space="preserve"> </w:t>
      </w:r>
      <w:r>
        <w:t xml:space="preserve">(Stec</w:t>
      </w:r>
      <w:r>
        <w:t xml:space="preserve"> </w:t>
      </w:r>
      <w:r>
        <w:rPr>
          <w:i/>
        </w:rPr>
        <w:t xml:space="preserve">et al.</w:t>
      </w:r>
      <w:r>
        <w:t xml:space="preserve">, 2015)</w:t>
      </w:r>
      <w:r>
        <w:t xml:space="preserve"> </w:t>
      </w:r>
      <w:r>
        <w:t xml:space="preserve">and lower levels of increase in response to RT</w:t>
      </w:r>
      <w:r>
        <w:t xml:space="preserve"> </w:t>
      </w:r>
      <w:r>
        <w:t xml:space="preserve">(Brook</w:t>
      </w:r>
      <w:r>
        <w:t xml:space="preserve"> </w:t>
      </w:r>
      <w:r>
        <w:rPr>
          <w:i/>
        </w:rPr>
        <w:t xml:space="preserve">et al.</w:t>
      </w:r>
      <w:r>
        <w:t xml:space="preserve">, 2016)</w:t>
      </w:r>
      <w:r>
        <w:t xml:space="preserve">.</w:t>
      </w:r>
      <w:r>
        <w:t xml:space="preserve"> </w:t>
      </w:r>
      <w:r>
        <w:t xml:space="preserve">Together with our results this underlines the importance of understanding RT induced ribosomal synthesis in relation to manipulation of training loads for specific populations.</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t xml:space="preserve"> </w:t>
      </w:r>
      <w:r>
        <w:t xml:space="preserve">(Brook</w:t>
      </w:r>
      <w:r>
        <w:t xml:space="preserve"> </w:t>
      </w:r>
      <w:r>
        <w:rPr>
          <w:i/>
        </w:rPr>
        <w:t xml:space="preserve">et al.</w:t>
      </w:r>
      <w:r>
        <w:t xml:space="preserve">, 2015)</w:t>
      </w:r>
      <w:r>
        <w:t xml:space="preserve">,</w:t>
      </w:r>
      <w:r>
        <w:t xml:space="preserve"> </w:t>
      </w:r>
      <w:r>
        <w:t xml:space="preserve">but not in elderly men and women where a decrease was observed in response to training despite increases in total RNA and rRNA</w:t>
      </w:r>
      <w:r>
        <w:t xml:space="preserve"> </w:t>
      </w:r>
      <w:r>
        <w:t xml:space="preserve">(Stec</w:t>
      </w:r>
      <w:r>
        <w:t xml:space="preserve"> </w:t>
      </w:r>
      <w:r>
        <w:rPr>
          <w:i/>
        </w:rPr>
        <w:t xml:space="preserve">et al.</w:t>
      </w:r>
      <w:r>
        <w:t xml:space="preserve">, 2016)</w:t>
      </w:r>
      <w:r>
        <w:t xml:space="preserve">.</w:t>
      </w:r>
      <w:r>
        <w:t xml:space="preserve"> </w:t>
      </w:r>
      <w:r>
        <w:t xml:space="preserve">Although increases were seen in both rpS6 and and total RNA, rpS6 did not explain variations in total RNA when number of sessions were controlled for. Together with a disconnect after the de-training period, this may suggest that regulation of rpS6 expression and transcription of ribosomal RNA displays different temporal characteristics resulting from RT. Additionally, ribosomal proteins may have extra-ribosomal functions</w:t>
      </w:r>
      <w:r>
        <w:t xml:space="preserve"> </w:t>
      </w:r>
      <w:r>
        <w:t xml:space="preserve">affecting their expression</w:t>
      </w:r>
      <w:r>
        <w:t xml:space="preserve"> </w:t>
      </w:r>
      <w:r>
        <w:t xml:space="preserve">(Warner &amp; McIntosh, 2009)</w:t>
      </w:r>
      <w:r>
        <w:t xml:space="preserve">.</w:t>
      </w:r>
    </w:p>
    <w:p>
      <w:pPr>
        <w:pStyle w:val="Brdtekst"/>
      </w:pPr>
      <w:r>
        <w:t xml:space="preserve">Total RNA is the most studied proxy marker of ribosomal density as most of the RNA is assumed to be ribosomal</w:t>
      </w:r>
      <w:r>
        <w:t xml:space="preserve"> </w:t>
      </w:r>
      <w:r>
        <w:t xml:space="preserve">(Young, 1970)</w:t>
      </w:r>
      <w:r>
        <w:t xml:space="preserve">.</w:t>
      </w:r>
      <w:r>
        <w:t xml:space="preserve"> </w:t>
      </w:r>
      <w:r>
        <w:t xml:space="preserve">This marker has been shown to be sensitive to RT in numerous studies</w:t>
      </w:r>
      <w:r>
        <w:t xml:space="preserve"> </w:t>
      </w:r>
      <w:r>
        <w:t xml:space="preserve"> </w:t>
      </w:r>
      <w:r>
        <w:t xml:space="preserve">(Haun</w:t>
      </w:r>
      <w:r>
        <w:t xml:space="preserve"> </w:t>
      </w:r>
      <w:r>
        <w:rPr>
          <w:i/>
        </w:rPr>
        <w:t xml:space="preserve">et al.</w:t>
      </w:r>
      <w:r>
        <w:t xml:space="preserve">, 2019;</w:t>
      </w:r>
      <w:r>
        <w:t xml:space="preserve"> </w:t>
      </w:r>
      <w:r>
        <w:t xml:space="preserve"> </w:t>
      </w:r>
      <w:r>
        <w:t xml:space="preserve">Haddad</w:t>
      </w:r>
      <w:r>
        <w:t xml:space="preserve"> </w:t>
      </w:r>
      <w:r>
        <w:rPr>
          <w:i/>
        </w:rPr>
        <w:t xml:space="preserve">et al.</w:t>
      </w:r>
      <w:r>
        <w:t xml:space="preserve">, 2005;</w:t>
      </w:r>
      <w:r>
        <w:t xml:space="preserve"> </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However, a detailed time course has not been mapped.</w:t>
      </w:r>
      <w:r>
        <w:t xml:space="preserve"> </w:t>
      </w:r>
      <w:r>
        <w:t xml:space="preserve">To date, available data suggests that maximal levels are reached within four to nine sessions in young males and females</w:t>
      </w:r>
      <w:r>
        <w:t xml:space="preserve"> </w:t>
      </w:r>
      <w:r>
        <w:t xml:space="preserve">(Brook</w:t>
      </w:r>
      <w:r>
        <w:t xml:space="preserve"> </w:t>
      </w:r>
      <w:r>
        <w:rPr>
          <w:i/>
        </w:rPr>
        <w:t xml:space="preserve">et al.</w:t>
      </w:r>
      <w:r>
        <w:t xml:space="preserve">, 2016; Hammarström</w:t>
      </w:r>
      <w:r>
        <w:t xml:space="preserve"> </w:t>
      </w:r>
      <w:r>
        <w:rPr>
          <w:i/>
        </w:rPr>
        <w:t xml:space="preserve">et al.</w:t>
      </w:r>
      <w:r>
        <w:t xml:space="preserve">, 2020)</w:t>
      </w:r>
      <w:r>
        <w:t xml:space="preserve">.</w:t>
      </w:r>
      <w:r>
        <w:t xml:space="preserve"> </w:t>
      </w:r>
      <w:r>
        <w:t xml:space="preserve">We did not detect any meaningful further increases after 48 hrs after the eight session were peack the peack average increase was 50% from baseline. This confirmed a plateau when total RNA was expressed per unit tissue weight. A possible reason for the plateau could be attenuated ribosomal biogenesis. However, pre-rRNA abundances per unit tissue weight remained at elevated levels indicating retained transcriptional activity after the twelfth session together with maximal levels of UBF protein. Another possibility is a dilution effect</w:t>
      </w:r>
      <w:r>
        <w:t xml:space="preserve"> </w:t>
      </w:r>
      <w:r>
        <w:t xml:space="preserve">(Figueiredo &amp; McCarthy, 2019)</w:t>
      </w:r>
      <w:r>
        <w:t xml:space="preserve"> </w:t>
      </w:r>
      <w:r>
        <w:t xml:space="preserve">due to muscle hypertrophy and thus protein accretion.</w:t>
      </w:r>
      <w:r>
        <w:t xml:space="preserve"> </w:t>
      </w:r>
      <w:r>
        <w:t xml:space="preserve">After the twelfth session, muscle hypertrophy was apparent and did not change in response to the de-training period.</w:t>
      </w:r>
      <w:r>
        <w:t xml:space="preserve"> </w:t>
      </w:r>
      <w:r>
        <w:t xml:space="preserve">As muscle hypertrophy did not change from after session twelve to after the de-training period, the apparent decrease in total RNA was not driven by dilution but by attenuated rRNA transcription.</w:t>
      </w:r>
      <w:r>
        <w:t xml:space="preserve"> </w:t>
      </w:r>
      <w:r>
        <w:t xml:space="preserve">This notion is supported by normalization of pre-rRNA levels and possibly by lowered levels of UBF protein, although this apparent effect was not confirmed as statistically robust.</w:t>
      </w:r>
    </w:p>
    <w:p>
      <w:pPr>
        <w:pStyle w:val="Brdtekst"/>
      </w:pPr>
      <w:r>
        <w:t xml:space="preserve">Over the full training period UBF levels did robustly explain total RNA levels after accounting for time, something that otherwise would lead to biased estimates as both the dependent variable (total RNA) and the covariate (UBF levels) varies with time.</w:t>
      </w:r>
      <w:r>
        <w:t xml:space="preserve"> </w:t>
      </w:r>
      <w:r>
        <w:t xml:space="preserve">From a mechanistic perspective, UBF is an important factor for rDNA transcription as it, in its active state recruits a secondary transcription factor (SL1) to the rDNA promoter and enables transcription by RNA polymerase I</w:t>
      </w:r>
      <w:r>
        <w:t xml:space="preserve"> </w:t>
      </w:r>
      <w:r>
        <w:t xml:space="preserve">(Lin</w:t>
      </w:r>
      <w:r>
        <w:t xml:space="preserve"> </w:t>
      </w:r>
      <w:r>
        <w:rPr>
          <w:i/>
        </w:rPr>
        <w:t xml:space="preserve">et al.</w:t>
      </w:r>
      <w:r>
        <w:t xml:space="preserve">, 2007)</w:t>
      </w:r>
      <w:r>
        <w:t xml:space="preserve">.</w:t>
      </w:r>
      <w:r>
        <w:t xml:space="preserve"> </w:t>
      </w:r>
      <w:r>
        <w:t xml:space="preserve">Activation of UBF is controlled by signaling from the mechanosensitive mTOR, pathway as rapamycin, a specific mTOR inhibitor, blocks UBF from recruiting SL1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 </w:t>
      </w:r>
      <w:r>
        <w:t xml:space="preserve"> </w:t>
      </w:r>
      <w:r>
        <w:t xml:space="preserve">Evidence from human exercise studies confirms training-induced activation of UBF through phosphorylation</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w:t>
      </w:r>
      <w:r>
        <w:t xml:space="preserve"> </w:t>
      </w:r>
      <w:r>
        <w:t xml:space="preserve">In addition to exercise-induced activation of UBF, mechanical loading also leads to increased levels of total UBF</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 Increases in UBF was determined to be rapamycin insensitive after synergist ablation in mice</w:t>
      </w:r>
      <w:r>
        <w:t xml:space="preserve"> </w:t>
      </w:r>
      <w:r>
        <w:t xml:space="preserve">(Goodman</w:t>
      </w:r>
      <w:r>
        <w:t xml:space="preserve"> </w:t>
      </w:r>
      <w:r>
        <w:rPr>
          <w:i/>
        </w:rPr>
        <w:t xml:space="preserve">et al.</w:t>
      </w:r>
      <w:r>
        <w:t xml:space="preserve">, 2011)</w:t>
      </w:r>
      <w:r>
        <w:t xml:space="preserve"> </w:t>
      </w:r>
      <w:r>
        <w:t xml:space="preserve">pointing to an effect observed in cell models where c-Myc induces UBF mRNA transcription</w:t>
      </w:r>
      <w:r>
        <w:t xml:space="preserve"> </w:t>
      </w:r>
      <w:r>
        <w:t xml:space="preserve">(Poortinga</w:t>
      </w:r>
      <w:r>
        <w:t xml:space="preserve"> </w:t>
      </w:r>
      <w:r>
        <w:rPr>
          <w:i/>
        </w:rPr>
        <w:t xml:space="preserve">et al.</w:t>
      </w:r>
      <w:r>
        <w:t xml:space="preserve">, 2004)</w:t>
      </w:r>
      <w:r>
        <w:t xml:space="preserve">.</w:t>
      </w:r>
      <w:r>
        <w:t xml:space="preserve"> </w:t>
      </w:r>
      <w:r>
        <w:t xml:space="preserve">Interestingly the avalability of UBF</w:t>
      </w:r>
      <w:r>
        <w:t xml:space="preserve"> </w:t>
      </w:r>
      <w:r>
        <w:rPr>
          <w:i/>
        </w:rPr>
        <w:t xml:space="preserve">per se</w:t>
      </w:r>
      <w:r>
        <w:t xml:space="preserve"> </w:t>
      </w:r>
      <w:r>
        <w:t xml:space="preserve">has been shown to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r>
        <w:t xml:space="preserve"> </w:t>
      </w:r>
      <w:r>
        <w:t xml:space="preserve">Together with our observations, this underlines the importance of UBF as a regulator of RT-induced ribosomal biogenesis.</w:t>
      </w:r>
    </w:p>
    <w:p>
      <w:pPr>
        <w:pStyle w:val="Brdtekst"/>
      </w:pPr>
      <w:r>
        <w:t xml:space="preserve">Resistance training volume is known to be a potent modulator of molecular mechanisms determining protein synthesis and ribosomal biogenesis including c-Myc induction, mTOR activation</w:t>
      </w:r>
      <w:r>
        <w:t xml:space="preserve"> </w:t>
      </w:r>
      <w:r>
        <w:t xml:space="preserve">(Hammarström</w:t>
      </w:r>
      <w:r>
        <w:t xml:space="preserve"> </w:t>
      </w:r>
      <w:r>
        <w:rPr>
          <w:i/>
        </w:rPr>
        <w:t xml:space="preserve">et al.</w:t>
      </w:r>
      <w:r>
        <w:t xml:space="preserve">, 2020;</w:t>
      </w:r>
      <w:r>
        <w:t xml:space="preserve"> </w:t>
      </w:r>
      <w:r>
        <w:t xml:space="preserve"> </w:t>
      </w:r>
      <w:r>
        <w:t xml:space="preserve">Ahtiainen</w:t>
      </w:r>
      <w:r>
        <w:t xml:space="preserve"> </w:t>
      </w:r>
      <w:r>
        <w:rPr>
          <w:i/>
        </w:rPr>
        <w:t xml:space="preserve">et al.</w:t>
      </w:r>
      <w:r>
        <w:t xml:space="preserve">, 2015;</w:t>
      </w:r>
      <w:r>
        <w:t xml:space="preserve"> </w:t>
      </w:r>
      <w:r>
        <w:t xml:space="preserve"> </w:t>
      </w:r>
      <w:r>
        <w:t xml:space="preserve">Burd</w:t>
      </w:r>
      <w:r>
        <w:t xml:space="preserve"> </w:t>
      </w:r>
      <w:r>
        <w:rPr>
          <w:i/>
        </w:rPr>
        <w:t xml:space="preserve">et al.</w:t>
      </w:r>
      <w:r>
        <w:t xml:space="preserve">, 2010)</w:t>
      </w:r>
      <w:r>
        <w:t xml:space="preserve">,</w:t>
      </w:r>
      <w:r>
        <w:t xml:space="preserve"> </w:t>
      </w:r>
      <w:r>
        <w:t xml:space="preserve">subsequent 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(Burd</w:t>
      </w:r>
      <w:r>
        <w:t xml:space="preserve"> </w:t>
      </w:r>
      <w:r>
        <w:rPr>
          <w:i/>
        </w:rPr>
        <w:t xml:space="preserve">et al.</w:t>
      </w:r>
      <w:r>
        <w:t xml:space="preserve">, 2010)</w:t>
      </w:r>
      <w:r>
        <w:t xml:space="preserve"> </w:t>
      </w:r>
      <w:r>
        <w:t xml:space="preserve">and subsequent training outcomes</w:t>
      </w:r>
      <w:r>
        <w:t xml:space="preserve"> </w:t>
      </w:r>
      <w:r>
        <w:t xml:space="preserve">(Schoenfeld</w:t>
      </w:r>
      <w:r>
        <w:t xml:space="preserve"> </w:t>
      </w:r>
      <w:r>
        <w:rPr>
          <w:i/>
        </w:rPr>
        <w:t xml:space="preserve">et al.</w:t>
      </w:r>
      <w:r>
        <w:t xml:space="preserve">, 2016; Hammarström</w:t>
      </w:r>
      <w:r>
        <w:t xml:space="preserve"> </w:t>
      </w:r>
      <w:r>
        <w:rPr>
          <w:i/>
        </w:rPr>
        <w:t xml:space="preserve">et al.</w:t>
      </w:r>
      <w:r>
        <w:t xml:space="preserve">, 2020)</w:t>
      </w:r>
      <w:r>
        <w:t xml:space="preserve">.</w:t>
      </w:r>
      <w:r>
        <w:t xml:space="preserve"> </w:t>
      </w:r>
      <w:r>
        <w:t xml:space="preserve">We have previously shown that different amounts of training volume in constant volume protocols leads to differences in total RNA and rRNA accumulation in the initial phase of RT</w:t>
      </w:r>
      <w:r>
        <w:t xml:space="preserve"> </w:t>
      </w:r>
      <w:r>
        <w:t xml:space="preserve">(Hammarström</w:t>
      </w:r>
      <w:r>
        <w:t xml:space="preserve"> </w:t>
      </w:r>
      <w:r>
        <w:rPr>
          <w:i/>
        </w:rPr>
        <w:t xml:space="preserve">et al.</w:t>
      </w:r>
      <w:r>
        <w:t xml:space="preserve">, 2020)</w:t>
      </w:r>
      <w:r>
        <w:t xml:space="preserve">.</w:t>
      </w:r>
      <w:r>
        <w:t xml:space="preserve"> </w:t>
      </w:r>
      <w:r>
        <w:t xml:space="preserve">Based on the notion that ribosomal biogenesis is a complex and energy demanding process</w:t>
      </w:r>
      <w:r>
        <w:t xml:space="preserve"> </w:t>
      </w:r>
      <w:r>
        <w:t xml:space="preserve">(Warner, 1999)</w:t>
      </w:r>
      <w:r>
        <w:t xml:space="preserve">,</w:t>
      </w:r>
      <w:r>
        <w:t xml:space="preserve"> </w:t>
      </w:r>
      <w:r>
        <w:t xml:space="preserve">we hypnotized that fluctuations in training load would reflect in markers of ribosomal biogenesis.</w:t>
      </w:r>
      <w:r>
        <w:t xml:space="preserve"> </w:t>
      </w:r>
      <w:r>
        <w:t xml:space="preserve">When comparing the two volume conditions in the present study we only found one part of the 45S ETS to be differentially expressed at Session 12 in favor of VAR together with a tendency of a rescued UBF level after de-training in response to increased volume in the VAR protocol.</w:t>
      </w:r>
      <w:r>
        <w:t xml:space="preserve"> </w:t>
      </w:r>
      <w:r>
        <w:t xml:space="preserve">These observations do not give much support for a clear effect of fluctuations in training volume in the short time span used in the present study although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also increased strength and induced muscle hypertrophy to a similar degree.</w:t>
      </w:r>
      <w:r>
        <w:t xml:space="preserve"> </w:t>
      </w:r>
      <w:r>
        <w:t xml:space="preserve">From a general perspective, although volume is an important factor for increases in muscle strength and mass</w:t>
      </w:r>
      <w:r>
        <w:t xml:space="preserve"> </w:t>
      </w:r>
      <w:r>
        <w:t xml:space="preserve">(Schoenfeld</w:t>
      </w:r>
      <w:r>
        <w:t xml:space="preserve"> </w:t>
      </w:r>
      <w:r>
        <w:rPr>
          <w:i/>
        </w:rPr>
        <w:t xml:space="preserve">et al.</w:t>
      </w:r>
      <w:r>
        <w:t xml:space="preserve">, 2016;</w:t>
      </w:r>
      <w:r>
        <w:t xml:space="preserve"> </w:t>
      </w:r>
      <w:r>
        <w:t xml:space="preserve"> </w:t>
      </w:r>
      <w:r>
        <w:t xml:space="preserve">Ralston</w:t>
      </w:r>
      <w:r>
        <w:t xml:space="preserve"> </w:t>
      </w:r>
      <w:r>
        <w:rPr>
          <w:i/>
        </w:rPr>
        <w:t xml:space="preserve">et al.</w:t>
      </w:r>
      <w:r>
        <w:t xml:space="preserve">, 2017)</w:t>
      </w:r>
      <w:r>
        <w:t xml:space="preserve"> </w:t>
      </w:r>
      <w:r>
        <w:t xml:space="preserve">different organization of training loads over time is likely of minor importance when training volumes are equated</w:t>
      </w:r>
      <w:r>
        <w:t xml:space="preserve"> </w:t>
      </w:r>
      <w:r>
        <w:t xml:space="preserve">(Grgic</w:t>
      </w:r>
      <w:r>
        <w:t xml:space="preserve"> </w:t>
      </w:r>
      <w:r>
        <w:rPr>
          <w:i/>
        </w:rPr>
        <w:t xml:space="preserve">et al.</w:t>
      </w:r>
      <w:r>
        <w:t xml:space="preserve">, 2017)</w:t>
      </w:r>
      <w:r>
        <w:t xml:space="preserve">.</w:t>
      </w:r>
      <w:r>
        <w:t xml:space="preserve"> </w:t>
      </w:r>
      <w:r>
        <w:t xml:space="preserve">It is important to note that RT in the current study was performed with constant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high volume condition in a previous study from our lab (three sets in two exercises activating knee extensor muscles)</w:t>
      </w:r>
      <w:r>
        <w:t xml:space="preserve"> </w:t>
      </w:r>
      <w:r>
        <w:t xml:space="preserve">(Hammarström</w:t>
      </w:r>
      <w:r>
        <w:t xml:space="preserve"> </w:t>
      </w:r>
      <w:r>
        <w:rPr>
          <w:i/>
        </w:rPr>
        <w:t xml:space="preserve">et al.</w:t>
      </w:r>
      <w:r>
        <w:t xml:space="preserve">, 2020)</w:t>
      </w:r>
      <w:r>
        <w:t xml:space="preserve">.</w:t>
      </w:r>
      <w:r>
        <w:t xml:space="preserve"> </w:t>
      </w:r>
      <w:r>
        <w:t xml:space="preserve">There, higher levels of total RNA accumulation were observed compared to a low volume protocol</w:t>
      </w:r>
      <w:r>
        <w:t xml:space="preserve"> </w:t>
      </w:r>
      <w:r>
        <w:t xml:space="preserve">(Hammarström</w:t>
      </w:r>
      <w:r>
        <w:t xml:space="preserve"> </w:t>
      </w:r>
      <w:r>
        <w:rPr>
          <w:i/>
        </w:rPr>
        <w:t xml:space="preserve">et al.</w:t>
      </w:r>
      <w:r>
        <w:t xml:space="preserve">, 2020)</w:t>
      </w:r>
      <w:r>
        <w:t xml:space="preserve">.</w:t>
      </w:r>
      <w:r>
        <w:t xml:space="preserve"> </w:t>
      </w:r>
      <w:r>
        <w:t xml:space="preserve">Interestingly, using a progressive volume protocol in well-trained participants, increases in total RNA have been reported throughout six weeks of training</w:t>
      </w:r>
      <w:r>
        <w:t xml:space="preserve"> </w:t>
      </w:r>
      <w:r>
        <w:t xml:space="preserve">(Mobley</w:t>
      </w:r>
      <w:r>
        <w:t xml:space="preserve"> </w:t>
      </w:r>
      <w:r>
        <w:rPr>
          <w:i/>
        </w:rPr>
        <w:t xml:space="preserve">et al.</w:t>
      </w:r>
      <w:r>
        <w:t xml:space="preserve">, 2018)</w:t>
      </w:r>
      <w:r>
        <w:t xml:space="preserve">.</w:t>
      </w:r>
      <w:r>
        <w:t xml:space="preserve"> </w:t>
      </w:r>
      <w:r>
        <w:t xml:space="preserve">Compared to the present study and other using constant volume protocols</w:t>
      </w:r>
      <w:r>
        <w:t xml:space="preserve"> </w:t>
      </w:r>
      <w:r>
        <w:t xml:space="preserve">(Brook</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progressive volume may thus increase ribosomal abundance to a higher degree and provide a measure to avoid the plateau phase seen in the present study.</w:t>
      </w:r>
      <w:r>
        <w:t xml:space="preserve"> </w:t>
      </w:r>
      <w:r>
        <w:t xml:space="preserve">This observation was done in well-trained participants performing a high volume protocol without a control group condition with constant volume.</w:t>
      </w:r>
    </w:p>
    <w:p>
      <w:pPr>
        <w:pStyle w:val="Brdtekst"/>
      </w:pPr>
      <w:r>
        <w:t xml:space="preserve">In conclusion, RT induced ribosome accumulation reaches peak values in the initial phase of RT (8-12 sessions) affected by total levels of UBF. Fluctuations in training volume does not transfer to fluctuations in ribosomal biogenesis a moderate volume initiation of RT but training cessation does lead to attenuated ribosomal biogenesis. The rate of total RNA accumulation predicts RT induced muscle hypertrophy.</w:t>
      </w:r>
    </w:p>
    <w:p>
      <w:pPr>
        <w:pStyle w:val="Overskrift1"/>
      </w:pPr>
      <w:bookmarkStart w:id="34" w:name="references"/>
      <w:r>
        <w:t xml:space="preserve">References</w:t>
      </w:r>
      <w:bookmarkEnd w:id="34"/>
    </w:p>
    <w:bookmarkStart w:id="90" w:name="refs"/>
    <w:bookmarkStart w:id="35" w:name="ref-RN1837"/>
    <w:p>
      <w:pPr>
        <w:pStyle w:val="Bibliografi"/>
      </w:pPr>
      <w:r>
        <w:t xml:space="preserve">Ahtiainen JP, Walker S, Silvennoinen M, Kyrolainen H, Nindl BC, Hakkinen K, Nyman K, Selanne H &amp; Hulmi JJ (2015). Exercise type and volume alter signaling pathways regulating skeletal muscle glucose uptake and protein synthesis.</w:t>
      </w:r>
      <w:r>
        <w:t xml:space="preserve"> </w:t>
      </w:r>
      <w:r>
        <w:rPr>
          <w:i/>
        </w:rPr>
        <w:t xml:space="preserve">Eur J Appl Physiol</w:t>
      </w:r>
      <w:r>
        <w:t xml:space="preserve"> </w:t>
      </w:r>
      <w:r>
        <w:rPr>
          <w:b/>
        </w:rPr>
        <w:t xml:space="preserve">115,</w:t>
      </w:r>
      <w:r>
        <w:t xml:space="preserve"> </w:t>
      </w:r>
      <w:r>
        <w:t xml:space="preserve">1835–1845.</w:t>
      </w:r>
    </w:p>
    <w:bookmarkEnd w:id="35"/>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791"/>
    <w:p>
      <w:pPr>
        <w:pStyle w:val="Bibliografi"/>
      </w:pPr>
      <w:r>
        <w:t xml:space="preserve">Burd NA, Holwerda AM, Selby KC, West DW, Staples AW, Cain NE, Cashaback JG, Potvin JR, Baker SK &amp; Phillips SM (2010). Resistance exercise volume affects myofibrillar protein synthesis and anabolic signalling molecule phosphorylation in young men.</w:t>
      </w:r>
      <w:r>
        <w:t xml:space="preserve"> </w:t>
      </w:r>
      <w:r>
        <w:rPr>
          <w:i/>
        </w:rPr>
        <w:t xml:space="preserve">J Physiol</w:t>
      </w:r>
      <w:r>
        <w:t xml:space="preserve"> </w:t>
      </w:r>
      <w:r>
        <w:rPr>
          <w:b/>
        </w:rPr>
        <w:t xml:space="preserve">588,</w:t>
      </w:r>
      <w:r>
        <w:t xml:space="preserve"> </w:t>
      </w:r>
      <w:r>
        <w:t xml:space="preserve">3119–3130.</w:t>
      </w:r>
    </w:p>
    <w:bookmarkEnd w:id="39"/>
    <w:bookmarkStart w:id="40"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40"/>
    <w:bookmarkStart w:id="42" w:name="ref-RN1929"/>
    <w:p>
      <w:pPr>
        <w:pStyle w:val="Bibliografi"/>
      </w:pPr>
      <w:r>
        <w:t xml:space="preserve">Crossland H, Timmons JA &amp; Atherton PJ (2017). A dynamic ribosomal biogenesis response is not required for igf-1-mediated hypertrophy of human primary myotubes.</w:t>
      </w:r>
      <w:r>
        <w:t xml:space="preserve"> </w:t>
      </w:r>
      <w:r>
        <w:rPr>
          <w:i/>
        </w:rPr>
        <w:t xml:space="preserve">Faseb j</w:t>
      </w:r>
      <w:r>
        <w:t xml:space="preserve">; DOI:</w:t>
      </w:r>
      <w:r>
        <w:t xml:space="preserve"> </w:t>
      </w:r>
      <w:hyperlink r:id="rId41">
        <w:r>
          <w:rPr>
            <w:rStyle w:val="Hyperkobling"/>
          </w:rPr>
          <w:t xml:space="preserve">10.1096/fj.201700329R</w:t>
        </w:r>
      </w:hyperlink>
      <w:r>
        <w:t xml:space="preserve">.</w:t>
      </w:r>
    </w:p>
    <w:bookmarkEnd w:id="42"/>
    <w:bookmarkStart w:id="43"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43"/>
    <w:bookmarkStart w:id="45"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4">
        <w:r>
          <w:rPr>
            <w:rStyle w:val="Hyperkobling"/>
          </w:rPr>
          <w:t xml:space="preserve">http://dx.doi.org/10.1007/978-981-10-3292-9_6</w:t>
        </w:r>
      </w:hyperlink>
      <w:r>
        <w:t xml:space="preserve">.</w:t>
      </w:r>
    </w:p>
    <w:bookmarkEnd w:id="45"/>
    <w:bookmarkStart w:id="46" w:name="ref-RN2142"/>
    <w:p>
      <w:pPr>
        <w:pStyle w:val="Bibliografi"/>
      </w:pPr>
      <w:r>
        <w:t xml:space="preserve">Figueiredo VC &amp; McCarthy JJ (2019). Regulation of ribosome biogenesis in skeletal muscle hypertrophy.</w:t>
      </w:r>
      <w:r>
        <w:t xml:space="preserve"> </w:t>
      </w:r>
      <w:r>
        <w:rPr>
          <w:i/>
        </w:rPr>
        <w:t xml:space="preserve">Physiology (Bethesda)</w:t>
      </w:r>
      <w:r>
        <w:t xml:space="preserve"> </w:t>
      </w:r>
      <w:r>
        <w:rPr>
          <w:b/>
        </w:rPr>
        <w:t xml:space="preserve">34,</w:t>
      </w:r>
      <w:r>
        <w:t xml:space="preserve"> </w:t>
      </w:r>
      <w:r>
        <w:t xml:space="preserve">30–42.</w:t>
      </w:r>
    </w:p>
    <w:bookmarkEnd w:id="46"/>
    <w:bookmarkStart w:id="48" w:name="ref-RN1746"/>
    <w:p>
      <w:pPr>
        <w:pStyle w:val="Bibliografi"/>
      </w:pPr>
      <w:r>
        <w:t xml:space="preserve">Figueiredo VC, Roberts LA, Markworth JF, Barnett MP, Coombes JS, Raastad T, Peake JM &amp; Cameron-Smith D (2016). Impact of resistance exercise on ribosome biogenesis is acutely regulated by post-exercise recovery strategies.</w:t>
      </w:r>
      <w:r>
        <w:t xml:space="preserve"> </w:t>
      </w:r>
      <w:r>
        <w:rPr>
          <w:i/>
        </w:rPr>
        <w:t xml:space="preserve">Physiol Rep</w:t>
      </w:r>
      <w:r>
        <w:t xml:space="preserve">; DOI:</w:t>
      </w:r>
      <w:r>
        <w:t xml:space="preserve"> </w:t>
      </w:r>
      <w:hyperlink r:id="rId47">
        <w:r>
          <w:rPr>
            <w:rStyle w:val="Hyperkobling"/>
          </w:rPr>
          <w:t xml:space="preserve">10.14814/phy2.12670</w:t>
        </w:r>
      </w:hyperlink>
      <w:r>
        <w:t xml:space="preserve">.</w:t>
      </w:r>
    </w:p>
    <w:bookmarkEnd w:id="48"/>
    <w:bookmarkStart w:id="49" w:name="ref-RN1072"/>
    <w:p>
      <w:pPr>
        <w:pStyle w:val="Bibliografi"/>
      </w:pPr>
      <w:r>
        <w:t xml:space="preserve">Goodman CA, Frey JW, Mabrey DM, Jacobs BL, Lincoln HC, You JS &amp; Hornberger TA (2011). The role of skeletal muscle mTOR in the regulation of mechanical load-induced growth.</w:t>
      </w:r>
      <w:r>
        <w:t xml:space="preserve"> </w:t>
      </w:r>
      <w:r>
        <w:rPr>
          <w:i/>
        </w:rPr>
        <w:t xml:space="preserve">J Physiol</w:t>
      </w:r>
      <w:r>
        <w:t xml:space="preserve"> </w:t>
      </w:r>
      <w:r>
        <w:rPr>
          <w:b/>
        </w:rPr>
        <w:t xml:space="preserve">589,</w:t>
      </w:r>
      <w:r>
        <w:t xml:space="preserve"> </w:t>
      </w:r>
      <w:r>
        <w:t xml:space="preserve">5485–5501.</w:t>
      </w:r>
    </w:p>
    <w:bookmarkEnd w:id="49"/>
    <w:bookmarkStart w:id="50" w:name="ref-RN2572"/>
    <w:p>
      <w:pPr>
        <w:pStyle w:val="Bibliografi"/>
      </w:pPr>
      <w:r>
        <w:t xml:space="preserve">Grgic J, Mikulic P, Podnar H &amp; Pedisic Z (2017). Effects of linear and daily undulating periodized resistance training programs on measures of muscle hypertrophy: A systematic review and meta-analysis.</w:t>
      </w:r>
      <w:r>
        <w:t xml:space="preserve"> </w:t>
      </w:r>
      <w:r>
        <w:rPr>
          <w:i/>
        </w:rPr>
        <w:t xml:space="preserve">PeerJ</w:t>
      </w:r>
      <w:r>
        <w:t xml:space="preserve"> </w:t>
      </w:r>
      <w:r>
        <w:rPr>
          <w:b/>
        </w:rPr>
        <w:t xml:space="preserve">5,</w:t>
      </w:r>
      <w:r>
        <w:t xml:space="preserve"> </w:t>
      </w:r>
      <w:r>
        <w:t xml:space="preserve">e3695–e3695.</w:t>
      </w:r>
    </w:p>
    <w:bookmarkEnd w:id="50"/>
    <w:bookmarkStart w:id="51" w:name="ref-RN2180"/>
    <w:p>
      <w:pPr>
        <w:pStyle w:val="Bibliografi"/>
      </w:pPr>
      <w:r>
        <w:t xml:space="preserve">Haddad F, Baldwin KM &amp; Tesch PA (2005). Pretranslational markers of contractile protein expression in human skeletal muscle: Effect of limb unloading plus resistance exercise.</w:t>
      </w:r>
      <w:r>
        <w:t xml:space="preserve"> </w:t>
      </w:r>
      <w:r>
        <w:rPr>
          <w:i/>
        </w:rPr>
        <w:t xml:space="preserve">J Appl Physiol (1985)</w:t>
      </w:r>
      <w:r>
        <w:t xml:space="preserve"> </w:t>
      </w:r>
      <w:r>
        <w:rPr>
          <w:b/>
        </w:rPr>
        <w:t xml:space="preserve">98,</w:t>
      </w:r>
      <w:r>
        <w:t xml:space="preserve"> </w:t>
      </w:r>
      <w:r>
        <w:t xml:space="preserve">46–52.</w:t>
      </w:r>
    </w:p>
    <w:bookmarkEnd w:id="51"/>
    <w:bookmarkStart w:id="53"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52">
        <w:r>
          <w:rPr>
            <w:rStyle w:val="Hyperkobling"/>
          </w:rPr>
          <w:t xml:space="preserve">https://www.jstatsoft.org/v033/i02
http://dx.doi.org/10.18637/jss.v033.i02</w:t>
        </w:r>
      </w:hyperlink>
      <w:r>
        <w:t xml:space="preserve">.</w:t>
      </w:r>
    </w:p>
    <w:bookmarkEnd w:id="53"/>
    <w:bookmarkStart w:id="54"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54"/>
    <w:bookmarkStart w:id="55" w:name="ref-RN2564"/>
    <w:p>
      <w:pPr>
        <w:pStyle w:val="Bibliografi"/>
      </w:pPr>
      <w:r>
        <w:t xml:space="preserve">Hannan KM, Brandenburger Y, Jenkins A, Sharkey K, Cavanaugh A, Rothblum L, Moss T, Poortinga G, McArthur GA, Pearson RB &amp; Hannan RD (2003).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w:t>
      </w:r>
      <w:r>
        <w:rPr>
          <w:b/>
        </w:rPr>
        <w:t xml:space="preserve">23,</w:t>
      </w:r>
      <w:r>
        <w:t xml:space="preserve"> </w:t>
      </w:r>
      <w:r>
        <w:t xml:space="preserve">8862–8877.</w:t>
      </w:r>
    </w:p>
    <w:bookmarkEnd w:id="55"/>
    <w:bookmarkStart w:id="56" w:name="ref-RN2566"/>
    <w:p>
      <w:pPr>
        <w:pStyle w:val="Bibliografi"/>
      </w:pPr>
      <w:r>
        <w:t xml:space="preserve">Hannan RD, Stefanovsky V, Taylor L, Moss T &amp; Rothblum LI (1996).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w:t>
      </w:r>
      <w:r>
        <w:rPr>
          <w:b/>
        </w:rPr>
        <w:t xml:space="preserve">93,</w:t>
      </w:r>
      <w:r>
        <w:t xml:space="preserve"> </w:t>
      </w:r>
      <w:r>
        <w:t xml:space="preserve">8750–8755.</w:t>
      </w:r>
    </w:p>
    <w:bookmarkEnd w:id="56"/>
    <w:bookmarkStart w:id="58" w:name="ref-RN2225"/>
    <w:p>
      <w:pPr>
        <w:pStyle w:val="Bibliografi"/>
      </w:pPr>
      <w:r>
        <w:t xml:space="preserve">Haun CT, Vann CG, Mobley CB, Osburn SC, Mumford PW, Roberson PA, Romero MA, Fox CD, Parry HA, Kavazis AN, Moon JR, Young KC &amp; Roberts MD (2019).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DOI:</w:t>
      </w:r>
      <w:r>
        <w:t xml:space="preserve"> </w:t>
      </w:r>
      <w:hyperlink r:id="rId57">
        <w:r>
          <w:rPr>
            <w:rStyle w:val="Hyperkobling"/>
          </w:rPr>
          <w:t xml:space="preserve">10.3389/fphys.2019.00297</w:t>
        </w:r>
      </w:hyperlink>
      <w:r>
        <w:t xml:space="preserve">.</w:t>
      </w:r>
    </w:p>
    <w:bookmarkEnd w:id="58"/>
    <w:bookmarkStart w:id="59"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59"/>
    <w:bookmarkStart w:id="60"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60"/>
    <w:bookmarkStart w:id="61" w:name="ref-RN2563"/>
    <w:p>
      <w:pPr>
        <w:pStyle w:val="Bibliografi"/>
      </w:pPr>
      <w:r>
        <w:t xml:space="preserve">Lin CH, Platt MD, Ficarro SB, Hoofnagle MH, Shabanowitz J, Comai L, Hunt DF &amp; Owens GK (2007). Mass spectrometric identification of phosphorylation sites of rRNA transcription factor upstream binding factor.</w:t>
      </w:r>
      <w:r>
        <w:t xml:space="preserve"> </w:t>
      </w:r>
      <w:r>
        <w:rPr>
          <w:i/>
        </w:rPr>
        <w:t xml:space="preserve">Am J Physiol Cell Physiol</w:t>
      </w:r>
      <w:r>
        <w:t xml:space="preserve"> </w:t>
      </w:r>
      <w:r>
        <w:rPr>
          <w:b/>
        </w:rPr>
        <w:t xml:space="preserve">292,</w:t>
      </w:r>
      <w:r>
        <w:t xml:space="preserve"> </w:t>
      </w:r>
      <w:r>
        <w:t xml:space="preserve">C1617–24.</w:t>
      </w:r>
    </w:p>
    <w:bookmarkEnd w:id="61"/>
    <w:bookmarkStart w:id="62"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62"/>
    <w:bookmarkStart w:id="63" w:name="ref-RN2145"/>
    <w:p>
      <w:pPr>
        <w:pStyle w:val="Bibliografi"/>
      </w:pPr>
      <w:r>
        <w:t xml:space="preserve">Millward DJ, Garlick PJ, James WPT, Nnanyelugo DO &amp; Ryatt JS (1973). Relationship between protein synthesis and rna content in skeletal muscle.</w:t>
      </w:r>
      <w:r>
        <w:t xml:space="preserve"> </w:t>
      </w:r>
      <w:r>
        <w:rPr>
          <w:i/>
        </w:rPr>
        <w:t xml:space="preserve">Nature</w:t>
      </w:r>
      <w:r>
        <w:t xml:space="preserve"> </w:t>
      </w:r>
      <w:r>
        <w:rPr>
          <w:b/>
        </w:rPr>
        <w:t xml:space="preserve">241,</w:t>
      </w:r>
      <w:r>
        <w:t xml:space="preserve"> </w:t>
      </w:r>
      <w:r>
        <w:t xml:space="preserve">204.</w:t>
      </w:r>
    </w:p>
    <w:bookmarkEnd w:id="63"/>
    <w:bookmarkStart w:id="64" w:name="ref-RN2055"/>
    <w:p>
      <w:pPr>
        <w:pStyle w:val="Bibliografi"/>
      </w:pPr>
      <w:r>
        <w:t xml:space="preserve">Mobley CB, Haun CT, Roberson PA, Mumford PW, Kephart WC, Romero MA, Osburn SC, Vann CG, Young KC, Beck DT, Martin JS, Lockwood CM &amp; Roberts MD (2018). Biomarkers associated with low, moderate, and high vastus lateralis muscle hypertrophy following 12 weeks of resistance training.</w:t>
      </w:r>
      <w:r>
        <w:t xml:space="preserve"> </w:t>
      </w:r>
      <w:r>
        <w:rPr>
          <w:i/>
        </w:rPr>
        <w:t xml:space="preserve">PLoS One</w:t>
      </w:r>
      <w:r>
        <w:t xml:space="preserve"> </w:t>
      </w:r>
      <w:r>
        <w:rPr>
          <w:b/>
        </w:rPr>
        <w:t xml:space="preserve">13,</w:t>
      </w:r>
      <w:r>
        <w:t xml:space="preserve"> </w:t>
      </w:r>
      <w:r>
        <w:t xml:space="preserve">e0195203.</w:t>
      </w:r>
    </w:p>
    <w:bookmarkEnd w:id="64"/>
    <w:bookmarkStart w:id="65"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65"/>
    <w:bookmarkStart w:id="66" w:name="ref-RN1632"/>
    <w:p>
      <w:pPr>
        <w:pStyle w:val="Bibliografi"/>
      </w:pPr>
      <w:r>
        <w:t xml:space="preserve">Nader GA, McLoughlin TJ &amp; Esser KA (2005). MTOR function in skeletal muscle hypertrophy: Increased ribosomal rna via cell cycle regulators.</w:t>
      </w:r>
      <w:r>
        <w:t xml:space="preserve"> </w:t>
      </w:r>
      <w:r>
        <w:rPr>
          <w:i/>
        </w:rPr>
        <w:t xml:space="preserve">Am J Physiol Cell Physiol</w:t>
      </w:r>
      <w:r>
        <w:t xml:space="preserve"> </w:t>
      </w:r>
      <w:r>
        <w:rPr>
          <w:b/>
        </w:rPr>
        <w:t xml:space="preserve">289,</w:t>
      </w:r>
      <w:r>
        <w:t xml:space="preserve"> </w:t>
      </w:r>
      <w:r>
        <w:t xml:space="preserve">C1457–65.</w:t>
      </w:r>
    </w:p>
    <w:bookmarkEnd w:id="66"/>
    <w:bookmarkStart w:id="67"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67"/>
    <w:bookmarkStart w:id="68"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68"/>
    <w:bookmarkStart w:id="69"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69"/>
    <w:bookmarkStart w:id="70" w:name="ref-RN2565"/>
    <w:p>
      <w:pPr>
        <w:pStyle w:val="Bibliografi"/>
      </w:pPr>
      <w:r>
        <w:t xml:space="preserve">Poortinga G, Hannan KM, Snelling H, Walkley CR, Jenkins A, Sharkey K, Wall M, Brandenburger Y, Palatsides M, Pearson RB, McArthur GA &amp; Hannan RD (2004). MAD1 and c-myc regulate ubf and rDNA transcription during granulocyte differentiation.</w:t>
      </w:r>
      <w:r>
        <w:t xml:space="preserve"> </w:t>
      </w:r>
      <w:r>
        <w:rPr>
          <w:i/>
        </w:rPr>
        <w:t xml:space="preserve">The EMBO Journal</w:t>
      </w:r>
      <w:r>
        <w:t xml:space="preserve"> </w:t>
      </w:r>
      <w:r>
        <w:rPr>
          <w:b/>
        </w:rPr>
        <w:t xml:space="preserve">23,</w:t>
      </w:r>
      <w:r>
        <w:t xml:space="preserve"> </w:t>
      </w:r>
      <w:r>
        <w:t xml:space="preserve">3325–3335.</w:t>
      </w:r>
    </w:p>
    <w:bookmarkEnd w:id="70"/>
    <w:bookmarkStart w:id="71" w:name="ref-RN2492"/>
    <w:p>
      <w:pPr>
        <w:pStyle w:val="Bibliografi"/>
      </w:pPr>
      <w:r>
        <w:t xml:space="preserve">Ralston GW, Kilgore L, Wyatt FB &amp; Baker JS (2017). The effect of weekly set volume on strength gain: A meta-analysis.</w:t>
      </w:r>
      <w:r>
        <w:t xml:space="preserve"> </w:t>
      </w:r>
      <w:r>
        <w:rPr>
          <w:i/>
        </w:rPr>
        <w:t xml:space="preserve">Sports Med</w:t>
      </w:r>
      <w:r>
        <w:t xml:space="preserve"> </w:t>
      </w:r>
      <w:r>
        <w:rPr>
          <w:b/>
        </w:rPr>
        <w:t xml:space="preserve">47,</w:t>
      </w:r>
      <w:r>
        <w:t xml:space="preserve"> </w:t>
      </w:r>
      <w:r>
        <w:t xml:space="preserve">2585–2601.</w:t>
      </w:r>
    </w:p>
    <w:bookmarkEnd w:id="71"/>
    <w:bookmarkStart w:id="73"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72">
        <w:r>
          <w:rPr>
            <w:rStyle w:val="Hyperkobling"/>
          </w:rPr>
          <w:t xml:space="preserve">https://www.R-project.org/</w:t>
        </w:r>
      </w:hyperlink>
      <w:r>
        <w:t xml:space="preserve">.</w:t>
      </w:r>
    </w:p>
    <w:bookmarkEnd w:id="73"/>
    <w:bookmarkStart w:id="74"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74"/>
    <w:bookmarkStart w:id="75"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75"/>
    <w:bookmarkStart w:id="76" w:name="ref-RN2556"/>
    <w:p>
      <w:pPr>
        <w:pStyle w:val="Bibliografi"/>
      </w:pPr>
      <w:r>
        <w:t xml:space="preserve">Sanij E, Poortinga G, Sharkey K, Hung S, Holloway TP, Quin J, Robb E, Wong LH, Thomas WG, Stefanovsky V, Moss T, Rothblum L, Hannan KM, McArthur GA, Pearson RB &amp; Hannan RD (2008). UBF levels determine the number of active ribosomal rna genes in mammals.</w:t>
      </w:r>
      <w:r>
        <w:t xml:space="preserve"> </w:t>
      </w:r>
      <w:r>
        <w:rPr>
          <w:i/>
        </w:rPr>
        <w:t xml:space="preserve">J Cell Biol</w:t>
      </w:r>
      <w:r>
        <w:t xml:space="preserve"> </w:t>
      </w:r>
      <w:r>
        <w:rPr>
          <w:b/>
        </w:rPr>
        <w:t xml:space="preserve">183,</w:t>
      </w:r>
      <w:r>
        <w:t xml:space="preserve"> </w:t>
      </w:r>
      <w:r>
        <w:t xml:space="preserve">1259–1274.</w:t>
      </w:r>
    </w:p>
    <w:bookmarkEnd w:id="76"/>
    <w:bookmarkStart w:id="77"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77"/>
    <w:bookmarkStart w:id="78" w:name="ref-RN1767"/>
    <w:p>
      <w:pPr>
        <w:pStyle w:val="Bibliografi"/>
      </w:pPr>
      <w:r>
        <w:t xml:space="preserve">Schoenfeld BJ, Ogborn D &amp; Krieger JW (2016). Dose-response relationship between weekly resistance training volume and increases in muscle mass: A systematic review and meta-analysis.</w:t>
      </w:r>
      <w:r>
        <w:t xml:space="preserve"> </w:t>
      </w:r>
      <w:r>
        <w:rPr>
          <w:i/>
        </w:rPr>
        <w:t xml:space="preserve">J Sports Sci</w:t>
      </w:r>
      <w:r>
        <w:t xml:space="preserve">1–10.</w:t>
      </w:r>
    </w:p>
    <w:bookmarkEnd w:id="78"/>
    <w:bookmarkStart w:id="79"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79"/>
    <w:bookmarkStart w:id="80"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80"/>
    <w:bookmarkStart w:id="81" w:name="ref-RN2582"/>
    <w:p>
      <w:pPr>
        <w:pStyle w:val="Bibliografi"/>
      </w:pPr>
      <w:r>
        <w:t xml:space="preserve">Tuan JC, Zhai W &amp; Comai L (1999).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w:t>
      </w:r>
      <w:r>
        <w:rPr>
          <w:b/>
        </w:rPr>
        <w:t xml:space="preserve">19,</w:t>
      </w:r>
      <w:r>
        <w:t xml:space="preserve"> </w:t>
      </w:r>
      <w:r>
        <w:t xml:space="preserve">2872–2879.</w:t>
      </w:r>
    </w:p>
    <w:bookmarkEnd w:id="81"/>
    <w:bookmarkStart w:id="82"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82"/>
    <w:bookmarkStart w:id="83"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83"/>
    <w:bookmarkStart w:id="84" w:name="ref-RN2588"/>
    <w:p>
      <w:pPr>
        <w:pStyle w:val="Bibliografi"/>
      </w:pPr>
      <w:r>
        <w:t xml:space="preserve">Warner JR &amp; McIntosh KB (2009). How common are extraribosomal functions of ribosomal proteins?</w:t>
      </w:r>
      <w:r>
        <w:t xml:space="preserve"> </w:t>
      </w:r>
      <w:r>
        <w:rPr>
          <w:i/>
        </w:rPr>
        <w:t xml:space="preserve">Molecular cell</w:t>
      </w:r>
      <w:r>
        <w:t xml:space="preserve"> </w:t>
      </w:r>
      <w:r>
        <w:rPr>
          <w:b/>
        </w:rPr>
        <w:t xml:space="preserve">34,</w:t>
      </w:r>
      <w:r>
        <w:t xml:space="preserve"> </w:t>
      </w:r>
      <w:r>
        <w:t xml:space="preserve">3–11.</w:t>
      </w:r>
    </w:p>
    <w:bookmarkEnd w:id="84"/>
    <w:bookmarkStart w:id="85"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85"/>
    <w:bookmarkStart w:id="86"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86"/>
    <w:bookmarkStart w:id="87"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87"/>
    <w:bookmarkStart w:id="89" w:name="ref-RN2223"/>
    <w:p>
      <w:pPr>
        <w:pStyle w:val="Bibliografi"/>
      </w:pPr>
      <w:r>
        <w:t xml:space="preserve">Young VR (1970). CHAPTER 40 - the role of skeletal and cardiac muscle in the regulation of protein metabolism. In</w:t>
      </w:r>
      <w:r>
        <w:t xml:space="preserve"> </w:t>
      </w:r>
      <w:r>
        <w:rPr>
          <w:i/>
        </w:rPr>
        <w:t xml:space="preserve">Mammalian protein metabolism</w:t>
      </w:r>
      <w:r>
        <w:t xml:space="preserve">, ed. Munro HN, pp. 585–674. Academic Press. Available at:</w:t>
      </w:r>
      <w:r>
        <w:t xml:space="preserve"> </w:t>
      </w:r>
      <w:hyperlink r:id="rId88">
        <w:r>
          <w:rPr>
            <w:rStyle w:val="Hyperkobling"/>
          </w:rPr>
          <w:t xml:space="preserve">http://www.sciencedirect.com/science/article/pii/B9780125106047500189</w:t>
        </w:r>
      </w:hyperlink>
      <w:r>
        <w:t xml:space="preserve">.</w:t>
      </w:r>
    </w:p>
    <w:bookmarkEnd w:id="89"/>
    <w:bookmarkEnd w:id="90"/>
    <w:p>
      <w:pPr>
        <w:pStyle w:val="Overskrift1"/>
      </w:pPr>
      <w:bookmarkStart w:id="91" w:name="figure-legends"/>
      <w:r>
        <w:t xml:space="preserve">Figure legends</w:t>
      </w:r>
      <w:bookmarkEnd w:id="91"/>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Protein (A and B) and mRNA abundances (D and E) of rpS6 and UBF. Black points and error bars represents statistically robust results (a 95% CI not containing 0). C shows western-blots and total protein stains from a representative participant. mRNA data is normalized per total RNA.</w:t>
      </w:r>
    </w:p>
    <w:p>
      <w:pPr>
        <w:pStyle w:val="Brdtekst"/>
      </w:pPr>
      <w:r>
        <w:rPr>
          <w:b/>
        </w:rPr>
        <w:t xml:space="preserve">Figure 3.</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4.</w:t>
      </w:r>
      <w:r>
        <w:t xml:space="preserve"> </w:t>
      </w:r>
      <w:r>
        <w:t xml:space="preserve">Predictions of muscle thickness increase based on total RNA increases (A) and total RNA abundance (B; see Table 4). Values are averaged over values from men and women. Individual plots of estimates total RNA increases over time is shown in C together with results from leave-one-out analysis (D). Leave-one-out analysis shows the effect of removing a single participant (black point and error-bars) and individual values from the total RNA per time estimates where green points represents bounds of the 95% CI and yellow points represents mean estimates.</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4" Target="http://dx.doi.org/10.1007/978-981-10-3292-9_6" TargetMode="External" /><Relationship Type="http://schemas.openxmlformats.org/officeDocument/2006/relationships/hyperlink" Id="rId88" Target="http://www.sciencedirect.com/science/article/pii/B9780125106047500189" TargetMode="External" /><Relationship Type="http://schemas.openxmlformats.org/officeDocument/2006/relationships/hyperlink" Id="rId41" Target="https://doi.org/10.1096/fj.201700329R" TargetMode="External" /><Relationship Type="http://schemas.openxmlformats.org/officeDocument/2006/relationships/hyperlink" Id="rId47" Target="https://doi.org/10.14814/phy2.12670" TargetMode="External" /><Relationship Type="http://schemas.openxmlformats.org/officeDocument/2006/relationships/hyperlink" Id="rId57" Target="https://doi.org/10.3389/fphys.2019.00297" TargetMode="External" /><Relationship Type="http://schemas.openxmlformats.org/officeDocument/2006/relationships/hyperlink" Id="rId72" Target="https://www.R-project.org/" TargetMode="External" /><Relationship Type="http://schemas.openxmlformats.org/officeDocument/2006/relationships/hyperlink" Id="rId52" Target="https://www.jstatsoft.org/v033/i02%0A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07/978-981-10-3292-9_6" TargetMode="External" /><Relationship Type="http://schemas.openxmlformats.org/officeDocument/2006/relationships/hyperlink" Id="rId88" Target="http://www.sciencedirect.com/science/article/pii/B9780125106047500189" TargetMode="External" /><Relationship Type="http://schemas.openxmlformats.org/officeDocument/2006/relationships/hyperlink" Id="rId41" Target="https://doi.org/10.1096/fj.201700329R" TargetMode="External" /><Relationship Type="http://schemas.openxmlformats.org/officeDocument/2006/relationships/hyperlink" Id="rId47" Target="https://doi.org/10.14814/phy2.12670" TargetMode="External" /><Relationship Type="http://schemas.openxmlformats.org/officeDocument/2006/relationships/hyperlink" Id="rId57" Target="https://doi.org/10.3389/fphys.2019.00297" TargetMode="External" /><Relationship Type="http://schemas.openxmlformats.org/officeDocument/2006/relationships/hyperlink" Id="rId72" Target="https://www.R-project.org/" TargetMode="External" /><Relationship Type="http://schemas.openxmlformats.org/officeDocument/2006/relationships/hyperlink" Id="rId52" Target="https://www.jstatsoft.org/v033/i02%0A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139</Words>
  <Characters>742</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2020-09-22T20:05:34Z</dcterms:created>
  <dcterms:modified xsi:type="dcterms:W3CDTF">2020-09-22T20:05:34Z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