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Øfsteng</w:t>
      </w:r>
      <w:r>
        <w:rPr>
          <w:vertAlign w:val="superscript"/>
        </w:rPr>
        <w:t xml:space="preserve">2,£</w:t>
      </w:r>
      <w:r>
        <w:t xml:space="preserve"> </w:t>
      </w:r>
      <w:r>
        <w:t xml:space="preserve">Bent</w:t>
      </w:r>
      <w:r>
        <w:t xml:space="preserve"> </w:t>
      </w:r>
      <w:r>
        <w:t xml:space="preserve">R.</w:t>
      </w:r>
      <w:r>
        <w:t xml:space="preserve"> </w:t>
      </w:r>
      <w:r>
        <w:t xml:space="preserve">Rønnestad</w:t>
      </w:r>
      <w:r>
        <w:rPr>
          <w:vertAlign w:val="superscript"/>
        </w:rPr>
        <w:t xml:space="preserve">2</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Overskrift2"/>
      </w:pPr>
      <w:bookmarkStart w:id="25" w:name="muscle-strength-and-thickness"/>
      <w:r>
        <w:t xml:space="preserve">Muscle strength and thickness</w:t>
      </w:r>
      <w:bookmarkEnd w:id="25"/>
    </w:p>
    <w:p>
      <w:pPr>
        <w:pStyle w:val="FirstParagraph"/>
      </w:pPr>
      <w:r>
        <w:t xml:space="preserve">Muscle strength was assessed as maximal knee extension isokinetic (90° sec</w:t>
      </w:r>
      <w:r>
        <w:t xml:space="preserve">-1</w:t>
      </w:r>
      <w:r>
        <w:t xml:space="preserve">) and isometric (60° angle, fully extended leg 0°) torque. After a brief warm-up (5-min cycling, RPE 12-14), participants were seated and secured in the individually adjusted dynamometer. The test protocol consisted of unilateral knee-extensions.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During the same assessment session, participants remained seated in the dynamometer for meassurement from both legs. The first measurement was alternated between legs and sessions. For statistical treatment of the data, all successful attempts were used. Successful attempts were decided based on participants (…). The last strength assessment at baseline was performed at least</w:t>
      </w:r>
      <w:r>
        <w:t xml:space="preserve"> </w:t>
      </w:r>
      <w:r>
        <w:rPr>
          <w:b/>
        </w:rPr>
        <w:t xml:space="preserve">seven</w:t>
      </w:r>
      <w:r>
        <w:t xml:space="preserve"> </w:t>
      </w:r>
      <w:r>
        <w:t xml:space="preserve">days prior to the first biopsy sampling. At least one strength was performed on separate days with two sessions allowed perform on the same day with a short rest between sessions. Post training assessments were performed approximately 48 hours after the last session and after seven days of no training.</w:t>
      </w:r>
    </w:p>
    <w:p>
      <w:pPr>
        <w:pStyle w:val="Brdtekst"/>
      </w:pPr>
      <w:r>
        <w:t xml:space="preserve">Muscle thickness was assessed using (…) ultra sound.</w:t>
      </w:r>
    </w:p>
    <w:p>
      <w:pPr>
        <w:pStyle w:val="Overskrift2"/>
      </w:pPr>
      <w:bookmarkStart w:id="26" w:name="muscle-biopsy-sampling"/>
      <w:r>
        <w:t xml:space="preserve">Muscle biopsy sampling</w:t>
      </w:r>
      <w:bookmarkEnd w:id="26"/>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(lidocaion %, Manufacturer, Oslo, Norway) using a disposable needle (12-14 gauge, Universal plus, Medax, Italy), operated with a spring loaded device (Bard Magnum). Two to four passes were made to get sufficient material. One to two aliquots of the samples were quickly dissected free from connective and fat tissue, weighed and frozen in isopentan chilled to -80°C and stored at -80°C until further processing. At baseline, after twelve weeks of training and, after the de-training period, a further aliquot from each sample was selected for immunohistochemistry analysis and subsequently immersed in 4% formalin for fixation.</w:t>
      </w:r>
    </w:p>
    <w:p>
      <w:pPr>
        <w:pStyle w:val="Overskrift2"/>
      </w:pPr>
      <w:bookmarkStart w:id="27" w:name="rna-and-protein-extraction"/>
      <w:r>
        <w:t xml:space="preserve">RNA and protein extraction</w:t>
      </w:r>
      <w:bookmarkEnd w:id="27"/>
    </w:p>
    <w:p>
      <w:pPr>
        <w:pStyle w:val="FirstParagraph"/>
      </w:pPr>
      <w:r>
        <w:t xml:space="preserve">Frozen muscle tissue was homogenized in 1 ml of Trizol (ThermoFisher Scientific, Oslo, Norway) spiked with 0.04 ng of an external, non-mammalian, RNA spike-in (Lambda, Takara Bioscience). Mechanical disruption of the samples was achieved using Zirconium Oxide Beads (0.5 mm, Next Advance, Inc., New York, USA) and a bead mill (Bullet blender, Next Advance). Chloroform (200 μl) was prior to centrifugation (12000 g, 15 min at 4°C) to achieve phase separation. Four houndred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w:t>
      </w:r>
      <w:r>
        <w:rPr>
          <w:b/>
        </w:rPr>
        <w:t xml:space="preserve">???</w:t>
      </w:r>
      <w:r>
        <w:t xml:space="preserve">)</w:t>
      </w:r>
      <w:r>
        <w:t xml:space="preserve"> </w:t>
      </w:r>
      <w:r>
        <w:t xml:space="preserve">with modifications. The remaining aqueous phase was removed and DNA was precipitated by the addition of XXX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 was added (4% SDS, 300 mM Tris …, pH;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Laemmli buffer (Bio-Rad), boiled (95°C, 5 min) and stored at -20°C before later use.</w:t>
      </w:r>
    </w:p>
    <w:p>
      <w:pPr>
        <w:pStyle w:val="Overskrift2"/>
      </w:pPr>
      <w:bookmarkStart w:id="28" w:name="Xdb6ea80b8443aafd59a989e3a5491b5d6eb79f1"/>
      <w:r>
        <w:t xml:space="preserve">Quantitative polymerase chain reaction (qPCR)</w:t>
      </w:r>
      <w:bookmarkEnd w:id="28"/>
    </w:p>
    <w:p>
      <w:pPr>
        <w:pStyle w:val="Overskrift2"/>
      </w:pPr>
      <w:bookmarkStart w:id="29" w:name="immunoblotting"/>
      <w:r>
        <w:t xml:space="preserve">Immunoblotting</w:t>
      </w:r>
      <w:bookmarkEnd w:id="29"/>
    </w:p>
    <w:p>
      <w:pPr>
        <w:pStyle w:val="Overskrift2"/>
      </w:pPr>
      <w:bookmarkStart w:id="30" w:name="immunohistochemistry"/>
      <w:r>
        <w:t xml:space="preserve">Immunohistochemistry</w:t>
      </w:r>
      <w:bookmarkEnd w:id="30"/>
    </w:p>
    <w:p>
      <w:pPr>
        <w:pStyle w:val="Overskrift2"/>
      </w:pPr>
      <w:bookmarkStart w:id="31" w:name="statistics-and-data-analysis"/>
      <w:r>
        <w:t xml:space="preserve">Statistics and data analysis</w:t>
      </w:r>
      <w:bookmarkEnd w:id="31"/>
    </w:p>
    <w:p>
      <w:pPr>
        <w:pStyle w:val="Overskrift1"/>
      </w:pPr>
      <w:bookmarkStart w:id="32" w:name="results"/>
      <w:r>
        <w:t xml:space="preserve">Results</w:t>
      </w:r>
      <w:bookmarkEnd w:id="32"/>
    </w:p>
    <w:p>
      <w:pPr>
        <w:pStyle w:val="Overskrift1"/>
      </w:pPr>
      <w:bookmarkStart w:id="33" w:name="discussion"/>
      <w:r>
        <w:t xml:space="preserve">Discussion</w:t>
      </w:r>
      <w:bookmarkEnd w:id="33"/>
    </w:p>
    <w:p>
      <w:pPr>
        <w:pStyle w:val="Overskrift1"/>
      </w:pPr>
      <w:bookmarkStart w:id="34" w:name="references"/>
      <w:r>
        <w:t xml:space="preserve">References</w:t>
      </w:r>
      <w:bookmarkEnd w:id="34"/>
    </w:p>
    <w:bookmarkStart w:id="35" w:name="refs"/>
    <w:bookmarkEnd w:id="35"/>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Øfsteng2,£ Bent R. Rønnestad2, Stian Ellefsen1,3</dc:creator>
  <cp:keywords/>
  <dcterms:created xsi:type="dcterms:W3CDTF">2020-08-20T17:44:14Z</dcterms:created>
  <dcterms:modified xsi:type="dcterms:W3CDTF">2020-08-20T17:44:14Z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