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J.</w:t>
      </w:r>
      <w:r>
        <w:t xml:space="preserve"> </w:t>
      </w:r>
      <w:r>
        <w:t xml:space="preserve">Øfsteng</w:t>
      </w:r>
      <w:r>
        <w:rPr>
          <w:vertAlign w:val="superscript"/>
        </w:rPr>
        <w:t xml:space="preserve">2,£</w:t>
      </w:r>
      <w:r>
        <w:t xml:space="preserve">,</w:t>
      </w:r>
      <w:r>
        <w:t xml:space="preserve"> </w:t>
      </w:r>
      <w:r>
        <w:t xml:space="preserve">Nicolai</w:t>
      </w:r>
      <w:r>
        <w:t xml:space="preserve"> </w:t>
      </w:r>
      <w:r>
        <w:t xml:space="preserve">B.</w:t>
      </w:r>
      <w:r>
        <w:t xml:space="preserve"> </w:t>
      </w:r>
      <w:r>
        <w:t xml:space="preserve">Jacobsen</w:t>
      </w:r>
      <w:r>
        <w:rPr>
          <w:vertAlign w:val="superscript"/>
        </w:rPr>
        <w:t xml:space="preserve">1</w:t>
      </w:r>
      <w:r>
        <w:t xml:space="preserve">,</w:t>
      </w:r>
      <w:r>
        <w:t xml:space="preserve"> </w:t>
      </w:r>
      <w:r>
        <w:t xml:space="preserve">Krister</w:t>
      </w:r>
      <w:r>
        <w:t xml:space="preserve"> </w:t>
      </w:r>
      <w:r>
        <w:t xml:space="preserve">B.</w:t>
      </w:r>
      <w:r>
        <w:t xml:space="preserve"> </w:t>
      </w:r>
      <w:r>
        <w:t xml:space="preserve">Flobergseter</w:t>
      </w:r>
      <w:r>
        <w:rPr>
          <w:vertAlign w:val="superscript"/>
        </w:rPr>
        <w:t xml:space="preserve">1</w:t>
      </w:r>
      <w:r>
        <w:t xml:space="preserve">,</w:t>
      </w:r>
      <w:r>
        <w:t xml:space="preserve"> </w:t>
      </w:r>
      <w:r>
        <w:t xml:space="preserve">Bent</w:t>
      </w:r>
      <w:r>
        <w:t xml:space="preserve"> </w:t>
      </w:r>
      <w:r>
        <w:t xml:space="preserve">R.</w:t>
      </w:r>
      <w:r>
        <w:t xml:space="preserve"> </w:t>
      </w:r>
      <w:r>
        <w:t xml:space="preserve">Rønnestad</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resistace training</w:t>
      </w:r>
    </w:p>
    <w:p>
      <w:r>
        <w:br w:type="page"/>
      </w:r>
    </w:p>
    <w:p>
      <w:pPr>
        <w:pStyle w:val="Overskrift1"/>
      </w:pPr>
      <w:bookmarkStart w:id="21" w:name="abstract"/>
      <w:r>
        <w:t xml:space="preserve">Abstract</w:t>
      </w:r>
      <w:bookmarkEnd w:id="21"/>
    </w:p>
    <w:p>
      <w:pPr>
        <w:pStyle w:val="abstractstyle"/>
      </w:pPr>
      <w:r>
        <w:t xml:space="preserve">Abstract…</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FirstParagraph"/>
      </w:pPr>
      <w:r>
        <w:t xml:space="preserve">Skeletal muscle is a critical target for interventions that promotes health across the lifespan</w:t>
      </w:r>
      <w:r>
        <w:t xml:space="preserve"> </w:t>
      </w:r>
      <w:r>
        <w:t xml:space="preserve">(Wolfe, 2006)</w:t>
      </w:r>
      <w:r>
        <w:t xml:space="preserve">,</w:t>
      </w:r>
      <w:r>
        <w:t xml:space="preserve"> </w:t>
      </w:r>
      <w:r>
        <w:t xml:space="preserve">with resistance training (RT) being the advocated remedy.</w:t>
      </w:r>
      <w:r>
        <w:br/>
      </w:r>
      <w:r>
        <w:t xml:space="preserve">Such training promotes changes in the balance between muscular protein breakdown and synthesis, thereby leading to protein accretion and muscle hypertrophy, alongside a multitude of functional and health-related benefits. Exercise-induced muscle hypertrophy is traditionally viewed as the result of repeated episodes of elevated post-exercise protein synthesis, leading to net positive protein balance over time. Indeed, one bout of resistance exercise acutely increases skeletal muscle protein synthesis for up to 48 hrs after the exercise</w:t>
      </w:r>
      <w:r>
        <w:t xml:space="preserve"> </w:t>
      </w:r>
      <w:r>
        <w:t xml:space="preserve">(Phillips</w:t>
      </w:r>
      <w:r>
        <w:t xml:space="preserve"> </w:t>
      </w:r>
      <w:r>
        <w:rPr>
          <w:i/>
        </w:rPr>
        <w:t xml:space="preserve">et al.</w:t>
      </w:r>
      <w:r>
        <w:t xml:space="preserve">, 1997)</w:t>
      </w:r>
      <w:r>
        <w:t xml:space="preserve">,</w:t>
      </w:r>
      <w:r>
        <w:t xml:space="preserve"> </w:t>
      </w:r>
      <w:r>
        <w:t xml:space="preserve">with subsequent repeated bouts leading to accumulation of muscle protein over time</w:t>
      </w:r>
      <w:r>
        <w:t xml:space="preserve"> </w:t>
      </w:r>
      <w:r>
        <w:t xml:space="preserve">(Phillips, 2014 ; Brook</w:t>
      </w:r>
      <w:r>
        <w:t xml:space="preserve"> </w:t>
      </w:r>
      <w:r>
        <w:rPr>
          <w:i/>
        </w:rPr>
        <w:t xml:space="preserve">et al.</w:t>
      </w:r>
      <w:r>
        <w:t xml:space="preserve">, 2015)</w:t>
      </w:r>
      <w:r>
        <w:t xml:space="preserve">.</w:t>
      </w:r>
      <w:r>
        <w:t xml:space="preserve"> </w:t>
      </w:r>
      <w:r>
        <w:t xml:space="preserve">In recent years, this view has been supplemented</w:t>
      </w:r>
      <w:r>
        <w:t xml:space="preserve"> </w:t>
      </w:r>
      <w:r>
        <w:t xml:space="preserve">by evidence suggesting that chronic RT leads to increased resting synthetic rate of muscle protein</w:t>
      </w:r>
      <w:r>
        <w:t xml:space="preserve"> </w:t>
      </w:r>
      <w:r>
        <w:t xml:space="preserve">(Kim</w:t>
      </w:r>
      <w:r>
        <w:t xml:space="preserve"> </w:t>
      </w:r>
      <w:r>
        <w:rPr>
          <w:i/>
        </w:rPr>
        <w:t xml:space="preserve">et al.</w:t>
      </w:r>
      <w:r>
        <w:t xml:space="preserve">, 2005;</w:t>
      </w:r>
      <w:r>
        <w:t xml:space="preserve"> </w:t>
      </w:r>
      <w:r>
        <w:t xml:space="preserve"> </w:t>
      </w:r>
      <w:r>
        <w:t xml:space="preserve">Wilkinson</w:t>
      </w:r>
      <w:r>
        <w:t xml:space="preserve"> </w:t>
      </w:r>
      <w:r>
        <w:rPr>
          <w:i/>
        </w:rPr>
        <w:t xml:space="preserve">et al.</w:t>
      </w:r>
      <w:r>
        <w:t xml:space="preserve">, 2008;</w:t>
      </w:r>
      <w:r>
        <w:t xml:space="preserve"> </w:t>
      </w:r>
      <w:r>
        <w:t xml:space="preserve"> </w:t>
      </w:r>
      <w:r>
        <w:t xml:space="preserve">Reidy</w:t>
      </w:r>
      <w:r>
        <w:t xml:space="preserve"> </w:t>
      </w:r>
      <w:r>
        <w:rPr>
          <w:i/>
        </w:rPr>
        <w:t xml:space="preserve">et al.</w:t>
      </w:r>
      <w:r>
        <w:t xml:space="preserve">, 2017)</w:t>
      </w:r>
      <w:r>
        <w:t xml:space="preserve">,</w:t>
      </w:r>
      <w:r>
        <w:t xml:space="preserve"> </w:t>
      </w:r>
      <w:r>
        <w:t xml:space="preserve">which has been postulated to be associated with increased translational capacity, i.e. accumulation of ribosomes</w:t>
      </w:r>
      <w:r>
        <w:t xml:space="preserve"> </w:t>
      </w:r>
      <w:r>
        <w:t xml:space="preserve">(Reidy</w:t>
      </w:r>
      <w:r>
        <w:t xml:space="preserve"> </w:t>
      </w:r>
      <w:r>
        <w:rPr>
          <w:i/>
        </w:rPr>
        <w:t xml:space="preserve">et al.</w:t>
      </w:r>
      <w:r>
        <w:t xml:space="preserve">, 2017;</w:t>
      </w:r>
      <w:r>
        <w:t xml:space="preserve"> </w:t>
      </w:r>
      <w:r>
        <w:t xml:space="preserve"> </w:t>
      </w:r>
      <w:r>
        <w:t xml:space="preserve">Figueiredo &amp; McCarthy, 2017)</w:t>
      </w:r>
      <w:r>
        <w:t xml:space="preserve">.</w:t>
      </w:r>
      <w:r>
        <w:t xml:space="preserve"> </w:t>
      </w:r>
      <w:r>
        <w:t xml:space="preserve">This notion is supported by exercise-induced increases in total RNA, a proxy marker of ribosome abundance, occuring alongside muscle hypertrophy</w:t>
      </w:r>
      <w:r>
        <w:t xml:space="preserve"> </w:t>
      </w:r>
      <w:r>
        <w:t xml:space="preserve">(Figueiredo</w:t>
      </w:r>
      <w:r>
        <w:t xml:space="preserve"> </w:t>
      </w:r>
      <w:r>
        <w:rPr>
          <w:i/>
        </w:rPr>
        <w:t xml:space="preserve">et al.</w:t>
      </w:r>
      <w:r>
        <w:t xml:space="preserve">, 2015;</w:t>
      </w:r>
      <w:r>
        <w:t xml:space="preserve"> </w:t>
      </w:r>
      <w:r>
        <w:t xml:space="preserve"> </w:t>
      </w:r>
      <w:r>
        <w:t xml:space="preserve">Stec</w:t>
      </w:r>
      <w:r>
        <w:t xml:space="preserve"> </w:t>
      </w:r>
      <w:r>
        <w:rPr>
          <w:i/>
        </w:rPr>
        <w:t xml:space="preserve">et al.</w:t>
      </w:r>
      <w:r>
        <w:t xml:space="preserve">, 2016;</w:t>
      </w:r>
      <w:r>
        <w:t xml:space="preserve"> </w:t>
      </w:r>
      <w:r>
        <w:t xml:space="preserve"> </w:t>
      </w:r>
      <w:r>
        <w:t xml:space="preserve">Hammarström</w:t>
      </w:r>
      <w:r>
        <w:t xml:space="preserve"> </w:t>
      </w:r>
      <w:r>
        <w:rPr>
          <w:i/>
        </w:rPr>
        <w:t xml:space="preserve">et al.</w:t>
      </w:r>
      <w:r>
        <w:t xml:space="preserve">, 2020)</w:t>
      </w:r>
      <w:r>
        <w:t xml:space="preserve"> </w:t>
      </w:r>
      <w:r>
        <w:t xml:space="preserve">and the close relationship between RNA abundance and protein synthesis</w:t>
      </w:r>
      <w:r>
        <w:t xml:space="preserve"> </w:t>
      </w:r>
      <w:r>
        <w:t xml:space="preserve">(West</w:t>
      </w:r>
      <w:r>
        <w:t xml:space="preserve"> </w:t>
      </w:r>
      <w:r>
        <w:rPr>
          <w:i/>
        </w:rPr>
        <w:t xml:space="preserve">et al.</w:t>
      </w:r>
      <w:r>
        <w:t xml:space="preserve">, 2016;</w:t>
      </w:r>
      <w:r>
        <w:t xml:space="preserve"> </w:t>
      </w:r>
      <w:r>
        <w:t xml:space="preserve"> </w:t>
      </w:r>
      <w:r>
        <w:t xml:space="preserve">Millward</w:t>
      </w:r>
      <w:r>
        <w:t xml:space="preserve"> </w:t>
      </w:r>
      <w:r>
        <w:rPr>
          <w:i/>
        </w:rPr>
        <w:t xml:space="preserve">et al.</w:t>
      </w:r>
      <w:r>
        <w:t xml:space="preserve">, 1973)</w:t>
      </w:r>
      <w:r>
        <w:t xml:space="preserve">.</w:t>
      </w:r>
      <w:r>
        <w:t xml:space="preserve"> </w:t>
      </w:r>
      <w:r>
        <w:t xml:space="preserve">Conversely, inhibition of ribosomal RNA (rRNA) transcription and inhibition of its up-stream transcription factors act to diminish muscle cell growth</w:t>
      </w:r>
      <w:r>
        <w:t xml:space="preserve"> </w:t>
      </w:r>
      <w:r>
        <w:t xml:space="preserve">(Stec</w:t>
      </w:r>
      <w:r>
        <w:t xml:space="preserve"> </w:t>
      </w:r>
      <w:r>
        <w:rPr>
          <w:i/>
        </w:rPr>
        <w:t xml:space="preserve">et al.</w:t>
      </w:r>
      <w:r>
        <w:t xml:space="preserve">, 2016 ; Walden</w:t>
      </w:r>
      <w:r>
        <w:t xml:space="preserve"> </w:t>
      </w:r>
      <w:r>
        <w:rPr>
          <w:i/>
        </w:rPr>
        <w:t xml:space="preserve">et al.</w:t>
      </w:r>
      <w:r>
        <w:t xml:space="preserve">, 2016; West</w:t>
      </w:r>
      <w:r>
        <w:t xml:space="preserve"> </w:t>
      </w:r>
      <w:r>
        <w:rPr>
          <w:i/>
        </w:rPr>
        <w:t xml:space="preserve">et al.</w:t>
      </w:r>
      <w:r>
        <w:t xml:space="preserve">, 2016</w:t>
      </w:r>
      <w:r>
        <w:t xml:space="preserve"> </w:t>
      </w:r>
      <w:r>
        <w:t xml:space="preserve">)</w:t>
      </w:r>
      <w:r>
        <w:t xml:space="preserve">.</w:t>
      </w:r>
    </w:p>
    <w:p>
      <w:pPr>
        <w:pStyle w:val="Brdtekst"/>
      </w:pPr>
      <w:r>
        <w:t xml:space="preserve">Biosynthesis of novel ribosomes is a complex, highly coordinated and energy demanding process that involves synthesis of both proteins and four different mature rRNA</w:t>
      </w:r>
      <w:r>
        <w:t xml:space="preserve"> </w:t>
      </w:r>
      <w:r>
        <w:t xml:space="preserve">(Warner, 1999;</w:t>
      </w:r>
      <w:r>
        <w:t xml:space="preserve"> </w:t>
      </w:r>
      <w:r>
        <w:t xml:space="preserve"> </w:t>
      </w:r>
      <w:r>
        <w:t xml:space="preserve">Moss</w:t>
      </w:r>
      <w:r>
        <w:t xml:space="preserve"> </w:t>
      </w:r>
      <w:r>
        <w:rPr>
          <w:i/>
        </w:rPr>
        <w:t xml:space="preserve">et al.</w:t>
      </w:r>
      <w:r>
        <w:t xml:space="preserve">, 2007;</w:t>
      </w:r>
      <w:r>
        <w:t xml:space="preserve"> </w:t>
      </w:r>
      <w:r>
        <w:t xml:space="preserve"> </w:t>
      </w:r>
      <w:r>
        <w:t xml:space="preserve">Walden</w:t>
      </w:r>
      <w:r>
        <w:t xml:space="preserve"> </w:t>
      </w:r>
      <w:r>
        <w:rPr>
          <w:i/>
        </w:rPr>
        <w:t xml:space="preserve">et al.</w:t>
      </w:r>
      <w:r>
        <w:t xml:space="preserve">, 2016)</w:t>
      </w:r>
      <w:r>
        <w:t xml:space="preserve">.</w:t>
      </w:r>
      <w:r>
        <w:t xml:space="preserve"> </w:t>
      </w:r>
      <w:r>
        <w:t xml:space="preserve">This process is limited at the level of pre-rRNA transcription by RNA polymerase I (Pol I) which in turn is regulated by coordinated assembly of a complex of transcription factors at the rDNA promoter</w:t>
      </w:r>
      <w:r>
        <w:t xml:space="preserve"> </w:t>
      </w:r>
      <w:r>
        <w:t xml:space="preserve">(Moss</w:t>
      </w:r>
      <w:r>
        <w:t xml:space="preserve"> </w:t>
      </w:r>
      <w:r>
        <w:rPr>
          <w:i/>
        </w:rPr>
        <w:t xml:space="preserve">et al.</w:t>
      </w:r>
      <w:r>
        <w:t xml:space="preserve">, 2007)</w:t>
      </w:r>
      <w:r>
        <w:t xml:space="preserve">.</w:t>
      </w:r>
      <w:r>
        <w:t xml:space="preserve"> </w:t>
      </w:r>
      <w:r>
        <w:t xml:space="preserve">Specifically, phosphorylation of the upstream bindning factor (UBF) is needed initiate transcription</w:t>
      </w:r>
      <w:r>
        <w:t xml:space="preserve"> </w:t>
      </w:r>
      <w:r>
        <w:t xml:space="preserve">(Tuan</w:t>
      </w:r>
      <w:r>
        <w:t xml:space="preserve"> </w:t>
      </w:r>
      <w:r>
        <w:rPr>
          <w:i/>
        </w:rPr>
        <w:t xml:space="preserve">et al.</w:t>
      </w:r>
      <w:r>
        <w:t xml:space="preserve">, 1999;</w:t>
      </w:r>
      <w:r>
        <w:t xml:space="preserve"> </w:t>
      </w:r>
      <w:r>
        <w:t xml:space="preserve"> </w:t>
      </w:r>
      <w:r>
        <w:t xml:space="preserve">Lin</w:t>
      </w:r>
      <w:r>
        <w:t xml:space="preserve"> </w:t>
      </w:r>
      <w:r>
        <w:rPr>
          <w:i/>
        </w:rPr>
        <w:t xml:space="preserve">et al.</w:t>
      </w:r>
      <w:r>
        <w:t xml:space="preserve">, 2007)</w:t>
      </w:r>
      <w:r>
        <w:t xml:space="preserve"> </w:t>
      </w:r>
      <w:r>
        <w:t xml:space="preserve">and this is related to signaling through the mechanosensitive mTOR pathway as its inhibition blocks UBF phosphorylation and subsequent rRNA transcription</w:t>
      </w:r>
      <w:r>
        <w:t xml:space="preserve"> </w:t>
      </w:r>
      <w:r>
        <w:t xml:space="preserve">(Nader</w:t>
      </w:r>
      <w:r>
        <w:t xml:space="preserve"> </w:t>
      </w:r>
      <w:r>
        <w:rPr>
          <w:i/>
        </w:rPr>
        <w:t xml:space="preserve">et al.</w:t>
      </w:r>
      <w:r>
        <w:t xml:space="preserve">, 2005;</w:t>
      </w:r>
      <w:r>
        <w:t xml:space="preserve"> </w:t>
      </w:r>
      <w:r>
        <w:t xml:space="preserve"> </w:t>
      </w:r>
      <w:r>
        <w:t xml:space="preserve">Hannan</w:t>
      </w:r>
      <w:r>
        <w:t xml:space="preserve"> </w:t>
      </w:r>
      <w:r>
        <w:rPr>
          <w:i/>
        </w:rPr>
        <w:t xml:space="preserve">et al.</w:t>
      </w:r>
      <w:r>
        <w:t xml:space="preserve">, 2003)</w:t>
      </w:r>
      <w:r>
        <w:t xml:space="preserve">.</w:t>
      </w:r>
      <w:r>
        <w:t xml:space="preserve"> </w:t>
      </w:r>
      <w:r>
        <w:t xml:space="preserve">Interestingly the availability of UBF</w:t>
      </w:r>
      <w:r>
        <w:t xml:space="preserve"> </w:t>
      </w:r>
      <w:r>
        <w:rPr>
          <w:i/>
        </w:rPr>
        <w:t xml:space="preserve">per se</w:t>
      </w:r>
      <w:r>
        <w:t xml:space="preserve"> </w:t>
      </w:r>
      <w:r>
        <w:t xml:space="preserve">has been shown to also regulate rRNA transcription</w:t>
      </w:r>
      <w:r>
        <w:t xml:space="preserve"> </w:t>
      </w:r>
      <w:r>
        <w:t xml:space="preserve">(Hannan</w:t>
      </w:r>
      <w:r>
        <w:t xml:space="preserve"> </w:t>
      </w:r>
      <w:r>
        <w:rPr>
          <w:i/>
        </w:rPr>
        <w:t xml:space="preserve">et al.</w:t>
      </w:r>
      <w:r>
        <w:t xml:space="preserve">, 1996)</w:t>
      </w:r>
      <w:r>
        <w:t xml:space="preserve"> </w:t>
      </w:r>
      <w:r>
        <w:t xml:space="preserve">through control of rDNA gene activity</w:t>
      </w:r>
      <w:r>
        <w:t xml:space="preserve"> </w:t>
      </w:r>
      <w:r>
        <w:t xml:space="preserve">(Sanij</w:t>
      </w:r>
      <w:r>
        <w:t xml:space="preserve"> </w:t>
      </w:r>
      <w:r>
        <w:rPr>
          <w:i/>
        </w:rPr>
        <w:t xml:space="preserve">et al.</w:t>
      </w:r>
      <w:r>
        <w:t xml:space="preserve">, 2008)</w:t>
      </w:r>
      <w:r>
        <w:t xml:space="preserve">.</w:t>
      </w:r>
    </w:p>
    <w:p>
      <w:pPr>
        <w:pStyle w:val="Brdtekst"/>
      </w:pPr>
      <w:r>
        <w:t xml:space="preserve">Resistance exercise is a potent stimuli for rRNA transcription as a single session leads to increases in pre-rRNA</w:t>
      </w:r>
      <w:r>
        <w:t xml:space="preserve"> </w:t>
      </w:r>
      <w:r>
        <w:t xml:space="preserve">(Nader</w:t>
      </w:r>
      <w:r>
        <w:t xml:space="preserve"> </w:t>
      </w:r>
      <w:r>
        <w:rPr>
          <w:i/>
        </w:rPr>
        <w:t xml:space="preserve">et al.</w:t>
      </w:r>
      <w:r>
        <w:t xml:space="preserve">, 2014 ; Stec</w:t>
      </w:r>
      <w:r>
        <w:t xml:space="preserve"> </w:t>
      </w:r>
      <w:r>
        <w:rPr>
          <w:i/>
        </w:rPr>
        <w:t xml:space="preserve">et al.</w:t>
      </w:r>
      <w:r>
        <w:t xml:space="preserve">, 2015</w:t>
      </w:r>
      <w:r>
        <w:t xml:space="preserve"> </w:t>
      </w:r>
      <w:r>
        <w:t xml:space="preserve">)</w:t>
      </w:r>
      <w:r>
        <w:t xml:space="preserve"> </w:t>
      </w:r>
      <w:r>
        <w:t xml:space="preserve">and repeated bouts lead to accumulation of mature rRNA thus also total RNA and presumably functional ribosomes</w:t>
      </w:r>
      <w:r>
        <w:t xml:space="preserve"> </w:t>
      </w:r>
      <w:r>
        <w:t xml:space="preserve">(Stec</w:t>
      </w:r>
      <w:r>
        <w:t xml:space="preserve"> </w:t>
      </w:r>
      <w:r>
        <w:rPr>
          <w:i/>
        </w:rPr>
        <w:t xml:space="preserve">et al.</w:t>
      </w:r>
      <w:r>
        <w:t xml:space="preserve">, 2015,</w:t>
      </w:r>
      <w:r>
        <w:t xml:space="preserve"> </w:t>
      </w:r>
      <w:r>
        <w:t xml:space="preserve"> </w:t>
      </w:r>
      <w:r>
        <w:t xml:space="preserve">2016 ;</w:t>
      </w:r>
      <w:r>
        <w:t xml:space="preserve"> </w:t>
      </w:r>
      <w:r>
        <w:t xml:space="preserve"> </w:t>
      </w:r>
      <w:r>
        <w:t xml:space="preserve">Bickel</w:t>
      </w:r>
      <w:r>
        <w:t xml:space="preserve"> </w:t>
      </w:r>
      <w:r>
        <w:rPr>
          <w:i/>
        </w:rPr>
        <w:t xml:space="preserve">et al.</w:t>
      </w:r>
      <w:r>
        <w:t xml:space="preserve">, 2005;</w:t>
      </w:r>
      <w:r>
        <w:t xml:space="preserve"> </w:t>
      </w:r>
      <w:r>
        <w:t xml:space="preserve"> </w:t>
      </w:r>
      <w:r>
        <w:t xml:space="preserve">Hammarström</w:t>
      </w:r>
      <w:r>
        <w:t xml:space="preserve"> </w:t>
      </w:r>
      <w:r>
        <w:rPr>
          <w:i/>
        </w:rPr>
        <w:t xml:space="preserve">et al.</w:t>
      </w:r>
      <w:r>
        <w:t xml:space="preserve">, 2020; Figueiredo</w:t>
      </w:r>
      <w:r>
        <w:t xml:space="preserve"> </w:t>
      </w:r>
      <w:r>
        <w:rPr>
          <w:i/>
        </w:rPr>
        <w:t xml:space="preserve">et al.</w:t>
      </w:r>
      <w:r>
        <w:t xml:space="preserve">, 2015;</w:t>
      </w:r>
      <w:r>
        <w:t xml:space="preserve"> </w:t>
      </w:r>
      <w:r>
        <w:t xml:space="preserve"> </w:t>
      </w:r>
      <w:r>
        <w:t xml:space="preserve">Brook</w:t>
      </w:r>
      <w:r>
        <w:t xml:space="preserve"> </w:t>
      </w:r>
      <w:r>
        <w:rPr>
          <w:i/>
        </w:rPr>
        <w:t xml:space="preserve">et al.</w:t>
      </w:r>
      <w:r>
        <w:t xml:space="preserve">, 2016;</w:t>
      </w:r>
      <w:r>
        <w:t xml:space="preserve"> </w:t>
      </w:r>
      <w:r>
        <w:t xml:space="preserve"> </w:t>
      </w:r>
      <w:r>
        <w:t xml:space="preserve">Reidy</w:t>
      </w:r>
      <w:r>
        <w:t xml:space="preserve"> </w:t>
      </w:r>
      <w:r>
        <w:rPr>
          <w:i/>
        </w:rPr>
        <w:t xml:space="preserve">et al.</w:t>
      </w:r>
      <w:r>
        <w:t xml:space="preserve">, 2017</w:t>
      </w:r>
      <w:r>
        <w:t xml:space="preserve"> </w:t>
      </w:r>
      <w:r>
        <w:t xml:space="preserve">)</w:t>
      </w:r>
      <w:r>
        <w:t xml:space="preserve">.</w:t>
      </w:r>
      <w:r>
        <w:t xml:space="preserve"> </w:t>
      </w:r>
      <w:r>
        <w:t xml:space="preserve">However, the true time course of ribosomal transcription and accumulation in response to RT remains largely unstudied, with only a few studies having investigated exercise-induced changes in rRNA over multiple time-points.</w:t>
      </w:r>
      <w:r>
        <w:t xml:space="preserve"> </w:t>
      </w:r>
      <w:r>
        <w:t xml:space="preserve">As such, Bickel</w:t>
      </w:r>
      <w:r>
        <w:t xml:space="preserve"> </w:t>
      </w:r>
      <w:r>
        <w:rPr>
          <w:i/>
        </w:rPr>
        <w:t xml:space="preserve">et al</w:t>
      </w:r>
      <w:r>
        <w:t xml:space="preserve">. showed that two consecutive bouts of hypertrophic stimuli were associated with increased levels of total RNA, with peak values being observed 72 hrs after the second bout</w:t>
      </w:r>
      <w:r>
        <w:t xml:space="preserve"> </w:t>
      </w:r>
      <w:r>
        <w:t xml:space="preserve">(Bickel</w:t>
      </w:r>
      <w:r>
        <w:t xml:space="preserve"> </w:t>
      </w:r>
      <w:r>
        <w:rPr>
          <w:i/>
        </w:rPr>
        <w:t xml:space="preserve">et al.</w:t>
      </w:r>
      <w:r>
        <w:t xml:space="preserve">, 2005)</w:t>
      </w:r>
      <w:r>
        <w:t xml:space="preserve">.</w:t>
      </w:r>
      <w:r>
        <w:t xml:space="preserve"> </w:t>
      </w:r>
      <w:r>
        <w:t xml:space="preserve">Brook</w:t>
      </w:r>
      <w:r>
        <w:t xml:space="preserve"> </w:t>
      </w:r>
      <w:r>
        <w:rPr>
          <w:i/>
        </w:rPr>
        <w:t xml:space="preserve">et al.</w:t>
      </w:r>
      <w:r>
        <w:t xml:space="preserve">, reported peak values after nine sessions followed by a slight decrease to after 18 sessions</w:t>
      </w:r>
      <w:r>
        <w:t xml:space="preserve"> </w:t>
      </w:r>
      <w:r>
        <w:t xml:space="preserve">(Brook</w:t>
      </w:r>
      <w:r>
        <w:t xml:space="preserve"> </w:t>
      </w:r>
      <w:r>
        <w:rPr>
          <w:i/>
        </w:rPr>
        <w:t xml:space="preserve">et al.</w:t>
      </w:r>
      <w:r>
        <w:t xml:space="preserve">, 2016)</w:t>
      </w:r>
      <w:r>
        <w:t xml:space="preserve">,</w:t>
      </w:r>
      <w:r>
        <w:t xml:space="preserve"> </w:t>
      </w:r>
      <w:r>
        <w:t xml:space="preserve">resembling data from our lab where five sessions of RT led to marked increase in total RNA levels (per-unit muscle tissue), whereupon a numerical lowering occurred to after the last training session of the 12 wk interventions (31 session).</w:t>
      </w:r>
      <w:r>
        <w:t xml:space="preserve"> </w:t>
      </w:r>
      <w:r>
        <w:t xml:space="preserve">(Hammarström</w:t>
      </w:r>
      <w:r>
        <w:t xml:space="preserve"> </w:t>
      </w:r>
      <w:r>
        <w:rPr>
          <w:i/>
        </w:rPr>
        <w:t xml:space="preserve">et al.</w:t>
      </w:r>
      <w:r>
        <w:t xml:space="preserve">, 2020)</w:t>
      </w:r>
      <w:r>
        <w:t xml:space="preserve">.</w:t>
      </w:r>
      <w:r>
        <w:t xml:space="preserve"> </w:t>
      </w:r>
      <w:r>
        <w:t xml:space="preserve">Interestingly, total RNA accumulation in the initial phase was shown to be training volume sensitive as three sets per exercise in leg exercises led to increased total RNA and rRNA accumulation compared to a single set per exercise, coinciding with differences in muscle hypertrophy after week 12.</w:t>
      </w:r>
      <w:r>
        <w:t xml:space="preserve"> </w:t>
      </w:r>
      <w:r>
        <w:t xml:space="preserve">(Hammarström</w:t>
      </w:r>
      <w:r>
        <w:t xml:space="preserve"> </w:t>
      </w:r>
      <w:r>
        <w:rPr>
          <w:i/>
        </w:rPr>
        <w:t xml:space="preserve">et al.</w:t>
      </w:r>
      <w:r>
        <w:t xml:space="preserve">, 2020)</w:t>
      </w:r>
      <w:r>
        <w:t xml:space="preserve">.</w:t>
      </w:r>
      <w:r>
        <w:br/>
      </w:r>
      <w:r>
        <w:t xml:space="preserve">These data suggest that ribosome accumulation reaches a plateau in the early phase of RT and that increases are sensitive to training volume in constant volume protocols.</w:t>
      </w:r>
    </w:p>
    <w:p>
      <w:pPr>
        <w:pStyle w:val="Brdtekst"/>
      </w:pPr>
      <w:r>
        <w:t xml:space="preserve">Based on these observations we hypothesize that (1) ribosome accumulation occurs during the early phase (3-4 weeks) of RT, within which this accumulation (2) reaches a plateau when RT volume is kept constant, (3) displays fluctuations in response to fluctuating training volume and (4) is partially reversed to one week after cessation of RT. In addition to addressing these hypotheses we aimed to relate RNA accumulation to total UBF levels and muscle growth.</w:t>
      </w:r>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FirstParagraph"/>
      </w:pPr>
      <w:r>
        <w:t xml:space="preserve">Eighteen volunteers were recruited to the study. Eligible participants were non-smokers between 18 and 35 years of age with a training history of less than one RT session per week during the six months leading up to the study. Exclusion criteria were consumption of dietary supplements or medication with known effects on muscle metabolism, injuries causing impaired strength and/or affecting their ability to perform RT, symptoms or history of disease, and known adverse reactions to local anesthetics. Participants were allocated to either an training group (TRAIN,</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1 for participant characteristics; see Figure 1A for overview of the intervention). TRAIN performed a 12 session RT protocol lasting for 3-4 weeks, consisting of 10 repetition maximum (RM) unilateral knee-extension, with the two legs conducting RT with different volume profiles, allowing within-participant comparison of the effects of volume regimes. In TRAIN, one leg conducted RT with constant volume throughout the intervention (CONST, 6 sets per session) and the other leg performed RT with variable volume (VAR, 3 blocks of four sessions with 6, 3 and 9 sets per session, respectively; Figure 1A). CTRL did not partake in RT and were instructed to continue their everyday activities. Muscle biopsies were sampled bilaterally in TRAIN before and 48 hrs after the first session, as well as 48 hrs after the fourth, fifth, eight, ninth and twelfth session, and after a seven days of de-training. Muscle biopsies were obtained from CTRL at three occasions; at baseline and 48 hrs and 3-5 weeks (average (SD) 3.6 (0.7)) after the first sampling event. TRAIN and CTRL performed strength assessments &gt; seven days prior to the first biopsy sampling (TRAIN; CTRL), 72 hrs after the twelfth session (TRAIN) and 24 h after the last biopsy (TRAIN, following de-training; CTRL). Appendicular lean mass (Dual-energy X-ray absorptiometry, DXA) and muscle thickness of</w:t>
      </w:r>
      <w:r>
        <w:t xml:space="preserve"> </w:t>
      </w:r>
      <w:r>
        <w:rPr>
          <w:i/>
        </w:rPr>
        <w:t xml:space="preserve">m. vastus lateralis</w:t>
      </w:r>
      <w:r>
        <w:t xml:space="preserve"> </w:t>
      </w:r>
      <w:r>
        <w:t xml:space="preserve">were assessed prior to the first biopsy (TRAIN and CTRL) as wells as before the second to last (TRAIN) and last (TRAIN and CTRL) biopsy.</w:t>
      </w:r>
    </w:p>
    <w:p>
      <w:pPr>
        <w:pStyle w:val="Overskrift2"/>
      </w:pPr>
      <w:bookmarkStart w:id="25" w:name="rt-protocol"/>
      <w:r>
        <w:t xml:space="preserve">RT protocol</w:t>
      </w:r>
      <w:bookmarkEnd w:id="25"/>
    </w:p>
    <w:p>
      <w:pPr>
        <w:pStyle w:val="FirstParagraph"/>
      </w:pPr>
      <w:r>
        <w:t xml:space="preserve">Prior to all RT sessions, participants performed a standardized warm-up consisting of 5 min ergometer cycling (rating of perceived exertion (RPE): 12-14), followed by ten repetitions of push-ups, sit-ups and back-extensions. After warm-up, participants performed unilateral knee-extension with the prescribed number of sets. Each set was prescribed with 10 repetitions maximum (RM). When sets were completed with either fewer (8) or more (12) repetitions, the resistance was adjusted accordingly. Inter-set rest periods were 90 sec. Throughout the intervention RT sessions were alternatingly initiated by training the right and left leg, changing every other session, with the contralateral leg being trained in the rest period between sets of the first leg. The second session of each four-session block (session 2, 6 and 10) was performed at a sub-maximal resistance (~90% of the previous session) with the same number of repetitions (10). Within each session, participants also conducted two sets of three upper-body exercises (bench press, lateral pull-down and shoulder press; 10RM).</w:t>
      </w:r>
      <w:r>
        <w:t xml:space="preserve"> </w:t>
      </w:r>
      <w:r>
        <w:t xml:space="preserve">After completion of each session participants were given a standardized drink to aid recovery (0.15 g kg</w:t>
      </w:r>
      <w:r>
        <w:t xml:space="preserve">-1</w:t>
      </w:r>
      <w:r>
        <w:t xml:space="preserve"> </w:t>
      </w:r>
      <w:r>
        <w:t xml:space="preserve">protein, 11.2 g kg</w:t>
      </w:r>
      <w:r>
        <w:t xml:space="preserve">-1</w:t>
      </w:r>
      <w:r>
        <w:t xml:space="preserve"> </w:t>
      </w:r>
      <w:r>
        <w:t xml:space="preserve">carbohydrates and 0.5 g kg</w:t>
      </w:r>
      <w:r>
        <w:t xml:space="preserve">-1</w:t>
      </w:r>
      <w:r>
        <w:t xml:space="preserve"> </w:t>
      </w:r>
      <w:r>
        <w:t xml:space="preserve">fat).</w:t>
      </w:r>
    </w:p>
    <w:p>
      <w:pPr>
        <w:pStyle w:val="Overskrift2"/>
      </w:pPr>
      <w:bookmarkStart w:id="26" w:name="X53467e62f1677ef73bd51b8a6d6fcb88478bda3"/>
      <w:r>
        <w:t xml:space="preserve">Muscle strength, body composition and muscle thickness assessments</w:t>
      </w:r>
      <w:bookmarkEnd w:id="26"/>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Within the same assessment session, participants remained seated in the dynamometer for measurement perfomed on both legs. The first measurement was alternated between legs every other session. For statistical treatment of the data, all successful attempts were used. The last strength assessment at baseline was performed at least seven days prior to the first biopsy sampling. At least one of the baseline strength tests was performed on separate day with two sessions allowed to be perform on the same day with a short rest between assessments. Post training assessments were performed 48 hours and eight days after the last session.</w:t>
      </w:r>
    </w:p>
    <w:p>
      <w:pPr>
        <w:pStyle w:val="Brdtekst"/>
      </w:pPr>
      <w:r>
        <w:t xml:space="preserve">For determination of body composition participants were scanned using DXA (Lunar Prodigy densitometer, GE Healthcare, Madison, WI, USA) with the standard scanning mode (13-25 cm). Participants were lying supine within the scanning bed reference lines, with a strap secured around the ankles to ensure a standardized body position in each scan. The scans were conducted with participants in a fasted state between 07.00-10.00 AM, with empty bladder and wearing only under-wear. Prior to each scan, a phantom scan was run to prevent baseline drifting from affecting analyses. The same technician was used at each time point. Analyses was performed using GE enCORE version 17.0 software (GE Healthcare). Region of interest was customized for covering upper thigh, marked with a sqaure from pubic symphysis to lateral part of tuberculum major, and distal to art. genu.</w:t>
      </w:r>
    </w:p>
    <w:p>
      <w:pPr>
        <w:pStyle w:val="Brdtekst"/>
      </w:pPr>
      <w:r>
        <w:t xml:space="preserve">Muscle thickness (MT) was measured using a B-mode ultra sound unit (SmartUS EXT-1M, Telemed, Vilnius, Lithuania). Participants lay supine in a relaxed position for 20 min before assessments, with their feet strapped in a standardized position. A mark was set on the line 60% of the distance between Spinia Iliac Anterior Superior and the lateral femur condyle. MT of</w:t>
      </w:r>
      <w:r>
        <w:t xml:space="preserve"> </w:t>
      </w:r>
      <w:r>
        <w:rPr>
          <w:i/>
        </w:rPr>
        <w:t xml:space="preserve">m.vastus lateralis</w:t>
      </w:r>
      <w:r>
        <w:t xml:space="preserve"> </w:t>
      </w:r>
      <w:r>
        <w:t xml:space="preserve">was measured applying a water-soluble transmission gel (Aquasonic 100 Ultrasound Transmission Gel; Parker Laboratories Inc., Fairfield, NJ, USA), and a 39 mm 12 MHz ultrasound probe was placed perpendicular to the site of interest without pressing the skin. When the quality of the image was satisfactory, evident as distinct upper and lower muscle fascia, three images were captured, where the probe was relocated to the same position between each image. Position of the probe was marked on the skin and subsequently marked on a transparent paper to ensure similar probe placement for both the right and left</w:t>
      </w:r>
      <w:r>
        <w:t xml:space="preserve"> </w:t>
      </w:r>
      <w:r>
        <w:rPr>
          <w:i/>
        </w:rPr>
        <w:t xml:space="preserve">m.vastus lateralis</w:t>
      </w:r>
      <w:r>
        <w:t xml:space="preserve"> </w:t>
      </w:r>
      <w:r>
        <w:t xml:space="preserve">at subsequent assessments. Analyses were done in ImageJ Fiji</w:t>
      </w:r>
      <w:r>
        <w:t xml:space="preserve"> </w:t>
      </w:r>
      <w:r>
        <w:t xml:space="preserve">(Schindelin</w:t>
      </w:r>
      <w:r>
        <w:t xml:space="preserve"> </w:t>
      </w:r>
      <w:r>
        <w:rPr>
          <w:i/>
        </w:rPr>
        <w:t xml:space="preserve">et al.</w:t>
      </w:r>
      <w:r>
        <w:t xml:space="preserve">, 2012)</w:t>
      </w:r>
      <w:r>
        <w:t xml:space="preserve"> </w:t>
      </w:r>
      <w:r>
        <w:t xml:space="preserve">with images cropped and coded to ensure blinding of the assessor.</w:t>
      </w:r>
    </w:p>
    <w:p>
      <w:pPr>
        <w:pStyle w:val="Overskrift2"/>
      </w:pPr>
      <w:bookmarkStart w:id="27" w:name="muscle-biopsy-sampling"/>
      <w:r>
        <w:t xml:space="preserve">Muscle biopsy sampling</w:t>
      </w:r>
      <w:bookmarkEnd w:id="27"/>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(Lidokain 10 mg ml</w:t>
      </w:r>
      <w:r>
        <w:t xml:space="preserve">-1</w:t>
      </w:r>
      <w:r>
        <w:t xml:space="preserve">, Mylan, Mylan Ireland Limited, Dublin, Ireland) using a disposable needle (12-14 gauge, Universal plus, Medax, Poggio Rusco, Italy), operated with a spring loaded device (Bard Magnum, Bard Norway, Rud, Norway). Two to four passes were made to get sufficient material. One to two aliquots of the samples were quickly dissected free from connective and fat tissue, weighed and frozen in isopentan chilled to -80°C and stored at -80°C until further processing.</w:t>
      </w:r>
    </w:p>
    <w:p>
      <w:pPr>
        <w:pStyle w:val="Overskrift2"/>
      </w:pPr>
      <w:bookmarkStart w:id="28" w:name="rna-and-protein-extraction"/>
      <w:r>
        <w:t xml:space="preserve">RNA and protein extraction</w:t>
      </w:r>
      <w:bookmarkEnd w:id="28"/>
    </w:p>
    <w:p>
      <w:pPr>
        <w:pStyle w:val="FirstParagraph"/>
      </w:pPr>
      <w:r>
        <w:t xml:space="preserve">Frozen muscle tissue was homogenized in 1 ml of Trizol (ThermoFisher Scientific, Oslo, Norway) spiked with 0.04 ng of an external, non-mammalian, RNA spike-in (Lambda PolyA External Standard Kit, Takara Bio Europe, Saint-Germain-en-Laye, France). Mechanical disruption of the samples was achieved using Zirconium Oxide Beads (0.5 mm, Next Advance, Inc., New York, USA) and a bead mill (Bullet blender, Next Advance). Chloroform (200 μl) was added prior to centrifugation (12000 g, 15 min at 4°C) to achieve phase separation. Four hundred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(Kopec</w:t>
      </w:r>
      <w:r>
        <w:t xml:space="preserve"> </w:t>
      </w:r>
      <w:r>
        <w:rPr>
          <w:i/>
        </w:rPr>
        <w:t xml:space="preserve">et al.</w:t>
      </w:r>
      <w:r>
        <w:t xml:space="preserve">, 2017)</w:t>
      </w:r>
      <w:r>
        <w:t xml:space="preserve"> </w:t>
      </w:r>
      <w:r>
        <w:t xml:space="preserve">with modifications. The remaining aqueous phase was removed and DNA was precipitated by the addition of 300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w:t>
      </w:r>
      <w:r>
        <w:t xml:space="preserve"> </w:t>
      </w:r>
      <w:r>
        <w:t xml:space="preserve">(Kopec</w:t>
      </w:r>
      <w:r>
        <w:t xml:space="preserve"> </w:t>
      </w:r>
      <w:r>
        <w:rPr>
          <w:i/>
        </w:rPr>
        <w:t xml:space="preserve">et al.</w:t>
      </w:r>
      <w:r>
        <w:t xml:space="preserve">, 2017)</w:t>
      </w:r>
      <w:r>
        <w:t xml:space="preserve"> </w:t>
      </w:r>
      <w:r>
        <w:t xml:space="preserve">was added (5% SDS, 10 mM Tris, 140 mM NaCl and 20 mM EDTA, pH 8;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p>
      <w:pPr>
        <w:pStyle w:val="Overskrift2"/>
      </w:pPr>
      <w:bookmarkStart w:id="29" w:name="Xdb6ea80b8443aafd59a989e3a5491b5d6eb79f1"/>
      <w:r>
        <w:t xml:space="preserve">Quantitative polymerase chain reaction (qPCR)</w:t>
      </w:r>
      <w:bookmarkEnd w:id="29"/>
    </w:p>
    <w:p>
      <w:pPr>
        <w:pStyle w:val="FirstParagraph"/>
      </w:pPr>
      <w:r>
        <w:t xml:space="preserve">Complementary DNA (cDNA) was synthesized in technical duplicates from 500 ng of total RNA using random hexemer and anchored Oligo-dT primers (Thermo Fisher Scientific) together with Superscript IV (Thermo 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Scientific). Fast cycling was used (1 sec denaturing, 30 sec annealing) after UNG (2 min, 50°C) and polymerase (2 min, 95°C) activation. Melt curves were collected from all reactions to confirm single product amplification. Primers were further evaluated by agarose gel electrophoresis which confirmed primer sizes and non-template control experiments confirming no amplification without template. Primer sequences and their respective average performances are shown in Table 2.</w:t>
      </w:r>
    </w:p>
    <w:p>
      <w:pPr>
        <w:pStyle w:val="Brdtekst"/>
      </w:pPr>
      <w:r>
        <w:t xml:space="preserve">Raw fluorescence data was exported from the QuantStudio software and estimates of quantification cycle (Cq) and amplification efficiency was derived for each reaction using the qpcR package</w:t>
      </w:r>
      <w:r>
        <w:t xml:space="preserve">(Ritz &amp; Spiess, 2008)</w:t>
      </w:r>
      <w:r>
        <w:t xml:space="preserve">.</w:t>
      </w:r>
    </w:p>
    <w:p>
      <w:pPr>
        <w:pStyle w:val="Overskrift2"/>
      </w:pPr>
      <w:bookmarkStart w:id="30" w:name="immunoblotting"/>
      <w:r>
        <w:t xml:space="preserve">Immunoblotting</w:t>
      </w:r>
      <w:bookmarkEnd w:id="30"/>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least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 Fisher Scientiﬁc). Primary antibodies were acquired to detect UBF (F-9, sc-13125, Santa-Cruz Biotechnology, Dallas, Texas, USA) and ribosomal protein S6 (54D2, #2317, Cell Signaling Technology, Danvers, MA, USA).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Signaling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 Fisher Scientiﬁc) using a documentation system. Total protein content was quantified from whole membrane images and defined as the mean gray value of the whole lane. Between-lane gray values were used as background subtracted from protein values. Total protein quantification was done using ImageJ Fiji</w:t>
      </w:r>
      <w:r>
        <w:t xml:space="preserve"> </w:t>
      </w:r>
      <w:r>
        <w:t xml:space="preserve">(Schindelin</w:t>
      </w:r>
      <w:r>
        <w:t xml:space="preserve"> </w:t>
      </w:r>
      <w:r>
        <w:rPr>
          <w:i/>
        </w:rPr>
        <w:t xml:space="preserve">et al.</w:t>
      </w:r>
      <w:r>
        <w:t xml:space="preserve">, 2012)</w:t>
      </w:r>
      <w:r>
        <w:t xml:space="preserve">. Chemiluminescence signals were quantified using Image Studio Lite (LI-COR Biotechnology, Lincoln, NE, USA).</w:t>
      </w:r>
    </w:p>
    <w:p>
      <w:pPr>
        <w:pStyle w:val="Overskrift2"/>
      </w:pPr>
      <w:bookmarkStart w:id="31" w:name="statistics-and-data-analysis"/>
      <w:r>
        <w:t xml:space="preserve">Statistics and data analysis</w:t>
      </w:r>
      <w:bookmarkEnd w:id="31"/>
    </w:p>
    <w:p>
      <w:pPr>
        <w:pStyle w:val="FirstParagraph"/>
      </w:pPr>
      <w:r>
        <w:t xml:space="preserve">Descriptive data are presented as mean and standard deviation (SD). The effect of training on muscle strength, muscle thickness, UBF and rpS6 protein, total RNA and gene abundances was assessed in mixed effects regression models with time and group (TR vs. CTRL) combined in a single factor as population (fixed) effects and leg nested within participant included as group level (random) effects. Data from TR that matched CTRL was included in the comparisons. Changes (</w:t>
      </w:r>
      <m:oMath>
        <m:r>
          <m:t>Δ</m:t>
        </m:r>
      </m:oMath>
      <w:r>
        <w:t xml:space="preserve">) within each group were contrasted to each other (i.e. </w:t>
      </w:r>
      <m:oMath>
        <m:r>
          <m:t>Δ</m:t>
        </m:r>
      </m:oMath>
      <w:r>
        <w:t xml:space="preserve"> </w:t>
      </w:r>
      <w:r>
        <w:t xml:space="preserve">TR -</w:t>
      </w:r>
      <w:r>
        <w:t xml:space="preserve"> </w:t>
      </w:r>
      <m:oMath>
        <m:r>
          <m:t>Δ</m:t>
        </m:r>
      </m:oMath>
      <w:r>
        <w:t xml:space="preserve"> </w:t>
      </w:r>
      <w:r>
        <w:t xml:space="preserve">CTRL) to estimate interactions. The effects of different volume conditions and general time-course patterns were assessed from data using all pairwise observations from the TR group. Based on graphical evaluation of protein and total RNA data, segmented regression models were used to estimate slopes in three segments (session 1-4, 4-8 and 8-12; corresponding to blocks of different volume prescription in the training group). When no robust effects of volume conditions were detected, group averages are presented. Segmented models were fitted with time and volume condition as population effects and legs nested within participants as group level effects.</w:t>
      </w:r>
      <w:r>
        <w:t xml:space="preserve"> </w:t>
      </w:r>
      <w:r>
        <w:t xml:space="preserve">Muscle strength, muscle thickness, protein and total RNA data was modeled after log transformation.</w:t>
      </w:r>
      <w:r>
        <w:t xml:space="preserve"> </w:t>
      </w:r>
      <w:r>
        <w:t xml:space="preserve">Gene abundance data was fitted with time as a categorical variable in comparing volume conditions and Cq values converted to counts as suggested by Matz et al. </w:t>
      </w:r>
      <w:r>
        <w:t xml:space="preserve">(Matz</w:t>
      </w:r>
      <w:r>
        <w:t xml:space="preserve"> </w:t>
      </w:r>
      <w:r>
        <w:rPr>
          <w:i/>
        </w:rPr>
        <w:t xml:space="preserve">et al.</w:t>
      </w:r>
      <w:r>
        <w:t xml:space="preserve">, 2013)</w:t>
      </w:r>
      <w:r>
        <w:t xml:space="preserve">. A Poisson-lognormal model was used to fit the count data using all genes in the data set and including group level effects for each technical duplicate controlling for technical errors in sample preparation. An offset consisting of a normalization factor proportional to the amount of muscle used to prepare cDNA was used to model gene abundance per tissue weight. The external reference gene was used to calculate the normalization factor (External reference counts</w:t>
      </w:r>
      <w:r>
        <w:t xml:space="preserve"> </w:t>
      </w:r>
      <m:oMath>
        <m:r>
          <m:t>×</m:t>
        </m:r>
      </m:oMath>
      <w:r>
        <w:t xml:space="preserve"> </w:t>
      </w:r>
      <w:r>
        <w:t xml:space="preserve">muscle weight (mg) in each Trizol preparation). The offset was specified as a predictor with the coefficient fixed to 1.</w:t>
      </w:r>
    </w:p>
    <w:p>
      <w:pPr>
        <w:pStyle w:val="Brdtekst"/>
      </w:pPr>
      <w:r>
        <w:t xml:space="preserve">A linear model was used to estimate the increase per session and average total RNA for every leg in the TR group. These estimates were then used to estimate the effect of training induced increase per session and average total RNA abundance on muscle hypertrophy. For each leg, session was used as the independent variable centered on Session 6 and log transformed RNA per tissue weight as the dependent variable. Mean-centering of the independent variable was done to obtain an estimate of the average RNA concentration per leg. This also assured that the slope and intercept did not correlate, something that could lead to colinearity issues in subsequent modeling. A mixed effects model was subsequently fitted with differences in muscle thickness pre- to post-training as the dependent variable and estimated percentage per session increases in total RNA, the mean total RNA scaled as standard deviations from the mean and sex as independent variables. Leg nested within participant was used as group levels effects. The robustness of this model was assessed by leave-one-out analysis on the level of individual data points in the relationship between total RNA and sessions and on the level of participants (see Results).</w:t>
      </w:r>
    </w:p>
    <w:p>
      <w:pPr>
        <w:pStyle w:val="Brdtekst"/>
      </w:pPr>
      <w:r>
        <w:t xml:space="preserve">All models were fitted in a Bayesian framework using either the brms</w:t>
      </w:r>
      <w:r>
        <w:t xml:space="preserve"> </w:t>
      </w:r>
      <w:r>
        <w:t xml:space="preserve">(Bürkner, 2017)</w:t>
      </w:r>
      <w:r>
        <w:t xml:space="preserve"> </w:t>
      </w:r>
      <w:r>
        <w:t xml:space="preserve">or MCMCglmm</w:t>
      </w:r>
      <w:r>
        <w:t xml:space="preserve"> </w:t>
      </w:r>
      <w:r>
        <w:t xml:space="preserve">(Hadfield, 2010)</w:t>
      </w:r>
      <w:r>
        <w:t xml:space="preserve"> </w:t>
      </w:r>
      <w:r>
        <w:t xml:space="preserve">package written for R</w:t>
      </w:r>
      <w:r>
        <w:t xml:space="preserve"> </w:t>
      </w:r>
      <w:r>
        <w:t xml:space="preserve">(R Core Team, 2020)</w:t>
      </w:r>
      <w:r>
        <w:t xml:space="preserve">. Inference about effects of interest was done based on point estimates and their 95% credible intervals (CI). Credible intervals not containing null effects were interpreted as robust. Models were fitted with default priors which also makes CI analogous to confidence intervals but with the interpretation being that the CI contains the true population value with the specified certainty (95%), given the data.</w:t>
      </w:r>
      <w:r>
        <w:t xml:space="preserve"> </w:t>
      </w:r>
      <w:r>
        <w:t xml:space="preserve">Fitting performance was assessed by confirming convergence of at least four different chains of MCMC samples (graphically assessed and confirmed with</w:t>
      </w:r>
      <w:r>
        <w:t xml:space="preserve"> </w:t>
      </w:r>
      <m:oMath>
        <m:acc>
          <m:accPr>
            <m:chr m:val="̂"/>
          </m:accPr>
          <m:e>
            <m:r>
              <m:t>R</m:t>
            </m:r>
          </m:e>
        </m:acc>
        <m:r>
          <m:t>≈</m:t>
        </m:r>
        <m:r>
          <m:t>1</m:t>
        </m:r>
      </m:oMath>
      <w:r>
        <w:t xml:space="preserve">). Model performance was assessed from comparing simulated data from each model to observed data graphically (posterior predictive checks).</w:t>
      </w:r>
    </w:p>
    <w:p>
      <w:pPr>
        <w:pStyle w:val="Overskrift1"/>
      </w:pPr>
      <w:bookmarkStart w:id="32" w:name="results"/>
      <w:r>
        <w:t xml:space="preserve">Results</w:t>
      </w:r>
      <w:bookmarkEnd w:id="32"/>
    </w:p>
    <w:p>
      <w:pPr>
        <w:pStyle w:val="FirstParagraph"/>
      </w:pPr>
      <w:r>
        <w:t xml:space="preserve">All participants successfully completed their prescribed sessions. Different volume conditions resulted in diverging loading profiles (load × repetitions) over the course of the study (Figure 1B). The intensity of exercise (load at 10RM) increased similarly in both conditions from the first to the second (30%, 95% CI: [21, 41]) and third (47%, [35, 61]) four-session block, respectively. Isokinetic strength increased to Session 12 in the experimental group compared to the non-training control group, with an attenuated difference seen after de-training (Figure 1C). Average isometric strength showed the same general pattern although with considerable more uncertainty indicated by wider 95% CI (Figure 1C). Muscle thickness of the</w:t>
      </w:r>
      <w:r>
        <w:t xml:space="preserve"> </w:t>
      </w:r>
      <w:r>
        <w:rPr>
          <w:i/>
        </w:rPr>
        <w:t xml:space="preserve">m. vastus lateralis</w:t>
      </w:r>
      <w:r>
        <w:t xml:space="preserve"> </w:t>
      </w:r>
      <w:r>
        <w:t xml:space="preserve">increased in the experimental group compared to the control group both after Session 12 and after eight days of de-training (Figure 1D). There were no indications of differences between training conditions in strength or muscle thickness changes.</w:t>
      </w:r>
    </w:p>
    <w:p>
      <w:pPr>
        <w:pStyle w:val="Brdtekst"/>
      </w:pPr>
      <w:r>
        <w:t xml:space="preserve">Protein levels of RPS6 and UBF increased only after twelve sessions in the training group compared to control and stayed elevated after eight days of rest (Figure 2A and B). The average increase in protein levels over twelve sessions was near linear in both targets and estimated to 4.2% [1.1, 7.3], 2.6% [-0.4, 5.6] and 4.6% [1.2, 8.1] in RPS6, and 7.3% [2.1, 12.7], 4.6% [-0.4, 9.9] and 6.1% [0.3, 12.2] in UBF per session between session 1-4, 4-8 and 8-12, respectively. Slopes did not differ between volume-conditions but there was a tendency towards lower levels of UBF in the variable condition at session 12 (-19.7% [-42.8, 11.6]). After the de-training period the constant volume condition tended to show decreased levels of UBF (-22.5% [-44.4, 7.0]) while the variable volume condition remained at a similar level compare to session 12 (8.0% [-21.4, 49.6]; interaction effect: 34.4% [-14.8, 113.1]). Levels of rpS6 did not change in the de-training period and were similar between volume conditions.</w:t>
      </w:r>
    </w:p>
    <w:p>
      <w:pPr>
        <w:pStyle w:val="Brdtekst"/>
      </w:pPr>
      <w:r>
        <w:t xml:space="preserve">A single session of RT led to robust increase in 47S and 45S pre-rRNA expressed per unit tissue weight within the training group (Figure 3B) and compared to control (Figure 3C). These transcripts were also increased compared to control after twelve sessions together with the 45S ITS and mature rRNA species 28S and 18S (Figure 3C). After eight days of rest, only 18S and 28S remained elevated above levels measured in the control group (Figure 3B). This general pattern of rRNA expression was reflected also in total RNA expressed per unit tissue weight were a robust increase compared to control was seen after session twelve (Figure 3E and F). Within the experimental group, only small differences were seen in rRNA subspecies as 45S ETS was robustly higher after 12 sessions in the variable volume condition after an imbalance between conditions prior to training (Figure 3D). Total RNA increased similarly in both volume conditions throughout the training period (Figure 3G). Most of the increase was seen in the first four sessions where the average increase was 8.6%, 95% CI: [5.5, 11.7] per session in the intervention group as a whole. Between session four and eight, and eight to twelve changes in total RNA per tissue weight per session was not robustly different from zero (1.9%, [-0.9, 4.7] and 0.0%, [-3.1, 3.2]). After the de-training period Total-RNA decreased by -19.2%, [-29.1, -8.1] from levels measured after Session 12.</w:t>
      </w:r>
    </w:p>
    <w:p>
      <w:pPr>
        <w:pStyle w:val="Brdtekst"/>
      </w:pPr>
      <w:r>
        <w:t xml:space="preserve">UBF levels robustly predicted total RNA values as a standard deviation change in UBF levels led to a 5.5% [1.0, 10.2] increase in total RNA per unit tissue weight (Table X).</w:t>
      </w:r>
      <w:r>
        <w:t xml:space="preserve"> </w:t>
      </w:r>
      <w:r>
        <w:t xml:space="preserve">To estimate the influence of total RNA on muscle growth the average linear increase in total RNA was calculated for each leg together with the average total RNA abundance over the course of the training intervention in the training group.</w:t>
      </w:r>
      <w:r>
        <w:t xml:space="preserve"> </w:t>
      </w:r>
      <w:r>
        <w:t xml:space="preserve">The relationship between muscle growth and characteristics of individual total RNA profiles were estimated in a regression model containing the increase in total RNA concentrations, expressed as percentage increase per session, and average total RNA abundance at Session 6, expressed as standard deviations from the mean. The model also contained sex as predictor to control for sex differences in muscle growth. Total RNA increase in response to training together with the average level of total RNA robustly predicted muscle growth (Table 4, Figure 4A and B). To assess the robustness of the model, each data point was iteratively removed from the data set and the model was refitted using new estimates of the total RNA abundance and increase. This analysis indicated that the relationship between Total RNA increase and muscle growth was preserved in all iterations but the upper limit of the 95% CI spanned 0 in some instances regarding the relationship between average RNA and muscle growth (Figure 4D). We further assessed the model by iteratively removing one participant from the data set, similarly this showed that estimates of the total RNA increase effect on muscle growth was robust but average total RNA estimates spanned 0 in some cases (Participant 8 and 3 in Figure 4D).</w:t>
      </w:r>
    </w:p>
    <w:p>
      <w:pPr>
        <w:pStyle w:val="Overskrift1"/>
      </w:pPr>
      <w:bookmarkStart w:id="33" w:name="discussion"/>
      <w:r>
        <w:t xml:space="preserve">Discussion</w:t>
      </w:r>
      <w:bookmarkEnd w:id="33"/>
    </w:p>
    <w:p>
      <w:pPr>
        <w:pStyle w:val="FirstParagraph"/>
      </w:pPr>
      <w:r>
        <w:t xml:space="preserve">A main objective of this study was to establish a time course for training induced ribosomal biogenesis. We first set out to confirmed that markers of ribosome density were actually training induced and could do so as total RNA, ribosomal RNA subspecies and rpS6 mRNA and protein increased in the training group compared to the non-training control group. Total RNA has been used in many previous studies as an approximation of ribosomal density as the majority of total RNA is ribosomal</w:t>
      </w:r>
      <w:r>
        <w:t xml:space="preserve"> </w:t>
      </w:r>
      <w:r>
        <w:t xml:space="preserve">(Figueiredo &amp; McCarthy, 2019)</w:t>
      </w:r>
      <w:r>
        <w:t xml:space="preserve"> </w:t>
      </w:r>
      <w:r>
        <w:t xml:space="preserve">and total RNA concentrations predicts protein synthesis</w:t>
      </w:r>
      <w:r>
        <w:t xml:space="preserve"> </w:t>
      </w:r>
      <w:r>
        <w:t xml:space="preserve">(Millward</w:t>
      </w:r>
      <w:r>
        <w:t xml:space="preserve"> </w:t>
      </w:r>
      <w:r>
        <w:rPr>
          <w:i/>
        </w:rPr>
        <w:t xml:space="preserve">et al.</w:t>
      </w:r>
      <w:r>
        <w:t xml:space="preserve">, 1973)</w:t>
      </w:r>
      <w:r>
        <w:t xml:space="preserve">. Previous studies have indicated that the training induced rise in total RNA reaches a peak after which a plateau or decrease is observed</w:t>
      </w:r>
      <w:r>
        <w:t xml:space="preserve"> </w:t>
      </w:r>
      <w:r>
        <w:t xml:space="preserve">(Brook</w:t>
      </w:r>
      <w:r>
        <w:t xml:space="preserve"> </w:t>
      </w:r>
      <w:r>
        <w:rPr>
          <w:i/>
        </w:rPr>
        <w:t xml:space="preserve">et al.</w:t>
      </w:r>
      <w:r>
        <w:t xml:space="preserve">, 2016;</w:t>
      </w:r>
      <w:r>
        <w:t xml:space="preserve"> </w:t>
      </w:r>
      <w:r>
        <w:t xml:space="preserve"> </w:t>
      </w:r>
      <w:r>
        <w:t xml:space="preserve">Hammarström</w:t>
      </w:r>
      <w:r>
        <w:t xml:space="preserve"> </w:t>
      </w:r>
      <w:r>
        <w:rPr>
          <w:i/>
        </w:rPr>
        <w:t xml:space="preserve">et al.</w:t>
      </w:r>
      <w:r>
        <w:t xml:space="preserve">, 2020)</w:t>
      </w:r>
      <w:r>
        <w:t xml:space="preserve">.</w:t>
      </w:r>
      <w:r>
        <w:t xml:space="preserve"> </w:t>
      </w:r>
      <w:r>
        <w:t xml:space="preserve">In the present study we observed a rapid increase in the first four sessions after which a plateau was observed. The observed plateau could be a consequence of the unit of measure as total RNA is estimated per unit tissue weight and that ribosome biogenesis occurs simultaneously as protein accretion leading to a dilution effect</w:t>
      </w:r>
      <w:r>
        <w:t xml:space="preserve"> </w:t>
      </w:r>
      <w:r>
        <w:t xml:space="preserve">(Figueiredo &amp; McCarthy, 2019)</w:t>
      </w:r>
      <w:r>
        <w:t xml:space="preserve">.</w:t>
      </w:r>
      <w:r>
        <w:t xml:space="preserve"> </w:t>
      </w:r>
      <w:r>
        <w:t xml:space="preserve">We could confirm muscle hypertrophy both after session 12 and after a period of de-training indicating that the dilution effect is a reasonable assumption in interpreting the observed plateau. Further supporting this view is UBF increased over the whole training period indicating that the transcriptional apparatus continued to increase over the whole course of the training period.</w:t>
      </w:r>
      <w:r>
        <w:br/>
      </w:r>
      <w:r>
        <w:t xml:space="preserve">From a mechanistic perspective, UBF is an important factor for rDNA transcription as it, in its active state recruits a secondary transcription factor (SL1) to the rDNA promoter and enables transcription by RNA polymerase I</w:t>
      </w:r>
      <w:r>
        <w:t xml:space="preserve"> </w:t>
      </w:r>
      <w:r>
        <w:t xml:space="preserve">(Lin</w:t>
      </w:r>
      <w:r>
        <w:t xml:space="preserve"> </w:t>
      </w:r>
      <w:r>
        <w:rPr>
          <w:i/>
        </w:rPr>
        <w:t xml:space="preserve">et al.</w:t>
      </w:r>
      <w:r>
        <w:t xml:space="preserve">, 2007)</w:t>
      </w:r>
      <w:r>
        <w:t xml:space="preserve">.</w:t>
      </w:r>
      <w:r>
        <w:t xml:space="preserve"> </w:t>
      </w:r>
      <w:r>
        <w:t xml:space="preserve">Activation of UBF is thought to be related to signaling through the mechanosensitive mTOR pathway as rapamycin, a specific mTOR inhibitor, blocks UBF from recruiting SL1 and subsequent rRNA transcription</w:t>
      </w:r>
      <w:r>
        <w:t xml:space="preserve"> </w:t>
      </w:r>
      <w:r>
        <w:t xml:space="preserve">(Nader</w:t>
      </w:r>
      <w:r>
        <w:t xml:space="preserve"> </w:t>
      </w:r>
      <w:r>
        <w:rPr>
          <w:i/>
        </w:rPr>
        <w:t xml:space="preserve">et al.</w:t>
      </w:r>
      <w:r>
        <w:t xml:space="preserve">, 2005;</w:t>
      </w:r>
      <w:r>
        <w:t xml:space="preserve"> </w:t>
      </w:r>
      <w:r>
        <w:t xml:space="preserve"> </w:t>
      </w:r>
      <w:r>
        <w:t xml:space="preserve">Hannan</w:t>
      </w:r>
      <w:r>
        <w:t xml:space="preserve"> </w:t>
      </w:r>
      <w:r>
        <w:rPr>
          <w:i/>
        </w:rPr>
        <w:t xml:space="preserve">et al.</w:t>
      </w:r>
      <w:r>
        <w:t xml:space="preserve">, 2003)</w:t>
      </w:r>
      <w:r>
        <w:t xml:space="preserve"> </w:t>
      </w:r>
      <w:r>
        <w:t xml:space="preserve"> </w:t>
      </w:r>
      <w:r>
        <w:t xml:space="preserve">Evidence from human exercise studies confirms training induced activation of UBF through phosphorylation</w:t>
      </w:r>
      <w:r>
        <w:t xml:space="preserve"> </w:t>
      </w:r>
      <w:r>
        <w:t xml:space="preserve">(Figueiredo</w:t>
      </w:r>
      <w:r>
        <w:t xml:space="preserve"> </w:t>
      </w:r>
      <w:r>
        <w:rPr>
          <w:i/>
        </w:rPr>
        <w:t xml:space="preserve">et al.</w:t>
      </w:r>
      <w:r>
        <w:t xml:space="preserve">, 2016,</w:t>
      </w:r>
      <w:r>
        <w:t xml:space="preserve"> </w:t>
      </w:r>
      <w:r>
        <w:t xml:space="preserve"> </w:t>
      </w:r>
      <w:r>
        <w:t xml:space="preserve">2015)</w:t>
      </w:r>
      <w:r>
        <w:t xml:space="preserve">.</w:t>
      </w:r>
      <w:r>
        <w:t xml:space="preserve"> </w:t>
      </w:r>
      <w:r>
        <w:t xml:space="preserve">In addition to exercise induced activation of UBF, mechanical loading leads to increased levels of total UBF</w:t>
      </w:r>
      <w:r>
        <w:t xml:space="preserve"> </w:t>
      </w:r>
      <w:r>
        <w:t xml:space="preserve">(Figueiredo</w:t>
      </w:r>
      <w:r>
        <w:t xml:space="preserve"> </w:t>
      </w:r>
      <w:r>
        <w:rPr>
          <w:i/>
        </w:rPr>
        <w:t xml:space="preserve">et al.</w:t>
      </w:r>
      <w:r>
        <w:t xml:space="preserve">, 2016,</w:t>
      </w:r>
      <w:r>
        <w:t xml:space="preserve"> </w:t>
      </w:r>
      <w:r>
        <w:t xml:space="preserve"> </w:t>
      </w:r>
      <w:r>
        <w:t xml:space="preserve">2015)</w:t>
      </w:r>
      <w:r>
        <w:t xml:space="preserve">. Increases in UBF was determined to be rapamycin insensitive after synergist ablation in mice</w:t>
      </w:r>
      <w:r>
        <w:t xml:space="preserve"> </w:t>
      </w:r>
      <w:r>
        <w:t xml:space="preserve">(Goodman</w:t>
      </w:r>
      <w:r>
        <w:t xml:space="preserve"> </w:t>
      </w:r>
      <w:r>
        <w:rPr>
          <w:i/>
        </w:rPr>
        <w:t xml:space="preserve">et al.</w:t>
      </w:r>
      <w:r>
        <w:t xml:space="preserve">, 2011)</w:t>
      </w:r>
      <w:r>
        <w:t xml:space="preserve"> </w:t>
      </w:r>
      <w:r>
        <w:t xml:space="preserve">pointing to an effect observed in cell models where c-Myc induces UBF mRNA transcription</w:t>
      </w:r>
      <w:r>
        <w:t xml:space="preserve"> </w:t>
      </w:r>
      <w:r>
        <w:t xml:space="preserve">(Poortinga</w:t>
      </w:r>
      <w:r>
        <w:t xml:space="preserve"> </w:t>
      </w:r>
      <w:r>
        <w:rPr>
          <w:i/>
        </w:rPr>
        <w:t xml:space="preserve">et al.</w:t>
      </w:r>
      <w:r>
        <w:t xml:space="preserve">, 2004)</w:t>
      </w:r>
      <w:r>
        <w:t xml:space="preserve">.</w:t>
      </w:r>
      <w:r>
        <w:t xml:space="preserve"> </w:t>
      </w:r>
      <w:r>
        <w:t xml:space="preserve">Interestingly the avalability of UBF</w:t>
      </w:r>
      <w:r>
        <w:t xml:space="preserve"> </w:t>
      </w:r>
      <w:r>
        <w:rPr>
          <w:i/>
        </w:rPr>
        <w:t xml:space="preserve">per se</w:t>
      </w:r>
      <w:r>
        <w:t xml:space="preserve"> </w:t>
      </w:r>
      <w:r>
        <w:t xml:space="preserve">has been shown to regulate rRNA transcription</w:t>
      </w:r>
      <w:r>
        <w:t xml:space="preserve"> </w:t>
      </w:r>
      <w:r>
        <w:t xml:space="preserve">(Hannan</w:t>
      </w:r>
      <w:r>
        <w:t xml:space="preserve"> </w:t>
      </w:r>
      <w:r>
        <w:rPr>
          <w:i/>
        </w:rPr>
        <w:t xml:space="preserve">et al.</w:t>
      </w:r>
      <w:r>
        <w:t xml:space="preserve">, 1996)</w:t>
      </w:r>
      <w:r>
        <w:t xml:space="preserve"> </w:t>
      </w:r>
      <w:r>
        <w:t xml:space="preserve">through control of rDNA gene activity</w:t>
      </w:r>
      <w:r>
        <w:t xml:space="preserve"> </w:t>
      </w:r>
      <w:r>
        <w:t xml:space="preserve">(Sanij</w:t>
      </w:r>
      <w:r>
        <w:t xml:space="preserve"> </w:t>
      </w:r>
      <w:r>
        <w:rPr>
          <w:i/>
        </w:rPr>
        <w:t xml:space="preserve">et al.</w:t>
      </w:r>
      <w:r>
        <w:t xml:space="preserve">, 2008)</w:t>
      </w:r>
      <w:r>
        <w:t xml:space="preserve">.</w:t>
      </w:r>
      <w:r>
        <w:t xml:space="preserve"> </w:t>
      </w:r>
      <w:r>
        <w:t xml:space="preserve">In the present study we measured total UBF levels and observed that the relative amount of UBF was related to total RNA concentrations over the whole course of the study indicating its role in ribosomal biogenesis. Together the above suggests that rRNA transcription may not plateau during short term training but muscle hyertrophy leads to a dilution effect. This observation has consequences for the use of total RNA per unit tissue weight as a determinant muscle growth as the muscle growth itself affects the measurement.</w:t>
      </w:r>
    </w:p>
    <w:p>
      <w:pPr>
        <w:pStyle w:val="Brdtekst"/>
      </w:pPr>
      <w:r>
        <w:t xml:space="preserve">After the short de-training period, total RNA levels decreased in the training group (check if this is correct robust? More than no change in control?). This occured at the same time as no additional muscle hypertrophy was observed. [To do: check de training effect on pre-rRNA and total rRNA].</w:t>
      </w:r>
      <w:r>
        <w:t xml:space="preserve"> </w:t>
      </w:r>
      <w:r>
        <w:t xml:space="preserve"> </w:t>
      </w:r>
      <w:r>
        <w:t xml:space="preserve">Resistance training volume, expressed in human exercise studies as the number of sets performed per session and muscle group is known to be a potent modulator of molecular mechanisms determining protein synthesis and ribosomal biogenesis including c-Myc induction, mTOR activation</w:t>
      </w:r>
      <w:r>
        <w:t xml:space="preserve"> </w:t>
      </w:r>
      <w:r>
        <w:t xml:space="preserve">(Hammarström</w:t>
      </w:r>
      <w:r>
        <w:t xml:space="preserve"> </w:t>
      </w:r>
      <w:r>
        <w:rPr>
          <w:i/>
        </w:rPr>
        <w:t xml:space="preserve">et al.</w:t>
      </w:r>
      <w:r>
        <w:t xml:space="preserve">, 2020;</w:t>
      </w:r>
      <w:r>
        <w:t xml:space="preserve"> </w:t>
      </w:r>
      <w:r>
        <w:t xml:space="preserve"> </w:t>
      </w:r>
      <w:r>
        <w:t xml:space="preserve">Ahtiainen</w:t>
      </w:r>
      <w:r>
        <w:t xml:space="preserve"> </w:t>
      </w:r>
      <w:r>
        <w:rPr>
          <w:i/>
        </w:rPr>
        <w:t xml:space="preserve">et al.</w:t>
      </w:r>
      <w:r>
        <w:t xml:space="preserve">, 2015;</w:t>
      </w:r>
      <w:r>
        <w:t xml:space="preserve"> </w:t>
      </w:r>
      <w:r>
        <w:t xml:space="preserve"> </w:t>
      </w:r>
      <w:r>
        <w:t xml:space="preserve">Burd</w:t>
      </w:r>
      <w:r>
        <w:t xml:space="preserve"> </w:t>
      </w:r>
      <w:r>
        <w:rPr>
          <w:i/>
        </w:rPr>
        <w:t xml:space="preserve">et al.</w:t>
      </w:r>
      <w:r>
        <w:t xml:space="preserve">, 2010)</w:t>
      </w:r>
      <w:r>
        <w:t xml:space="preserve">,</w:t>
      </w:r>
      <w:r>
        <w:t xml:space="preserve"> </w:t>
      </w:r>
      <w:r>
        <w:t xml:space="preserve">total RNA increases</w:t>
      </w:r>
      <w:r>
        <w:t xml:space="preserve"> </w:t>
      </w:r>
      <w:r>
        <w:t xml:space="preserve">(Hammarström</w:t>
      </w:r>
      <w:r>
        <w:t xml:space="preserve"> </w:t>
      </w:r>
      <w:r>
        <w:rPr>
          <w:i/>
        </w:rPr>
        <w:t xml:space="preserve">et al.</w:t>
      </w:r>
      <w:r>
        <w:t xml:space="preserve">, 2020)</w:t>
      </w:r>
      <w:r>
        <w:t xml:space="preserve"> </w:t>
      </w:r>
      <w:r>
        <w:t xml:space="preserve">and post exercise protein synthesis</w:t>
      </w:r>
      <w:r>
        <w:t xml:space="preserve"> </w:t>
      </w:r>
      <w:r>
        <w:t xml:space="preserve">(Burd</w:t>
      </w:r>
      <w:r>
        <w:t xml:space="preserve"> </w:t>
      </w:r>
      <w:r>
        <w:rPr>
          <w:i/>
        </w:rPr>
        <w:t xml:space="preserve">et al.</w:t>
      </w:r>
      <w:r>
        <w:t xml:space="preserve">, 2010)</w:t>
      </w:r>
      <w:r>
        <w:t xml:space="preserve"> </w:t>
      </w:r>
      <w:r>
        <w:t xml:space="preserve">and subsequent training outcomes</w:t>
      </w:r>
      <w:r>
        <w:t xml:space="preserve"> </w:t>
      </w:r>
      <w:r>
        <w:t xml:space="preserve">(Schoenfeld</w:t>
      </w:r>
      <w:r>
        <w:t xml:space="preserve"> </w:t>
      </w:r>
      <w:r>
        <w:rPr>
          <w:i/>
        </w:rPr>
        <w:t xml:space="preserve">et al.</w:t>
      </w:r>
      <w:r>
        <w:t xml:space="preserve">, 2016; Hammarström</w:t>
      </w:r>
      <w:r>
        <w:t xml:space="preserve"> </w:t>
      </w:r>
      <w:r>
        <w:rPr>
          <w:i/>
        </w:rPr>
        <w:t xml:space="preserve">et al.</w:t>
      </w:r>
      <w:r>
        <w:t xml:space="preserve">, 2020)</w:t>
      </w:r>
      <w:r>
        <w:t xml:space="preserve">.</w:t>
      </w:r>
      <w:r>
        <w:t xml:space="preserve"> </w:t>
      </w:r>
      <w:r>
        <w:t xml:space="preserve">We have previously shown different amounts of training volume in constant volume protocols leads to differences in total RNA and rRNA accumulation in the initial phase of RT</w:t>
      </w:r>
      <w:r>
        <w:t xml:space="preserve"> </w:t>
      </w:r>
      <w:r>
        <w:t xml:space="preserve">(Hammarström</w:t>
      </w:r>
      <w:r>
        <w:t xml:space="preserve"> </w:t>
      </w:r>
      <w:r>
        <w:rPr>
          <w:i/>
        </w:rPr>
        <w:t xml:space="preserve">et al.</w:t>
      </w:r>
      <w:r>
        <w:t xml:space="preserve">, 2020)</w:t>
      </w:r>
      <w:r>
        <w:t xml:space="preserve">. Based on the notion that ribosomal biogenesis is a complex tightly regulated and energy demanding process for any cell</w:t>
      </w:r>
      <w:r>
        <w:t xml:space="preserve"> </w:t>
      </w:r>
      <w:r>
        <w:t xml:space="preserve">(Moss</w:t>
      </w:r>
      <w:r>
        <w:t xml:space="preserve"> </w:t>
      </w:r>
      <w:r>
        <w:rPr>
          <w:i/>
        </w:rPr>
        <w:t xml:space="preserve">et al.</w:t>
      </w:r>
      <w:r>
        <w:t xml:space="preserve">, 2007)</w:t>
      </w:r>
      <w:r>
        <w:t xml:space="preserve"> </w:t>
      </w:r>
      <w:r>
        <w:t xml:space="preserve">we hypnotized that fluctuations in training load would reflect in markers of ribosomal biosynthesis reflecting the current need. Comparing the two volume conditions in the present study we only found one part of the 45S ETS to be differentially expressed at Session 12 in favor of VAR. Together with a tendency of a rescued UBF level in response to increased volume in the VAR protocol after de-training, these observations do not give much support for this hypothesis. It is instead possible that after the initial four sessions a reduction of training load was sufficient to maximize ribosome biogenesis in this short time span. This leads us to suggest that ribsomal biogenesis is not sensitive to fluctuations in training volume during the initial phase of resistance training.</w:t>
      </w:r>
    </w:p>
    <w:p>
      <w:pPr>
        <w:pStyle w:val="Brdtekst"/>
      </w:pPr>
      <w:r>
        <w:t xml:space="preserve">In conclusion…q</w:t>
      </w:r>
    </w:p>
    <w:p>
      <w:pPr>
        <w:pStyle w:val="Overskrift1"/>
      </w:pPr>
      <w:bookmarkStart w:id="34" w:name="references"/>
      <w:r>
        <w:t xml:space="preserve">References</w:t>
      </w:r>
      <w:bookmarkEnd w:id="34"/>
    </w:p>
    <w:bookmarkStart w:id="79" w:name="refs"/>
    <w:bookmarkStart w:id="35" w:name="ref-RN1837"/>
    <w:p>
      <w:pPr>
        <w:pStyle w:val="Bibliografi"/>
      </w:pPr>
      <w:r>
        <w:t xml:space="preserve">Ahtiainen JP, Walker S, Silvennoinen M, Kyrolainen H, Nindl BC, Hakkinen K, Nyman K, Selanne H &amp; Hulmi JJ (2015). Exercise type and volume alter signaling pathways regulating skeletal muscle glucose uptake and protein synthesis.</w:t>
      </w:r>
      <w:r>
        <w:t xml:space="preserve"> </w:t>
      </w:r>
      <w:r>
        <w:rPr>
          <w:i/>
        </w:rPr>
        <w:t xml:space="preserve">Eur J Appl Physiol</w:t>
      </w:r>
      <w:r>
        <w:t xml:space="preserve"> </w:t>
      </w:r>
      <w:r>
        <w:rPr>
          <w:b/>
        </w:rPr>
        <w:t xml:space="preserve">115,</w:t>
      </w:r>
      <w:r>
        <w:t xml:space="preserve"> </w:t>
      </w:r>
      <w:r>
        <w:t xml:space="preserve">1835–1845.</w:t>
      </w:r>
    </w:p>
    <w:bookmarkEnd w:id="35"/>
    <w:bookmarkStart w:id="36"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6"/>
    <w:bookmarkStart w:id="37" w:name="ref-RN1809"/>
    <w:p>
      <w:pPr>
        <w:pStyle w:val="Bibliografi"/>
      </w:pPr>
      <w:r>
        <w:t xml:space="preserve">Brook MS, Wilkinson DJ, Mitchell WK, Lund JN, Phillips BE, Szewczyk NJ, Greenhaff PL, Smith K &amp; Atherton PJ (2016). Synchronous deficits in cumulative muscle protein synthesis and ribosomal biogenesis underlie age-related anabolic resistance to exercise in humans.</w:t>
      </w:r>
      <w:r>
        <w:t xml:space="preserve"> </w:t>
      </w:r>
      <w:r>
        <w:rPr>
          <w:i/>
        </w:rPr>
        <w:t xml:space="preserve">J Physiol</w:t>
      </w:r>
      <w:r>
        <w:t xml:space="preserve"> </w:t>
      </w:r>
      <w:r>
        <w:rPr>
          <w:b/>
        </w:rPr>
        <w:t xml:space="preserve">594,</w:t>
      </w:r>
      <w:r>
        <w:t xml:space="preserve"> </w:t>
      </w:r>
      <w:r>
        <w:t xml:space="preserve">7399–7417.</w:t>
      </w:r>
    </w:p>
    <w:bookmarkEnd w:id="37"/>
    <w:bookmarkStart w:id="38"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8"/>
    <w:bookmarkStart w:id="39" w:name="ref-RN791"/>
    <w:p>
      <w:pPr>
        <w:pStyle w:val="Bibliografi"/>
      </w:pPr>
      <w:r>
        <w:t xml:space="preserve">Burd NA, Holwerda AM, Selby KC, West DW, Staples AW, Cain NE, Cashaback JG, Potvin JR, Baker SK &amp; Phillips SM (2010). Resistance exercise volume affects myofibrillar protein synthesis and anabolic signalling molecule phosphorylation in young men.</w:t>
      </w:r>
      <w:r>
        <w:t xml:space="preserve"> </w:t>
      </w:r>
      <w:r>
        <w:rPr>
          <w:i/>
        </w:rPr>
        <w:t xml:space="preserve">J Physiol</w:t>
      </w:r>
      <w:r>
        <w:t xml:space="preserve"> </w:t>
      </w:r>
      <w:r>
        <w:rPr>
          <w:b/>
        </w:rPr>
        <w:t xml:space="preserve">588,</w:t>
      </w:r>
      <w:r>
        <w:t xml:space="preserve"> </w:t>
      </w:r>
      <w:r>
        <w:t xml:space="preserve">3119–3130.</w:t>
      </w:r>
    </w:p>
    <w:bookmarkEnd w:id="39"/>
    <w:bookmarkStart w:id="40" w:name="ref-RN2562"/>
    <w:p>
      <w:pPr>
        <w:pStyle w:val="Bibliografi"/>
      </w:pPr>
      <w:r>
        <w:t xml:space="preserve">Bürkner P-C (2017). Brms: An r package for bayesian multilevel models using stan.</w:t>
      </w:r>
      <w:r>
        <w:t xml:space="preserve"> </w:t>
      </w:r>
      <w:r>
        <w:rPr>
          <w:i/>
        </w:rPr>
        <w:t xml:space="preserve">2017</w:t>
      </w:r>
      <w:r>
        <w:t xml:space="preserve"> </w:t>
      </w:r>
      <w:r>
        <w:rPr>
          <w:b/>
        </w:rPr>
        <w:t xml:space="preserve">80,</w:t>
      </w:r>
      <w:r>
        <w:t xml:space="preserve"> </w:t>
      </w:r>
      <w:r>
        <w:t xml:space="preserve">28.</w:t>
      </w:r>
    </w:p>
    <w:bookmarkEnd w:id="40"/>
    <w:bookmarkStart w:id="41"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41"/>
    <w:bookmarkStart w:id="43"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42">
        <w:r>
          <w:rPr>
            <w:rStyle w:val="Hyperkobling"/>
          </w:rPr>
          <w:t xml:space="preserve">http://dx.doi.org/10.1007/978-981-10-3292-9_6</w:t>
        </w:r>
      </w:hyperlink>
      <w:r>
        <w:t xml:space="preserve">.</w:t>
      </w:r>
    </w:p>
    <w:bookmarkEnd w:id="43"/>
    <w:bookmarkStart w:id="44" w:name="ref-RN2142"/>
    <w:p>
      <w:pPr>
        <w:pStyle w:val="Bibliografi"/>
      </w:pPr>
      <w:r>
        <w:t xml:space="preserve">Figueiredo VC &amp; McCarthy JJ (2019). Regulation of ribosome biogenesis in skeletal muscle hypertrophy.</w:t>
      </w:r>
      <w:r>
        <w:t xml:space="preserve"> </w:t>
      </w:r>
      <w:r>
        <w:rPr>
          <w:i/>
        </w:rPr>
        <w:t xml:space="preserve">Physiology (Bethesda)</w:t>
      </w:r>
      <w:r>
        <w:t xml:space="preserve"> </w:t>
      </w:r>
      <w:r>
        <w:rPr>
          <w:b/>
        </w:rPr>
        <w:t xml:space="preserve">34,</w:t>
      </w:r>
      <w:r>
        <w:t xml:space="preserve"> </w:t>
      </w:r>
      <w:r>
        <w:t xml:space="preserve">30–42.</w:t>
      </w:r>
    </w:p>
    <w:bookmarkEnd w:id="44"/>
    <w:bookmarkStart w:id="46" w:name="ref-RN1746"/>
    <w:p>
      <w:pPr>
        <w:pStyle w:val="Bibliografi"/>
      </w:pPr>
      <w:r>
        <w:t xml:space="preserve">Figueiredo VC, Roberts LA, Markworth JF, Barnett MP, Coombes JS, Raastad T, Peake JM &amp; Cameron-Smith D (2016). Impact of resistance exercise on ribosome biogenesis is acutely regulated by post-exercise recovery strategies.</w:t>
      </w:r>
      <w:r>
        <w:t xml:space="preserve"> </w:t>
      </w:r>
      <w:r>
        <w:rPr>
          <w:i/>
        </w:rPr>
        <w:t xml:space="preserve">Physiol Rep</w:t>
      </w:r>
      <w:r>
        <w:t xml:space="preserve">; DOI:</w:t>
      </w:r>
      <w:r>
        <w:t xml:space="preserve"> </w:t>
      </w:r>
      <w:hyperlink r:id="rId45">
        <w:r>
          <w:rPr>
            <w:rStyle w:val="Hyperkobling"/>
          </w:rPr>
          <w:t xml:space="preserve">10.14814/phy2.12670</w:t>
        </w:r>
      </w:hyperlink>
      <w:r>
        <w:t xml:space="preserve">.</w:t>
      </w:r>
    </w:p>
    <w:bookmarkEnd w:id="46"/>
    <w:bookmarkStart w:id="47" w:name="ref-RN1072"/>
    <w:p>
      <w:pPr>
        <w:pStyle w:val="Bibliografi"/>
      </w:pPr>
      <w:r>
        <w:t xml:space="preserve">Goodman CA, Frey JW, Mabrey DM, Jacobs BL, Lincoln HC, You JS &amp; Hornberger TA (2011). The role of skeletal muscle mTOR in the regulation of mechanical load-induced growth.</w:t>
      </w:r>
      <w:r>
        <w:t xml:space="preserve"> </w:t>
      </w:r>
      <w:r>
        <w:rPr>
          <w:i/>
        </w:rPr>
        <w:t xml:space="preserve">J Physiol</w:t>
      </w:r>
      <w:r>
        <w:t xml:space="preserve"> </w:t>
      </w:r>
      <w:r>
        <w:rPr>
          <w:b/>
        </w:rPr>
        <w:t xml:space="preserve">589,</w:t>
      </w:r>
      <w:r>
        <w:t xml:space="preserve"> </w:t>
      </w:r>
      <w:r>
        <w:t xml:space="preserve">5485–5501.</w:t>
      </w:r>
    </w:p>
    <w:bookmarkEnd w:id="47"/>
    <w:bookmarkStart w:id="49" w:name="ref-RN1992"/>
    <w:p>
      <w:pPr>
        <w:pStyle w:val="Bibliografi"/>
      </w:pPr>
      <w:r>
        <w:t xml:space="preserve">Hadfield JD (2010). MCMC methods for multi-response generalized linear mixed models: The mcmcglmm r package.</w:t>
      </w:r>
      <w:r>
        <w:t xml:space="preserve"> </w:t>
      </w:r>
      <w:r>
        <w:rPr>
          <w:i/>
        </w:rPr>
        <w:t xml:space="preserve">Journal of Statistical Software; Vol 1, Issue 2 (2010)</w:t>
      </w:r>
      <w:r>
        <w:t xml:space="preserve">. Available at:</w:t>
      </w:r>
      <w:r>
        <w:t xml:space="preserve"> </w:t>
      </w:r>
      <w:hyperlink r:id="rId48">
        <w:r>
          <w:rPr>
            <w:rStyle w:val="Hyperkobling"/>
          </w:rPr>
          <w:t xml:space="preserve">https://www.jstatsoft.org/v033/i02
http://dx.doi.org/10.18637/jss.v033.i02</w:t>
        </w:r>
      </w:hyperlink>
      <w:r>
        <w:t xml:space="preserve">.</w:t>
      </w:r>
    </w:p>
    <w:bookmarkEnd w:id="49"/>
    <w:bookmarkStart w:id="50" w:name="ref-RN2358"/>
    <w:p>
      <w:pPr>
        <w:pStyle w:val="Bibliografi"/>
      </w:pPr>
      <w:r>
        <w:t xml:space="preserve">Hammarström D, Øfsteng S, Koll L, Hanestadhaugen M, Hollan I, Apró W, Whist JE, Blomstrand E, Rønnestad BR &amp; Ellefsen S (2020). Benefits of higher resistance-training volume are related to ribosome biogenesis.</w:t>
      </w:r>
      <w:r>
        <w:t xml:space="preserve"> </w:t>
      </w:r>
      <w:r>
        <w:rPr>
          <w:i/>
        </w:rPr>
        <w:t xml:space="preserve">The Journal of physiology</w:t>
      </w:r>
      <w:r>
        <w:t xml:space="preserve"> </w:t>
      </w:r>
      <w:r>
        <w:rPr>
          <w:b/>
        </w:rPr>
        <w:t xml:space="preserve">598,</w:t>
      </w:r>
      <w:r>
        <w:t xml:space="preserve"> </w:t>
      </w:r>
      <w:r>
        <w:t xml:space="preserve">543–565.</w:t>
      </w:r>
    </w:p>
    <w:bookmarkEnd w:id="50"/>
    <w:bookmarkStart w:id="51" w:name="ref-RN2564"/>
    <w:p>
      <w:pPr>
        <w:pStyle w:val="Bibliografi"/>
      </w:pPr>
      <w:r>
        <w:t xml:space="preserve">Hannan KM, Brandenburger Y, Jenkins A, Sharkey K, Cavanaugh A, Rothblum L, Moss T, Poortinga G, McArthur GA, Pearson RB &amp; Hannan RD (2003). MTOR-dependent regulation of ribosomal gene transcription requires s6k1 and is mediated by phosphorylation of the carboxy-terminal activation domain of the nucleolar transcription factor ubf.</w:t>
      </w:r>
      <w:r>
        <w:t xml:space="preserve"> </w:t>
      </w:r>
      <w:r>
        <w:rPr>
          <w:i/>
        </w:rPr>
        <w:t xml:space="preserve">Mol Cell Biol</w:t>
      </w:r>
      <w:r>
        <w:t xml:space="preserve"> </w:t>
      </w:r>
      <w:r>
        <w:rPr>
          <w:b/>
        </w:rPr>
        <w:t xml:space="preserve">23,</w:t>
      </w:r>
      <w:r>
        <w:t xml:space="preserve"> </w:t>
      </w:r>
      <w:r>
        <w:t xml:space="preserve">8862–8877.</w:t>
      </w:r>
    </w:p>
    <w:bookmarkEnd w:id="51"/>
    <w:bookmarkStart w:id="52" w:name="ref-RN2566"/>
    <w:p>
      <w:pPr>
        <w:pStyle w:val="Bibliografi"/>
      </w:pPr>
      <w:r>
        <w:t xml:space="preserve">Hannan RD, Stefanovsky V, Taylor L, Moss T &amp; Rothblum LI (1996). Overexpression of the transcription factor ubf1 is sufficient to increase ribosomal dna transcription in neonatal cardiomyocytes: Implications for cardiac hypertrophy.</w:t>
      </w:r>
      <w:r>
        <w:t xml:space="preserve"> </w:t>
      </w:r>
      <w:r>
        <w:rPr>
          <w:i/>
        </w:rPr>
        <w:t xml:space="preserve">Proceedings of the National Academy of Sciences of the United States of America</w:t>
      </w:r>
      <w:r>
        <w:t xml:space="preserve"> </w:t>
      </w:r>
      <w:r>
        <w:rPr>
          <w:b/>
        </w:rPr>
        <w:t xml:space="preserve">93,</w:t>
      </w:r>
      <w:r>
        <w:t xml:space="preserve"> </w:t>
      </w:r>
      <w:r>
        <w:t xml:space="preserve">8750–8755.</w:t>
      </w:r>
    </w:p>
    <w:bookmarkEnd w:id="52"/>
    <w:bookmarkStart w:id="53"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53"/>
    <w:bookmarkStart w:id="54" w:name="ref-RN2050"/>
    <w:p>
      <w:pPr>
        <w:pStyle w:val="Bibliografi"/>
      </w:pPr>
      <w:r>
        <w:t xml:space="preserve">Kopec AM, Rivera PD, Lacagnina MJ, Hanamsagar R &amp; Bilbo SD (2017). Optimized solubilization of trizol-precipitated protein permits western blotting analysis to maximize data available from brain tissue.</w:t>
      </w:r>
      <w:r>
        <w:t xml:space="preserve"> </w:t>
      </w:r>
      <w:r>
        <w:rPr>
          <w:i/>
        </w:rPr>
        <w:t xml:space="preserve">Journal of neuroscience methods</w:t>
      </w:r>
      <w:r>
        <w:t xml:space="preserve"> </w:t>
      </w:r>
      <w:r>
        <w:rPr>
          <w:b/>
        </w:rPr>
        <w:t xml:space="preserve">280,</w:t>
      </w:r>
      <w:r>
        <w:t xml:space="preserve"> </w:t>
      </w:r>
      <w:r>
        <w:t xml:space="preserve">64–76.</w:t>
      </w:r>
    </w:p>
    <w:bookmarkEnd w:id="54"/>
    <w:bookmarkStart w:id="55" w:name="ref-RN2563"/>
    <w:p>
      <w:pPr>
        <w:pStyle w:val="Bibliografi"/>
      </w:pPr>
      <w:r>
        <w:t xml:space="preserve">Lin CH, Platt MD, Ficarro SB, Hoofnagle MH, Shabanowitz J, Comai L, Hunt DF &amp; Owens GK (2007). Mass spectrometric identification of phosphorylation sites of rRNA transcription factor upstream binding factor.</w:t>
      </w:r>
      <w:r>
        <w:t xml:space="preserve"> </w:t>
      </w:r>
      <w:r>
        <w:rPr>
          <w:i/>
        </w:rPr>
        <w:t xml:space="preserve">Am J Physiol Cell Physiol</w:t>
      </w:r>
      <w:r>
        <w:t xml:space="preserve"> </w:t>
      </w:r>
      <w:r>
        <w:rPr>
          <w:b/>
        </w:rPr>
        <w:t xml:space="preserve">292,</w:t>
      </w:r>
      <w:r>
        <w:t xml:space="preserve"> </w:t>
      </w:r>
      <w:r>
        <w:t xml:space="preserve">C1617–24.</w:t>
      </w:r>
    </w:p>
    <w:bookmarkEnd w:id="55"/>
    <w:bookmarkStart w:id="56" w:name="ref-RN1964"/>
    <w:p>
      <w:pPr>
        <w:pStyle w:val="Bibliografi"/>
      </w:pPr>
      <w:r>
        <w:t xml:space="preserve">Matz MV, Wright RM &amp; Scott JG (2013). No control genes required: Bayesian analysis of qRT-pcr data.</w:t>
      </w:r>
      <w:r>
        <w:t xml:space="preserve"> </w:t>
      </w:r>
      <w:r>
        <w:rPr>
          <w:i/>
        </w:rPr>
        <w:t xml:space="preserve">PLoS One</w:t>
      </w:r>
      <w:r>
        <w:t xml:space="preserve"> </w:t>
      </w:r>
      <w:r>
        <w:rPr>
          <w:b/>
        </w:rPr>
        <w:t xml:space="preserve">8,</w:t>
      </w:r>
      <w:r>
        <w:t xml:space="preserve"> </w:t>
      </w:r>
      <w:r>
        <w:t xml:space="preserve">e71448.</w:t>
      </w:r>
    </w:p>
    <w:bookmarkEnd w:id="56"/>
    <w:bookmarkStart w:id="57" w:name="ref-RN2145"/>
    <w:p>
      <w:pPr>
        <w:pStyle w:val="Bibliografi"/>
      </w:pPr>
      <w:r>
        <w:t xml:space="preserve">Millward DJ, Garlick PJ, James WPT, Nnanyelugo DO &amp; Ryatt JS (1973). Relationship between protein synthesis and rna content in skeletal muscle.</w:t>
      </w:r>
      <w:r>
        <w:t xml:space="preserve"> </w:t>
      </w:r>
      <w:r>
        <w:rPr>
          <w:i/>
        </w:rPr>
        <w:t xml:space="preserve">Nature</w:t>
      </w:r>
      <w:r>
        <w:t xml:space="preserve"> </w:t>
      </w:r>
      <w:r>
        <w:rPr>
          <w:b/>
        </w:rPr>
        <w:t xml:space="preserve">241,</w:t>
      </w:r>
      <w:r>
        <w:t xml:space="preserve"> </w:t>
      </w:r>
      <w:r>
        <w:t xml:space="preserve">204.</w:t>
      </w:r>
    </w:p>
    <w:bookmarkEnd w:id="57"/>
    <w:bookmarkStart w:id="58"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58"/>
    <w:bookmarkStart w:id="59" w:name="ref-RN1632"/>
    <w:p>
      <w:pPr>
        <w:pStyle w:val="Bibliografi"/>
      </w:pPr>
      <w:r>
        <w:t xml:space="preserve">Nader GA, McLoughlin TJ &amp; Esser KA (2005). MTOR function in skeletal muscle hypertrophy: Increased ribosomal rna via cell cycle regulators.</w:t>
      </w:r>
      <w:r>
        <w:t xml:space="preserve"> </w:t>
      </w:r>
      <w:r>
        <w:rPr>
          <w:i/>
        </w:rPr>
        <w:t xml:space="preserve">Am J Physiol Cell Physiol</w:t>
      </w:r>
      <w:r>
        <w:t xml:space="preserve"> </w:t>
      </w:r>
      <w:r>
        <w:rPr>
          <w:b/>
        </w:rPr>
        <w:t xml:space="preserve">289,</w:t>
      </w:r>
      <w:r>
        <w:t xml:space="preserve"> </w:t>
      </w:r>
      <w:r>
        <w:t xml:space="preserve">C1457–65.</w:t>
      </w:r>
    </w:p>
    <w:bookmarkEnd w:id="59"/>
    <w:bookmarkStart w:id="60"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60"/>
    <w:bookmarkStart w:id="61"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61"/>
    <w:bookmarkStart w:id="62"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62"/>
    <w:bookmarkStart w:id="63" w:name="ref-RN2565"/>
    <w:p>
      <w:pPr>
        <w:pStyle w:val="Bibliografi"/>
      </w:pPr>
      <w:r>
        <w:t xml:space="preserve">Poortinga G, Hannan KM, Snelling H, Walkley CR, Jenkins A, Sharkey K, Wall M, Brandenburger Y, Palatsides M, Pearson RB, McArthur GA &amp; Hannan RD (2004). MAD1 and c-myc regulate ubf and rDNA transcription during granulocyte differentiation.</w:t>
      </w:r>
      <w:r>
        <w:t xml:space="preserve"> </w:t>
      </w:r>
      <w:r>
        <w:rPr>
          <w:i/>
        </w:rPr>
        <w:t xml:space="preserve">The EMBO Journal</w:t>
      </w:r>
      <w:r>
        <w:t xml:space="preserve"> </w:t>
      </w:r>
      <w:r>
        <w:rPr>
          <w:b/>
        </w:rPr>
        <w:t xml:space="preserve">23,</w:t>
      </w:r>
      <w:r>
        <w:t xml:space="preserve"> </w:t>
      </w:r>
      <w:r>
        <w:t xml:space="preserve">3325–3335.</w:t>
      </w:r>
    </w:p>
    <w:bookmarkEnd w:id="63"/>
    <w:bookmarkStart w:id="65" w:name="ref-Rcore"/>
    <w:p>
      <w:pPr>
        <w:pStyle w:val="Bibliografi"/>
      </w:pPr>
      <w:r>
        <w:t xml:space="preserve">R Core Team (2020).</w:t>
      </w:r>
      <w:r>
        <w:t xml:space="preserve"> </w:t>
      </w:r>
      <w:r>
        <w:rPr>
          <w:i/>
        </w:rPr>
        <w:t xml:space="preserve">R: A language and environment for statistical computing</w:t>
      </w:r>
      <w:r>
        <w:t xml:space="preserve">. R Foundation for Statistical Computing, Vienna, Austria. Available at:</w:t>
      </w:r>
      <w:r>
        <w:t xml:space="preserve"> </w:t>
      </w:r>
      <w:hyperlink r:id="rId64">
        <w:r>
          <w:rPr>
            <w:rStyle w:val="Hyperkobling"/>
          </w:rPr>
          <w:t xml:space="preserve">https://www.R-project.org/</w:t>
        </w:r>
      </w:hyperlink>
      <w:r>
        <w:t xml:space="preserve">.</w:t>
      </w:r>
    </w:p>
    <w:bookmarkEnd w:id="65"/>
    <w:bookmarkStart w:id="66"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66"/>
    <w:bookmarkStart w:id="67" w:name="ref-RN1768"/>
    <w:p>
      <w:pPr>
        <w:pStyle w:val="Bibliografi"/>
      </w:pPr>
      <w:r>
        <w:t xml:space="preserve">Ritz C &amp; Spiess AN (2008). QpcR: An r package for sigmoidal model selection in quantitative real-time polymerase chain reaction analysis.</w:t>
      </w:r>
      <w:r>
        <w:t xml:space="preserve"> </w:t>
      </w:r>
      <w:r>
        <w:rPr>
          <w:i/>
        </w:rPr>
        <w:t xml:space="preserve">Bioinformatics</w:t>
      </w:r>
      <w:r>
        <w:t xml:space="preserve"> </w:t>
      </w:r>
      <w:r>
        <w:rPr>
          <w:b/>
        </w:rPr>
        <w:t xml:space="preserve">24,</w:t>
      </w:r>
      <w:r>
        <w:t xml:space="preserve"> </w:t>
      </w:r>
      <w:r>
        <w:t xml:space="preserve">1549–1551.</w:t>
      </w:r>
    </w:p>
    <w:bookmarkEnd w:id="67"/>
    <w:bookmarkStart w:id="68" w:name="ref-RN2556"/>
    <w:p>
      <w:pPr>
        <w:pStyle w:val="Bibliografi"/>
      </w:pPr>
      <w:r>
        <w:t xml:space="preserve">Sanij E, Poortinga G, Sharkey K, Hung S, Holloway TP, Quin J, Robb E, Wong LH, Thomas WG, Stefanovsky V, Moss T, Rothblum L, Hannan KM, McArthur GA, Pearson RB &amp; Hannan RD (2008). UBF levels determine the number of active ribosomal rna genes in mammals.</w:t>
      </w:r>
      <w:r>
        <w:t xml:space="preserve"> </w:t>
      </w:r>
      <w:r>
        <w:rPr>
          <w:i/>
        </w:rPr>
        <w:t xml:space="preserve">J Cell Biol</w:t>
      </w:r>
      <w:r>
        <w:t xml:space="preserve"> </w:t>
      </w:r>
      <w:r>
        <w:rPr>
          <w:b/>
        </w:rPr>
        <w:t xml:space="preserve">183,</w:t>
      </w:r>
      <w:r>
        <w:t xml:space="preserve"> </w:t>
      </w:r>
      <w:r>
        <w:t xml:space="preserve">1259–1274.</w:t>
      </w:r>
    </w:p>
    <w:bookmarkEnd w:id="68"/>
    <w:bookmarkStart w:id="69" w:name="ref-RN2561"/>
    <w:p>
      <w:pPr>
        <w:pStyle w:val="Bibliografi"/>
      </w:pPr>
      <w:r>
        <w:t xml:space="preserve">Schindelin J, Arganda-Carreras I, Frise E, Kaynig V, Longair M, Pietzsch T, Preibisch S, Rueden C, Saalfeld S, Schmid B, Tinevez JY, White DJ, Hartenstein V, Eliceiri K, Tomancak P &amp; Cardona A (2012). Fiji: An open-source platform for biological-image analysis.</w:t>
      </w:r>
      <w:r>
        <w:t xml:space="preserve"> </w:t>
      </w:r>
      <w:r>
        <w:rPr>
          <w:i/>
        </w:rPr>
        <w:t xml:space="preserve">Nat Methods</w:t>
      </w:r>
      <w:r>
        <w:t xml:space="preserve"> </w:t>
      </w:r>
      <w:r>
        <w:rPr>
          <w:b/>
        </w:rPr>
        <w:t xml:space="preserve">9,</w:t>
      </w:r>
      <w:r>
        <w:t xml:space="preserve"> </w:t>
      </w:r>
      <w:r>
        <w:t xml:space="preserve">676–682.</w:t>
      </w:r>
    </w:p>
    <w:bookmarkEnd w:id="69"/>
    <w:bookmarkStart w:id="70" w:name="ref-RN1767"/>
    <w:p>
      <w:pPr>
        <w:pStyle w:val="Bibliografi"/>
      </w:pPr>
      <w:r>
        <w:t xml:space="preserve">Schoenfeld BJ, Ogborn D &amp; Krieger JW (2016). Dose-response relationship between weekly resistance training volume and increases in muscle mass: A systematic review and meta-analysis.</w:t>
      </w:r>
      <w:r>
        <w:t xml:space="preserve"> </w:t>
      </w:r>
      <w:r>
        <w:rPr>
          <w:i/>
        </w:rPr>
        <w:t xml:space="preserve">J Sports Sci</w:t>
      </w:r>
      <w:r>
        <w:t xml:space="preserve">1–10.</w:t>
      </w:r>
    </w:p>
    <w:bookmarkEnd w:id="70"/>
    <w:bookmarkStart w:id="71"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71"/>
    <w:bookmarkStart w:id="72" w:name="ref-RN1656"/>
    <w:p>
      <w:pPr>
        <w:pStyle w:val="Bibliografi"/>
      </w:pPr>
      <w:r>
        <w:t xml:space="preserve">Stec MJ, Mayhew DL &amp; Bamman MM (2015). The effects of age and resistance loading on skeletal muscle ribosome biogenesis.</w:t>
      </w:r>
      <w:r>
        <w:t xml:space="preserve"> </w:t>
      </w:r>
      <w:r>
        <w:rPr>
          <w:i/>
        </w:rPr>
        <w:t xml:space="preserve">J Appl Physiol (1985)</w:t>
      </w:r>
      <w:r>
        <w:t xml:space="preserve">jap 00489 2015.</w:t>
      </w:r>
    </w:p>
    <w:bookmarkEnd w:id="72"/>
    <w:bookmarkStart w:id="73" w:name="ref-RN2582"/>
    <w:p>
      <w:pPr>
        <w:pStyle w:val="Bibliografi"/>
      </w:pPr>
      <w:r>
        <w:t xml:space="preserve">Tuan JC, Zhai W &amp; Comai L (1999). Recruitment of tata-binding protein-tafi complex sl1 to the human ribosomal dna promoter is mediated by the carboxy-terminal activation domain of upstream binding factor (ubf) and is regulated by ubf phosphorylation.</w:t>
      </w:r>
      <w:r>
        <w:t xml:space="preserve"> </w:t>
      </w:r>
      <w:r>
        <w:rPr>
          <w:i/>
        </w:rPr>
        <w:t xml:space="preserve">Mol Cell Biol</w:t>
      </w:r>
      <w:r>
        <w:t xml:space="preserve"> </w:t>
      </w:r>
      <w:r>
        <w:rPr>
          <w:b/>
        </w:rPr>
        <w:t xml:space="preserve">19,</w:t>
      </w:r>
      <w:r>
        <w:t xml:space="preserve"> </w:t>
      </w:r>
      <w:r>
        <w:t xml:space="preserve">2872–2879.</w:t>
      </w:r>
    </w:p>
    <w:bookmarkEnd w:id="73"/>
    <w:bookmarkStart w:id="74" w:name="ref-RN1810"/>
    <w:p>
      <w:pPr>
        <w:pStyle w:val="Bibliografi"/>
      </w:pPr>
      <w:r>
        <w:t xml:space="preserve">Walden F von, Liu C, Aurigemma N &amp; Nader GA (2016). MTOR signaling regulates myotube hypertrophy by modulating protein synthesis, rDNA transcription and chromatin remodeling.</w:t>
      </w:r>
      <w:r>
        <w:t xml:space="preserve"> </w:t>
      </w:r>
      <w:r>
        <w:rPr>
          <w:i/>
        </w:rPr>
        <w:t xml:space="preserve">Am J Physiol Cell Physiol</w:t>
      </w:r>
      <w:r>
        <w:t xml:space="preserve">ajpcell 00144 2016.</w:t>
      </w:r>
    </w:p>
    <w:bookmarkEnd w:id="74"/>
    <w:bookmarkStart w:id="75"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75"/>
    <w:bookmarkStart w:id="76"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76"/>
    <w:bookmarkStart w:id="77"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77"/>
    <w:bookmarkStart w:id="78"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78"/>
    <w:bookmarkEnd w:id="79"/>
    <w:p>
      <w:pPr>
        <w:pStyle w:val="Overskrift1"/>
      </w:pPr>
      <w:bookmarkStart w:id="80" w:name="figure-legends"/>
      <w:r>
        <w:t xml:space="preserve">Figure legends</w:t>
      </w:r>
      <w:bookmarkEnd w:id="80"/>
    </w:p>
    <w:p>
      <w:pPr>
        <w:pStyle w:val="FirstParagraph"/>
      </w:pPr>
      <w:r>
        <w:rPr>
          <w:b/>
        </w:rPr>
        <w:t xml:space="preserve">Figure 1.</w:t>
      </w:r>
      <w:r>
        <w:t xml:space="preserve"> </w:t>
      </w:r>
      <w:r>
        <w:t xml:space="preserve">Study design (A) training load (B) and training outcomes (muscle strength, C; muscle thickness D).</w:t>
      </w:r>
    </w:p>
    <w:p>
      <w:pPr>
        <w:pStyle w:val="Brdtekst"/>
      </w:pPr>
      <w:r>
        <w:rPr>
          <w:b/>
        </w:rPr>
        <w:t xml:space="preserve">Figure 2.</w:t>
      </w:r>
      <w:r>
        <w:t xml:space="preserve"> </w:t>
      </w:r>
      <w:r>
        <w:t xml:space="preserve">Total RNA and ribosomal RNA subspecies in response to trainin. Total RNA increased compared to non-training controls to post-training (12 sessions) and tended to normalize after de-training (A). There were no robust differences between different volume conditions in the training group (A). B shows primer locations targeting different ribosomal RNA subspecies. Subsets of ribosomal RNA showed robust increases compared to control 48 h after the first session and other after the training period (C). Error bars shows 95% CI. Asterisk in C indicates robust differences between volume conditions (a 95% CI of pairwise differences not containing 0).</w:t>
      </w:r>
    </w:p>
    <w:p>
      <w:pPr>
        <w:pStyle w:val="Brdtekst"/>
      </w:pPr>
      <w:r>
        <w:rPr>
          <w:b/>
        </w:rPr>
        <w:t xml:space="preserve">Figure 3.</w:t>
      </w:r>
      <w:r>
        <w:t xml:space="preserve"> </w:t>
      </w:r>
      <w:r>
        <w:t xml:space="preserve">mRNA (A and B) and protein abundances (C and D) of ribosomal protein S6 and Upstream bindning factor (UBF). mRNA abundaces are expressed per total RNA (round points) or per muscle weight (triangles). Black points and error bars represents statistically robust results (a 95% CI not containing 0). E shows western-blots and total protein stains from a representative participant.</w:t>
      </w:r>
    </w:p>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3A04F6"/>
    <w:pPr>
      <w:spacing w:before="180" w:after="180" w:line="360" w:lineRule="auto"/>
      <w:ind w:firstLine="720"/>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pPr>
      <w:ind w:firstLine="0"/>
    </w:pPr>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3A04F6"/>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495104"/>
    <w:pPr>
      <w:spacing w:before="120" w:after="120"/>
      <w:ind w:firstLine="0"/>
    </w:pPr>
  </w:style>
  <w:style w:type="paragraph" w:customStyle="1" w:styleId="affiliationstyle">
    <w:name w:val="affiliation_style"/>
    <w:basedOn w:val="Brdtekst"/>
    <w:link w:val="affiliationstyleTegn"/>
    <w:qFormat/>
    <w:rsid w:val="00495104"/>
    <w:pPr>
      <w:spacing w:before="0" w:after="0"/>
      <w:ind w:firstLine="0"/>
    </w:pPr>
  </w:style>
  <w:style w:type="character" w:customStyle="1" w:styleId="abstractstyleTegn">
    <w:name w:val="abstract_style Tegn"/>
    <w:basedOn w:val="BrdtekstTegn"/>
    <w:link w:val="abstractstyle"/>
    <w:rsid w:val="00495104"/>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ind w:firstLine="0"/>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ind w:firstLine="0"/>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2" Target="http://dx.doi.org/10.1007/978-981-10-3292-9_6" TargetMode="External" /><Relationship Type="http://schemas.openxmlformats.org/officeDocument/2006/relationships/hyperlink" Id="rId45" Target="https://doi.org/10.14814/phy2.12670" TargetMode="External" /><Relationship Type="http://schemas.openxmlformats.org/officeDocument/2006/relationships/hyperlink" Id="rId64" Target="https://www.R-project.org/" TargetMode="External" /><Relationship Type="http://schemas.openxmlformats.org/officeDocument/2006/relationships/hyperlink" Id="rId48" Target="https://www.jstatsoft.org/v033/i02%0Ahttp://dx.doi.org/10.18637/jss.v033.i02"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978-981-10-3292-9_6" TargetMode="External" /><Relationship Type="http://schemas.openxmlformats.org/officeDocument/2006/relationships/hyperlink" Id="rId45" Target="https://doi.org/10.14814/phy2.12670" TargetMode="External" /><Relationship Type="http://schemas.openxmlformats.org/officeDocument/2006/relationships/hyperlink" Id="rId64" Target="https://www.R-project.org/" TargetMode="External" /><Relationship Type="http://schemas.openxmlformats.org/officeDocument/2006/relationships/hyperlink" Id="rId48" Target="https://www.jstatsoft.org/v033/i02%0Ahttp://dx.doi.org/10.18637/jss.v033.i02"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131</Words>
  <Characters>750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J. Øfsteng2,£, Nicolai B. Jacobsen1, Krister B. Flobergseter1, Bent R. Rønnestad1, Stian Ellefsen1,3</dc:creator>
  <cp:keywords/>
  <dcterms:created xsi:type="dcterms:W3CDTF">2020-09-21T10:03:53Z</dcterms:created>
  <dcterms:modified xsi:type="dcterms:W3CDTF">2020-09-21T10:03:53Z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