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Øfsteng</w:t>
      </w:r>
      <w:r>
        <w:rPr>
          <w:vertAlign w:val="superscript"/>
        </w:rPr>
        <w:t xml:space="preserve">2,£</w:t>
      </w:r>
      <w:r>
        <w:t xml:space="preserve"> </w:t>
      </w:r>
      <w:r>
        <w:t xml:space="preserve">Bent</w:t>
      </w:r>
      <w:r>
        <w:t xml:space="preserve"> </w:t>
      </w:r>
      <w:r>
        <w:t xml:space="preserve">R.</w:t>
      </w:r>
      <w:r>
        <w:t xml:space="preserve"> </w:t>
      </w:r>
      <w:r>
        <w:t xml:space="preserve">Rønnestad</w:t>
      </w:r>
      <w:r>
        <w:rPr>
          <w:vertAlign w:val="superscript"/>
        </w:rPr>
        <w:t xml:space="preserve">2</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Our skeletal muscles not only constitutes our locomotive apparatus but also serve as our primary storage site of amino acids. This makes the musculoskeletal system a critical target for interventions that promotes health across the lifespan</w:t>
      </w:r>
      <w:r>
        <w:t xml:space="preserve"> </w:t>
      </w:r>
      <w:r>
        <w:t xml:space="preserve">(Wolfe, 2006)</w:t>
      </w:r>
      <w:r>
        <w:t xml:space="preserve">. The beneficial effects of resistance-training (RT) are in large part mediated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 Wilkinson</w:t>
      </w:r>
      <w:r>
        <w:t xml:space="preserve"> </w:t>
      </w:r>
      <w:r>
        <w:rPr>
          <w:i/>
        </w:rPr>
        <w:t xml:space="preserve">et al.</w:t>
      </w:r>
      <w:r>
        <w:t xml:space="preserve">, 2008; Reidy</w:t>
      </w:r>
      <w:r>
        <w:t xml:space="preserve"> </w:t>
      </w:r>
      <w:r>
        <w:rPr>
          <w:i/>
        </w:rPr>
        <w:t xml:space="preserve">et al.</w:t>
      </w:r>
      <w:r>
        <w:t xml:space="preserve">, 2017)</w:t>
      </w:r>
      <w:r>
        <w:t xml:space="preserve">. An increase in the resting protein synthetic rate has been postulated to be related to an increased translational capacity, i.e. accumulation of ribosomes</w:t>
      </w:r>
      <w:r>
        <w:t xml:space="preserve"> </w:t>
      </w:r>
      <w:r>
        <w:t xml:space="preserve">(Figueiredo &amp; McCarthy, 2017; Reidy</w:t>
      </w:r>
      <w:r>
        <w:t xml:space="preserve"> </w:t>
      </w:r>
      <w:r>
        <w:rPr>
          <w:i/>
        </w:rPr>
        <w:t xml:space="preserve">et al.</w:t>
      </w:r>
      <w:r>
        <w:t xml:space="preserve">, 2017)</w:t>
      </w:r>
      <w:r>
        <w:t xml:space="preserve">, 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 p.@RN1755)</w:t>
      </w:r>
      <w:r>
        <w:t xml:space="preserve">. Furthermore, in vitro studies shows that direct inhibition of ribosomal RNA (rRNA) transcription or inhibition of up-stream transcription factors leading to halted biosynthesis of ribosomes results in diminished cellular growth</w:t>
      </w:r>
      <w:r>
        <w:t xml:space="preserve"> </w:t>
      </w:r>
      <w:r>
        <w:t xml:space="preserve">(Nader, 2005; Stec</w:t>
      </w:r>
      <w:r>
        <w:t xml:space="preserve"> </w:t>
      </w:r>
      <w:r>
        <w:rPr>
          <w:i/>
        </w:rPr>
        <w:t xml:space="preserve">et al.</w:t>
      </w:r>
      <w:r>
        <w:t xml:space="preserve">, 2016; West</w:t>
      </w:r>
      <w:r>
        <w:t xml:space="preserve"> </w:t>
      </w:r>
      <w:r>
        <w:rPr>
          <w:i/>
        </w:rPr>
        <w:t xml:space="preserve">et al.</w:t>
      </w:r>
      <w:r>
        <w:t xml:space="preserve">, 2016)</w:t>
      </w:r>
      <w:r>
        <w:t xml:space="preserve">. Formation of new ribosomes is a complex and energy demanding process involving the whole transcriptional apparatus</w:t>
      </w:r>
      <w:r>
        <w:t xml:space="preserve"> </w:t>
      </w:r>
      <w:r>
        <w:t xml:space="preserve">(Warner, 1999 p.@RN1820)</w:t>
      </w:r>
      <w:r>
        <w:t xml:space="preserve">. In skeletal muscle, a single bout of resistance exercise elevates markers of ribosome biogenesis in skeletal muscle evident from both Figueiredo et al. and Nader et al. who evaluated immature forms of rRNA in response to exercise in the untrained state</w:t>
      </w:r>
      <w:r>
        <w:t xml:space="preserve"> </w:t>
      </w:r>
      <w:r>
        <w:t xml:space="preserve">(Nader</w:t>
      </w:r>
      <w:r>
        <w:t xml:space="preserve"> </w:t>
      </w:r>
      <w:r>
        <w:rPr>
          <w:i/>
        </w:rPr>
        <w:t xml:space="preserve">et al.</w:t>
      </w:r>
      <w:r>
        <w:t xml:space="preserve">, 2014; Figueiredo</w:t>
      </w:r>
      <w:r>
        <w:t xml:space="preserve"> </w:t>
      </w:r>
      <w:r>
        <w:rPr>
          <w:i/>
        </w:rPr>
        <w:t xml:space="preserve">et al.</w:t>
      </w:r>
      <w:r>
        <w:t xml:space="preserve">, 2015)</w:t>
      </w:r>
      <w:r>
        <w:t xml:space="preserve">. Studies’ examining repeated bouts of resistance exercise suggests that RT leads to accumulation of ribosomes. Bickel et al. showed that two subsequent bouts of a hypertrophic stimulus increased total RNA at 72 h after a second bout of RT</w:t>
      </w:r>
      <w:r>
        <w:t xml:space="preserve"> </w:t>
      </w:r>
      <w:r>
        <w:t xml:space="preserve">(Bickel</w:t>
      </w:r>
      <w:r>
        <w:t xml:space="preserve"> </w:t>
      </w:r>
      <w:r>
        <w:rPr>
          <w:i/>
        </w:rPr>
        <w:t xml:space="preserve">et al.</w:t>
      </w:r>
      <w:r>
        <w:t xml:space="preserve">, 2005)</w:t>
      </w:r>
      <w:r>
        <w:t xml:space="preserve">. Following three weeks of RT, Brook et al. reported an increase in total RNA with no further increase after three additional weeks of training</w:t>
      </w:r>
      <w:r>
        <w:t xml:space="preserve"> </w:t>
      </w:r>
      <w:r>
        <w:t xml:space="preserve">(Brook</w:t>
      </w:r>
      <w:r>
        <w:t xml:space="preserve"> </w:t>
      </w:r>
      <w:r>
        <w:rPr>
          <w:i/>
        </w:rPr>
        <w:t xml:space="preserve">et al.</w:t>
      </w:r>
      <w:r>
        <w:t xml:space="preserve">, 2015)</w:t>
      </w:r>
      <w:r>
        <w:t xml:space="preserve">. The findings of Brook et al. fits with observations from our laboratory where we saw a ~30% increase in total RNA per tissue weight after two weeks of RT. Following an additional 10 weeks of RT the RNA content tended to normalized without reaching baseline values (Hammarström et al. 2017 unpublished observation). These data suggests that ribosome accumulation per tissue weight, reaches a plateau in the early phase of RT. Interestingly, in the study by Figueiredo and colleagues, acute exercise in the trained state (after eight weeks of RT), rRNA and pre-rRNA rapidly decreases in response to acute exercise</w:t>
      </w:r>
      <w:r>
        <w:t xml:space="preserve"> </w:t>
      </w:r>
      <w:r>
        <w:t xml:space="preserve">(Figueiredo</w:t>
      </w:r>
      <w:r>
        <w:t xml:space="preserve"> </w:t>
      </w:r>
      <w:r>
        <w:rPr>
          <w:i/>
        </w:rPr>
        <w:t xml:space="preserve">et al.</w:t>
      </w:r>
      <w:r>
        <w:t xml:space="preserve">, 2015)</w:t>
      </w:r>
      <w:r>
        <w:t xml:space="preserve">.</w:t>
      </w:r>
      <w:r>
        <w:t xml:space="preserve"> </w:t>
      </w: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Overskrift2"/>
      </w:pPr>
      <w:bookmarkStart w:id="25" w:name="muscle-strength-and-thickness"/>
      <w:r>
        <w:t xml:space="preserve">Muscle strength and thickness</w:t>
      </w:r>
      <w:bookmarkEnd w:id="25"/>
    </w:p>
    <w:p>
      <w:pPr>
        <w:pStyle w:val="FirstParagraph"/>
      </w:pPr>
      <w:r>
        <w:t xml:space="preserve">Muscle strength was assessed as maximal knee extension isokinetic (90° sec</w:t>
      </w:r>
      <w:r>
        <w:t xml:space="preserve">-1</w:t>
      </w:r>
      <w:r>
        <w:t xml:space="preserve">) and isometric (60° angle, fully extended leg 0°) torque. After a brief warm-up (5-min cycling, RPE 12-14), participants were seated and secured in the individually adjusted dynamometer. The test protocol consisted of unilateral knee-extensions.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During the same assessment session, participants remained seated in the dynamometer for meassurement from both legs. The first measurement was alternated between legs and sessions. For statistical treatment of the data, all successful attempts were used. Successful attempts were decided based on participants (…). The last strength assessment at baseline was performed at least</w:t>
      </w:r>
      <w:r>
        <w:t xml:space="preserve"> </w:t>
      </w:r>
      <w:r>
        <w:rPr>
          <w:b/>
        </w:rPr>
        <w:t xml:space="preserve">seven</w:t>
      </w:r>
      <w:r>
        <w:t xml:space="preserve"> </w:t>
      </w:r>
      <w:r>
        <w:t xml:space="preserve">days prior to the first biopsy sampling. At least one strength was performed on separate days with two sessions allowed perform on the same day with a short rest between sessions. Post training assessments were performed approximately 48 hours after the last session and after seven days of no training.</w:t>
      </w:r>
    </w:p>
    <w:p>
      <w:pPr>
        <w:pStyle w:val="Brdtekst"/>
      </w:pPr>
      <w:r>
        <w:t xml:space="preserve">Muscle thickness was assessed using (…) ultra sound.</w:t>
      </w:r>
    </w:p>
    <w:p>
      <w:pPr>
        <w:pStyle w:val="Overskrift2"/>
      </w:pPr>
      <w:bookmarkStart w:id="26" w:name="muscle-biopsy-sampling"/>
      <w:r>
        <w:t xml:space="preserve">Muscle biopsy sampling</w:t>
      </w:r>
      <w:bookmarkEnd w:id="26"/>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(lidocaion %, Manufacturer, Oslo, Norway) using a disposable needle (12-14 gauge, Universal plus, Medax, Italy), operated with a spring loaded device (Bard Magnum). Two to four passes were made to get sufficient material. One to two aliquots of the samples were quickly dissected free from connective and fat tissue, weighed and frozen in isopentan chilled to -80°C and stored at -80°C until further processing. At baseline, after twelve weeks of training and, after the de-training period, a further aliquot from each sample was selected for immunohistochemistry analysis and subsequently immersed in 4% formalin for fixation.</w:t>
      </w:r>
    </w:p>
    <w:p>
      <w:pPr>
        <w:pStyle w:val="Overskrift2"/>
      </w:pPr>
      <w:bookmarkStart w:id="27" w:name="rna-and-protein-extraction"/>
      <w:r>
        <w:t xml:space="preserve">RNA and protein extraction</w:t>
      </w:r>
      <w:bookmarkEnd w:id="27"/>
    </w:p>
    <w:p>
      <w:pPr>
        <w:pStyle w:val="FirstParagraph"/>
      </w:pPr>
      <w:r>
        <w:t xml:space="preserve">Frozen muscle tissue was homogenized in 1 ml of Trizol (ThermoFisher Scientific, Oslo, Norway) spiked with 0.04 ng of an external, non-mammalian, RNA spike-in (Lambda, Takara Bioscience). Mechanical disruption of the samples was achieved using Zirconium Oxide Beads (0.5 mm, Next Advance, Inc., New York, USA) and a bead mill (Bullet blender, Next Advance). Chloroform (200 μl) was added prior to centrifugation (12000 g, 15 min at 4°C) to achieve phase separation. Four houndred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w:t>
      </w:r>
      <w:r>
        <w:rPr>
          <w:b/>
        </w:rPr>
        <w:t xml:space="preserve">???</w:t>
      </w:r>
      <w:r>
        <w:t xml:space="preserve">)</w:t>
      </w:r>
      <w:r>
        <w:t xml:space="preserve"> </w:t>
      </w:r>
      <w:r>
        <w:t xml:space="preserve">with modifications. The remaining aqueous phase was removed and DNA was precipitated by the addition of XXX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 was added (4% SDS, 300 mM Tris …, pH;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8" w:name="Xdb6ea80b8443aafd59a989e3a5491b5d6eb79f1"/>
      <w:r>
        <w:t xml:space="preserve">Quantitative polymerase chain reaction (qPCR)</w:t>
      </w:r>
      <w:bookmarkEnd w:id="28"/>
    </w:p>
    <w:p>
      <w:pPr>
        <w:pStyle w:val="FirstParagraph"/>
      </w:pPr>
      <w:r>
        <w:t xml:space="preserve">Complementary DNA (cDNA) was synthesized in technical duplicates from 500 ng of total RNA using random hexemer and anchored Oligo-dT primers (Thermo Scientific) together with Superscript IV (ThermoFisher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Fast cycling was used (1 sec denaturing, 30 sec annealing) after UNG (2 min, 50°C) and polymerase (2 min, 95°C) activation. Melt curves were collected from all reactions to confirm single product amplification. Primers were further evaluated by agarose gel electrophoresis an non-template control experiments. Primer sequences and their respective average performances are shown in Table 2.</w:t>
      </w:r>
    </w:p>
    <w:p>
      <w:pPr>
        <w:pStyle w:val="Brdtekst"/>
      </w:pPr>
      <w:r>
        <w:t xml:space="preserve">Raw fluorescence data was exported from the QuantStudio software and estimates of quantification cycles (Cq) and amplification efficiencies were derived using the qpcR package[qpcR-package]. Relative abundance data was linearized using average efficiencies per primer pair and reaction specific Cq-values before any further statistical treatment.</w:t>
      </w:r>
    </w:p>
    <w:p>
      <w:pPr>
        <w:pStyle w:val="Overskrift2"/>
      </w:pPr>
      <w:bookmarkStart w:id="29" w:name="immunoblotting"/>
      <w:r>
        <w:t xml:space="preserve">Immunoblotting</w:t>
      </w:r>
      <w:bookmarkEnd w:id="29"/>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ThermoFisher Scientiﬁc). Primary antibodies were acquired to detect UBF (F-9, sc-13125, Santa-Cruz Biotechnology) and ribosomal protein S6 (54D2, #2317, Cell signaling technology).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Singlaing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ThermoFisher Scientiﬁc) using a documentation system (). Total protein content was quantified whole membrane images defined as the mean gray value of the whole lane. Between-lane gray values were used as background subtracted from protein values. Total protein quantification was done using ImageJ [REF]. Chemiluminescence signals were quantified using Image Studio Lite (LI-COR Biotechnology, Lincoln, NE, USA).</w:t>
      </w:r>
    </w:p>
    <w:p>
      <w:pPr>
        <w:pStyle w:val="Overskrift2"/>
      </w:pPr>
      <w:bookmarkStart w:id="30" w:name="immunohistochemistry"/>
      <w:r>
        <w:t xml:space="preserve">Immunohistochemistry</w:t>
      </w:r>
      <w:bookmarkEnd w:id="30"/>
    </w:p>
    <w:p>
      <w:pPr>
        <w:pStyle w:val="Overskrift2"/>
      </w:pPr>
      <w:bookmarkStart w:id="31" w:name="statistics-and-data-analysis"/>
      <w:r>
        <w:t xml:space="preserve">Statistics and data analysis</w:t>
      </w:r>
      <w:bookmarkEnd w:id="31"/>
    </w:p>
    <w:p>
      <w:pPr>
        <w:pStyle w:val="Overskrift1"/>
      </w:pPr>
      <w:bookmarkStart w:id="32" w:name="results"/>
      <w:r>
        <w:t xml:space="preserve">Results</w:t>
      </w:r>
      <w:bookmarkEnd w:id="32"/>
    </w:p>
    <w:p>
      <w:pPr>
        <w:pStyle w:val="Overskrift1"/>
      </w:pPr>
      <w:bookmarkStart w:id="33" w:name="discussion"/>
      <w:r>
        <w:t xml:space="preserve">Discussion</w:t>
      </w:r>
      <w:bookmarkEnd w:id="33"/>
    </w:p>
    <w:p>
      <w:pPr>
        <w:pStyle w:val="Overskrift1"/>
      </w:pPr>
      <w:bookmarkStart w:id="34" w:name="references"/>
      <w:r>
        <w:t xml:space="preserve">References</w:t>
      </w:r>
      <w:bookmarkEnd w:id="34"/>
    </w:p>
    <w:bookmarkStart w:id="52" w:name="refs"/>
    <w:bookmarkStart w:id="35"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5"/>
    <w:bookmarkStart w:id="36"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6"/>
    <w:bookmarkStart w:id="37"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37"/>
    <w:bookmarkStart w:id="39"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38">
        <w:r>
          <w:rPr>
            <w:rStyle w:val="Hyperkobling"/>
          </w:rPr>
          <w:t xml:space="preserve">http://dx.doi.org/10.1007/978-981-10-3292-9_6</w:t>
        </w:r>
      </w:hyperlink>
      <w:r>
        <w:t xml:space="preserve">.</w:t>
      </w:r>
    </w:p>
    <w:bookmarkEnd w:id="39"/>
    <w:bookmarkStart w:id="40"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40"/>
    <w:bookmarkStart w:id="41"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41"/>
    <w:bookmarkStart w:id="42" w:name="ref-RN884"/>
    <w:p>
      <w:pPr>
        <w:pStyle w:val="Bibliografi"/>
      </w:pPr>
      <w:r>
        <w:t xml:space="preserve">Nader GA (2005). Molecular determinants of skeletal muscle mass: Getting the "akt" together.</w:t>
      </w:r>
      <w:r>
        <w:t xml:space="preserve"> </w:t>
      </w:r>
      <w:r>
        <w:rPr>
          <w:i/>
        </w:rPr>
        <w:t xml:space="preserve">Int J Biochem Cell Biol</w:t>
      </w:r>
      <w:r>
        <w:t xml:space="preserve"> </w:t>
      </w:r>
      <w:r>
        <w:rPr>
          <w:b/>
        </w:rPr>
        <w:t xml:space="preserve">37,</w:t>
      </w:r>
      <w:r>
        <w:t xml:space="preserve"> </w:t>
      </w:r>
      <w:r>
        <w:t xml:space="preserve">1985–1996.</w:t>
      </w:r>
    </w:p>
    <w:bookmarkEnd w:id="42"/>
    <w:bookmarkStart w:id="43"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43"/>
    <w:bookmarkStart w:id="44"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44"/>
    <w:bookmarkStart w:id="45"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45"/>
    <w:bookmarkStart w:id="46"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46"/>
    <w:bookmarkStart w:id="47"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47"/>
    <w:bookmarkStart w:id="48"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48"/>
    <w:bookmarkStart w:id="49"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49"/>
    <w:bookmarkStart w:id="50"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50"/>
    <w:bookmarkStart w:id="51"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51"/>
    <w:bookmarkEnd w:id="52"/>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38" Target="http://dx.doi.org/10.1007/978-981-10-3292-9_6"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07/978-981-10-3292-9_6"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Øfsteng2,£ Bent R. Rønnestad2, Stian Ellefsen1,3</dc:creator>
  <cp:keywords/>
  <dcterms:created xsi:type="dcterms:W3CDTF">2020-08-21T14:49:12Z</dcterms:created>
  <dcterms:modified xsi:type="dcterms:W3CDTF">2020-08-21T14:49:12Z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