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4C89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61D52">
        <w:rPr>
          <w:rFonts w:ascii="Times New Roman" w:hAnsi="Times New Roman" w:cs="Times New Roman"/>
          <w:b/>
          <w:bCs/>
          <w:color w:val="E97132" w:themeColor="accent2"/>
        </w:rPr>
        <w:t>Delivery Governance RACI</w:t>
      </w:r>
    </w:p>
    <w:p w14:paraId="6BA0265E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59442C8C">
          <v:rect id="_x0000_i1061" style="width:0;height:1.5pt" o:hralign="center" o:hrstd="t" o:hr="t" fillcolor="#a0a0a0" stroked="f"/>
        </w:pict>
      </w:r>
    </w:p>
    <w:p w14:paraId="79ECD510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t>Overview</w:t>
      </w:r>
    </w:p>
    <w:p w14:paraId="0DB6BCD4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The Delivery Governance RACI defines the roles, responsibilities, and accountability for governing enterprise delivery across products, programs, and Agile teams.</w:t>
      </w:r>
    </w:p>
    <w:p w14:paraId="3676C7CA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Its objective is to establish clear ownership for delivery oversight, performance management, risk governance, executive reporting, and continuous improvement while ensuring alignment with business objectives.</w:t>
      </w:r>
    </w:p>
    <w:p w14:paraId="05DB61C2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276DE18F">
          <v:rect id="_x0000_i1062" style="width:0;height:1.5pt" o:hralign="center" o:hrstd="t" o:hr="t" fillcolor="#a0a0a0" stroked="f"/>
        </w:pict>
      </w:r>
    </w:p>
    <w:p w14:paraId="4C420CFE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t>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948"/>
        <w:gridCol w:w="1350"/>
        <w:gridCol w:w="872"/>
        <w:gridCol w:w="1352"/>
        <w:gridCol w:w="1040"/>
        <w:gridCol w:w="1628"/>
      </w:tblGrid>
      <w:tr w:rsidR="00B61D52" w:rsidRPr="00B61D52" w14:paraId="6CCD1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4AFC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Governance Activity</w:t>
            </w:r>
          </w:p>
        </w:tc>
        <w:tc>
          <w:tcPr>
            <w:tcW w:w="0" w:type="auto"/>
            <w:vAlign w:val="center"/>
            <w:hideMark/>
          </w:tcPr>
          <w:p w14:paraId="22BE6FCE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ED3E588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Delivery Manager / PMO</w:t>
            </w:r>
          </w:p>
        </w:tc>
        <w:tc>
          <w:tcPr>
            <w:tcW w:w="0" w:type="auto"/>
            <w:vAlign w:val="center"/>
            <w:hideMark/>
          </w:tcPr>
          <w:p w14:paraId="22199F59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C02E66F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264F06A5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40BEA502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Executive Governance Board</w:t>
            </w:r>
          </w:p>
        </w:tc>
      </w:tr>
      <w:tr w:rsidR="00B61D52" w:rsidRPr="00B61D52" w14:paraId="714E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84E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Delivery Planning &amp; Alignment</w:t>
            </w:r>
          </w:p>
        </w:tc>
        <w:tc>
          <w:tcPr>
            <w:tcW w:w="0" w:type="auto"/>
            <w:vAlign w:val="center"/>
            <w:hideMark/>
          </w:tcPr>
          <w:p w14:paraId="46AAF6B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C7CD2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71648F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FA89A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803FB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18F3D1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B61D52" w:rsidRPr="00B61D52" w14:paraId="2A68E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325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Delivery Performance Monitoring</w:t>
            </w:r>
          </w:p>
        </w:tc>
        <w:tc>
          <w:tcPr>
            <w:tcW w:w="0" w:type="auto"/>
            <w:vAlign w:val="center"/>
            <w:hideMark/>
          </w:tcPr>
          <w:p w14:paraId="53B16980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8293B20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40CE1C7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E277D11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F5BB9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2B1F9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4B880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4251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Risk &amp; Issue Governance</w:t>
            </w:r>
          </w:p>
        </w:tc>
        <w:tc>
          <w:tcPr>
            <w:tcW w:w="0" w:type="auto"/>
            <w:vAlign w:val="center"/>
            <w:hideMark/>
          </w:tcPr>
          <w:p w14:paraId="5818C82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C2AEB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4CB5B80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2622063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815E1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3046AF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5CC4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652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Dependency Governance</w:t>
            </w:r>
          </w:p>
        </w:tc>
        <w:tc>
          <w:tcPr>
            <w:tcW w:w="0" w:type="auto"/>
            <w:vAlign w:val="center"/>
            <w:hideMark/>
          </w:tcPr>
          <w:p w14:paraId="435BA7C3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3FB89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D9916A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507CFE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C0923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1B5F6A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B61D52" w:rsidRPr="00B61D52" w14:paraId="2D1B7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E3B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Delivery Health Review</w:t>
            </w:r>
          </w:p>
        </w:tc>
        <w:tc>
          <w:tcPr>
            <w:tcW w:w="0" w:type="auto"/>
            <w:vAlign w:val="center"/>
            <w:hideMark/>
          </w:tcPr>
          <w:p w14:paraId="15897FE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FCD49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C74F24F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809CC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0BADEC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1C2DF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3F28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1C4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Executive Delivery Reporting</w:t>
            </w:r>
          </w:p>
        </w:tc>
        <w:tc>
          <w:tcPr>
            <w:tcW w:w="0" w:type="auto"/>
            <w:vAlign w:val="center"/>
            <w:hideMark/>
          </w:tcPr>
          <w:p w14:paraId="2CF69FD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5F1490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6A48BC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193960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F0707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17C68C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03F67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B704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Governance Review Meetings</w:t>
            </w:r>
          </w:p>
        </w:tc>
        <w:tc>
          <w:tcPr>
            <w:tcW w:w="0" w:type="auto"/>
            <w:vAlign w:val="center"/>
            <w:hideMark/>
          </w:tcPr>
          <w:p w14:paraId="4B6ACEF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B92FAF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0B31E77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A4864F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C15EB0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5A658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1DA9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84B4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Escalation Management</w:t>
            </w:r>
          </w:p>
        </w:tc>
        <w:tc>
          <w:tcPr>
            <w:tcW w:w="0" w:type="auto"/>
            <w:vAlign w:val="center"/>
            <w:hideMark/>
          </w:tcPr>
          <w:p w14:paraId="3ABDBD9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C1F66B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7BB4719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778CE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65069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BA505C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164B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BD8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Continuous Improvement Initiatives</w:t>
            </w:r>
          </w:p>
        </w:tc>
        <w:tc>
          <w:tcPr>
            <w:tcW w:w="0" w:type="auto"/>
            <w:vAlign w:val="center"/>
            <w:hideMark/>
          </w:tcPr>
          <w:p w14:paraId="6EDE3803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17C5F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112B719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072B8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1D8DA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4D0B8B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B61D52" w:rsidRPr="00B61D52" w14:paraId="72E24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879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Delivery Compliance &amp; Governance</w:t>
            </w:r>
          </w:p>
        </w:tc>
        <w:tc>
          <w:tcPr>
            <w:tcW w:w="0" w:type="auto"/>
            <w:vAlign w:val="center"/>
            <w:hideMark/>
          </w:tcPr>
          <w:p w14:paraId="40C70A0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ED82B0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5F74A6A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EE980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4C18D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862D717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B61D52" w:rsidRPr="00B61D52" w14:paraId="6233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8D24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Strategic Delivery Decisions</w:t>
            </w:r>
          </w:p>
        </w:tc>
        <w:tc>
          <w:tcPr>
            <w:tcW w:w="0" w:type="auto"/>
            <w:vAlign w:val="center"/>
            <w:hideMark/>
          </w:tcPr>
          <w:p w14:paraId="171695B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7B50A5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D1B3B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0E945C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026E79E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9069B1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</w:tr>
      <w:tr w:rsidR="00B61D52" w:rsidRPr="00B61D52" w14:paraId="6E0B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203B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Governance Framework Review</w:t>
            </w:r>
          </w:p>
        </w:tc>
        <w:tc>
          <w:tcPr>
            <w:tcW w:w="0" w:type="auto"/>
            <w:vAlign w:val="center"/>
            <w:hideMark/>
          </w:tcPr>
          <w:p w14:paraId="398A67AD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B83596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6EEC77E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0C00261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127FEA8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614E72" w14:textId="77777777" w:rsidR="00B61D52" w:rsidRPr="00B61D52" w:rsidRDefault="00B61D52" w:rsidP="00B61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61D5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</w:tbl>
    <w:p w14:paraId="40DA06E2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3D72F79A">
          <v:rect id="_x0000_i1063" style="width:0;height:1.5pt" o:hralign="center" o:hrstd="t" o:hr="t" fillcolor="#a0a0a0" stroked="f"/>
        </w:pict>
      </w:r>
    </w:p>
    <w:p w14:paraId="4A658223" w14:textId="77777777" w:rsidR="00B61D52" w:rsidRDefault="00B61D52" w:rsidP="00B61D52">
      <w:pPr>
        <w:rPr>
          <w:rFonts w:ascii="Times New Roman" w:hAnsi="Times New Roman" w:cs="Times New Roman"/>
          <w:b/>
          <w:bCs/>
        </w:rPr>
      </w:pPr>
    </w:p>
    <w:p w14:paraId="0746D190" w14:textId="333E685C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lastRenderedPageBreak/>
        <w:t>RACI Definitions</w:t>
      </w:r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5786"/>
      </w:tblGrid>
      <w:tr w:rsidR="00B61D52" w:rsidRPr="00B61D52" w14:paraId="2EC1C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24366" w14:textId="77777777" w:rsidR="00B61D52" w:rsidRPr="00B61D52" w:rsidRDefault="00B61D52" w:rsidP="00B61D52">
            <w:pPr>
              <w:rPr>
                <w:rFonts w:ascii="Times New Roman" w:hAnsi="Times New Roman" w:cs="Times New Roman"/>
                <w:b/>
                <w:bCs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D4081D5" w14:textId="77777777" w:rsidR="00B61D52" w:rsidRPr="00B61D52" w:rsidRDefault="00B61D52" w:rsidP="00B61D52">
            <w:pPr>
              <w:ind w:firstLine="758"/>
              <w:rPr>
                <w:rFonts w:ascii="Times New Roman" w:hAnsi="Times New Roman" w:cs="Times New Roman"/>
                <w:b/>
                <w:bCs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61D52" w:rsidRPr="00B61D52" w14:paraId="38BC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2B15" w14:textId="77777777" w:rsidR="00B61D52" w:rsidRPr="00B61D52" w:rsidRDefault="00B61D52" w:rsidP="00B61D52">
            <w:pPr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02BA91" w14:textId="77777777" w:rsidR="00B61D52" w:rsidRPr="00B61D52" w:rsidRDefault="00B61D52" w:rsidP="00B61D52">
            <w:pPr>
              <w:ind w:firstLine="758"/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</w:rPr>
              <w:t>Responsible – Performs the activity</w:t>
            </w:r>
          </w:p>
        </w:tc>
      </w:tr>
      <w:tr w:rsidR="00B61D52" w:rsidRPr="00B61D52" w14:paraId="39D5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AE18" w14:textId="77777777" w:rsidR="00B61D52" w:rsidRPr="00B61D52" w:rsidRDefault="00B61D52" w:rsidP="00B61D52">
            <w:pPr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B98FFC" w14:textId="77777777" w:rsidR="00B61D52" w:rsidRPr="00B61D52" w:rsidRDefault="00B61D52" w:rsidP="00B61D52">
            <w:pPr>
              <w:ind w:firstLine="758"/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</w:rPr>
              <w:t>Accountable – Owns the decision and outcome</w:t>
            </w:r>
          </w:p>
        </w:tc>
      </w:tr>
      <w:tr w:rsidR="00B61D52" w:rsidRPr="00B61D52" w14:paraId="3E04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CC03" w14:textId="77777777" w:rsidR="00B61D52" w:rsidRPr="00B61D52" w:rsidRDefault="00B61D52" w:rsidP="00B61D52">
            <w:pPr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937BE3" w14:textId="77777777" w:rsidR="00B61D52" w:rsidRPr="00B61D52" w:rsidRDefault="00B61D52" w:rsidP="00B61D52">
            <w:pPr>
              <w:ind w:firstLine="758"/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</w:rPr>
              <w:t>Consulted – Provides expertise and input</w:t>
            </w:r>
          </w:p>
        </w:tc>
      </w:tr>
      <w:tr w:rsidR="00B61D52" w:rsidRPr="00B61D52" w14:paraId="0699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4C14" w14:textId="77777777" w:rsidR="00B61D52" w:rsidRPr="00B61D52" w:rsidRDefault="00B61D52" w:rsidP="00B61D52">
            <w:pPr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9D7B8C" w14:textId="77777777" w:rsidR="00B61D52" w:rsidRPr="00B61D52" w:rsidRDefault="00B61D52" w:rsidP="00B61D52">
            <w:pPr>
              <w:ind w:firstLine="758"/>
              <w:rPr>
                <w:rFonts w:ascii="Times New Roman" w:hAnsi="Times New Roman" w:cs="Times New Roman"/>
              </w:rPr>
            </w:pPr>
            <w:r w:rsidRPr="00B61D52">
              <w:rPr>
                <w:rFonts w:ascii="Times New Roman" w:hAnsi="Times New Roman" w:cs="Times New Roman"/>
              </w:rPr>
              <w:t>Informed – Kept updated on progress and decisions</w:t>
            </w:r>
          </w:p>
        </w:tc>
      </w:tr>
    </w:tbl>
    <w:p w14:paraId="4CB700AB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7E91A1D0">
          <v:rect id="_x0000_i1064" style="width:0;height:1.5pt" o:hralign="center" o:hrstd="t" o:hr="t" fillcolor="#a0a0a0" stroked="f"/>
        </w:pict>
      </w:r>
    </w:p>
    <w:p w14:paraId="23A18E91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t>Governance Principles</w:t>
      </w:r>
    </w:p>
    <w:p w14:paraId="07E7207A" w14:textId="77777777" w:rsidR="00B61D52" w:rsidRPr="00B61D52" w:rsidRDefault="00B61D52" w:rsidP="00B61D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Governance responsibilities should be clearly defined and consistently followed.</w:t>
      </w:r>
    </w:p>
    <w:p w14:paraId="48D5ACF4" w14:textId="77777777" w:rsidR="00B61D52" w:rsidRPr="00B61D52" w:rsidRDefault="00B61D52" w:rsidP="00B61D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Decision-making should be supported by delivery data and measurable outcomes.</w:t>
      </w:r>
    </w:p>
    <w:p w14:paraId="4858F52A" w14:textId="77777777" w:rsidR="00B61D52" w:rsidRPr="00B61D52" w:rsidRDefault="00B61D52" w:rsidP="00B61D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Risks, issues, and dependencies should have assigned ownership.</w:t>
      </w:r>
    </w:p>
    <w:p w14:paraId="17C23503" w14:textId="77777777" w:rsidR="00B61D52" w:rsidRPr="00B61D52" w:rsidRDefault="00B61D52" w:rsidP="00B61D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Executive governance should focus on strategic decisions rather than operational activities.</w:t>
      </w:r>
    </w:p>
    <w:p w14:paraId="10786505" w14:textId="77777777" w:rsidR="00B61D52" w:rsidRPr="00B61D52" w:rsidRDefault="00B61D52" w:rsidP="00B61D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Accountability should promote transparency, collaboration, and continuous improvement.</w:t>
      </w:r>
    </w:p>
    <w:p w14:paraId="75C83BBE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33F9A4B8">
          <v:rect id="_x0000_i1065" style="width:0;height:1.5pt" o:hralign="center" o:hrstd="t" o:hr="t" fillcolor="#a0a0a0" stroked="f"/>
        </w:pict>
      </w:r>
    </w:p>
    <w:p w14:paraId="1DA8DA71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t>Expected Outcome</w:t>
      </w:r>
    </w:p>
    <w:p w14:paraId="71D0E29C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A clearly defined governance structure that establishes accountability, improves collaboration, supports informed decision-making, and strengthens enterprise delivery performance.</w:t>
      </w:r>
    </w:p>
    <w:p w14:paraId="75927866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pict w14:anchorId="0B30FFF0">
          <v:rect id="_x0000_i1066" style="width:0;height:1.5pt" o:hralign="center" o:hrstd="t" o:hr="t" fillcolor="#a0a0a0" stroked="f"/>
        </w:pict>
      </w:r>
    </w:p>
    <w:p w14:paraId="0F21D978" w14:textId="77777777" w:rsidR="00B61D52" w:rsidRPr="00B61D52" w:rsidRDefault="00B61D52" w:rsidP="00B61D52">
      <w:pPr>
        <w:rPr>
          <w:rFonts w:ascii="Times New Roman" w:hAnsi="Times New Roman" w:cs="Times New Roman"/>
          <w:b/>
          <w:bCs/>
        </w:rPr>
      </w:pPr>
      <w:r w:rsidRPr="00B61D52">
        <w:rPr>
          <w:rFonts w:ascii="Times New Roman" w:hAnsi="Times New Roman" w:cs="Times New Roman"/>
          <w:b/>
          <w:bCs/>
        </w:rPr>
        <w:t>Key Insight</w:t>
      </w:r>
    </w:p>
    <w:p w14:paraId="20A0802D" w14:textId="77777777" w:rsidR="00B61D52" w:rsidRPr="00B61D52" w:rsidRDefault="00B61D52" w:rsidP="00B61D52">
      <w:pPr>
        <w:rPr>
          <w:rFonts w:ascii="Times New Roman" w:hAnsi="Times New Roman" w:cs="Times New Roman"/>
        </w:rPr>
      </w:pPr>
      <w:r w:rsidRPr="00B61D52">
        <w:rPr>
          <w:rFonts w:ascii="Times New Roman" w:hAnsi="Times New Roman" w:cs="Times New Roman"/>
        </w:rPr>
        <w:t>Effective delivery governance is built on clear ownership and accountability. A well-defined RACI ensures that governance activities are executed efficiently, decisions are made at the appropriate level, and delivery remains aligned with strategic business goals.</w:t>
      </w:r>
    </w:p>
    <w:p w14:paraId="7D8783C6" w14:textId="77777777" w:rsidR="00090554" w:rsidRPr="00B61D52" w:rsidRDefault="00090554">
      <w:pPr>
        <w:rPr>
          <w:rFonts w:ascii="Times New Roman" w:hAnsi="Times New Roman" w:cs="Times New Roman"/>
        </w:rPr>
      </w:pPr>
    </w:p>
    <w:sectPr w:rsidR="00090554" w:rsidRPr="00B6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40EB"/>
    <w:multiLevelType w:val="multilevel"/>
    <w:tmpl w:val="882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1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52"/>
    <w:rsid w:val="00090554"/>
    <w:rsid w:val="008A2E8C"/>
    <w:rsid w:val="00B61D5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DE44"/>
  <w15:chartTrackingRefBased/>
  <w15:docId w15:val="{91B4485C-7F53-4E7B-8D2E-D856F7E9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1934</Characters>
  <Application>Microsoft Office Word</Application>
  <DocSecurity>0</DocSecurity>
  <Lines>33</Lines>
  <Paragraphs>21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2026-06-29T07:23:00Z</dcterms:created>
  <dcterms:modified xsi:type="dcterms:W3CDTF">2026-06-29T07:25:00Z</dcterms:modified>
</cp:coreProperties>
</file>