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9DF9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DF4CAC">
        <w:rPr>
          <w:rFonts w:ascii="Times New Roman" w:hAnsi="Times New Roman" w:cs="Times New Roman"/>
          <w:b/>
          <w:bCs/>
          <w:color w:val="E97132" w:themeColor="accent2"/>
        </w:rPr>
        <w:t>Delivery Performance Management</w:t>
      </w:r>
    </w:p>
    <w:p w14:paraId="156D52B2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6A9F0086">
          <v:rect id="_x0000_i1085" style="width:0;height:1.5pt" o:hralign="center" o:hrstd="t" o:hr="t" fillcolor="#a0a0a0" stroked="f"/>
        </w:pict>
      </w:r>
    </w:p>
    <w:p w14:paraId="1E0A2619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Overview</w:t>
      </w:r>
    </w:p>
    <w:p w14:paraId="06643FBD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The Delivery Performance Management framework defines how enterprise delivery performance is measured, monitored, and governed across products, programs, and Agile teams.</w:t>
      </w:r>
    </w:p>
    <w:p w14:paraId="4EEDE10B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The objective is to provide leadership with actionable insights into delivery health, predictability, execution efficiency, and overall business alignment.</w:t>
      </w:r>
    </w:p>
    <w:p w14:paraId="16DF435B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70E3F8C8">
          <v:rect id="_x0000_i1086" style="width:0;height:1.5pt" o:hralign="center" o:hrstd="t" o:hr="t" fillcolor="#a0a0a0" stroked="f"/>
        </w:pict>
      </w:r>
    </w:p>
    <w:p w14:paraId="0E27C42B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Objectives</w:t>
      </w:r>
    </w:p>
    <w:p w14:paraId="269D4B63" w14:textId="77777777" w:rsidR="00DF4CAC" w:rsidRPr="00DF4CAC" w:rsidRDefault="00DF4CAC" w:rsidP="00DF4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Measure enterprise delivery performance.</w:t>
      </w:r>
    </w:p>
    <w:p w14:paraId="7B61DD6B" w14:textId="77777777" w:rsidR="00DF4CAC" w:rsidRPr="00DF4CAC" w:rsidRDefault="00DF4CAC" w:rsidP="00DF4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Improve delivery predictability and transparency.</w:t>
      </w:r>
    </w:p>
    <w:p w14:paraId="74784482" w14:textId="77777777" w:rsidR="00DF4CAC" w:rsidRPr="00DF4CAC" w:rsidRDefault="00DF4CAC" w:rsidP="00DF4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Enable data-driven governance decisions.</w:t>
      </w:r>
    </w:p>
    <w:p w14:paraId="44E92C22" w14:textId="77777777" w:rsidR="00DF4CAC" w:rsidRPr="00DF4CAC" w:rsidRDefault="00DF4CAC" w:rsidP="00DF4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Identify performance trends and improvement opportunities.</w:t>
      </w:r>
    </w:p>
    <w:p w14:paraId="404EE666" w14:textId="77777777" w:rsidR="00DF4CAC" w:rsidRPr="00DF4CAC" w:rsidRDefault="00DF4CAC" w:rsidP="00DF4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Support continuous delivery excellence.</w:t>
      </w:r>
    </w:p>
    <w:p w14:paraId="2DE9ACED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74CC0445">
          <v:rect id="_x0000_i1087" style="width:0;height:1.5pt" o:hralign="center" o:hrstd="t" o:hr="t" fillcolor="#a0a0a0" stroked="f"/>
        </w:pict>
      </w:r>
    </w:p>
    <w:p w14:paraId="789BB9B7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Performance Management Framework</w:t>
      </w:r>
    </w:p>
    <w:p w14:paraId="09309579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Delivery Execution</w:t>
      </w:r>
    </w:p>
    <w:p w14:paraId="27E2FD54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 xml:space="preserve">        ↓</w:t>
      </w:r>
    </w:p>
    <w:p w14:paraId="4A1D4619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Performance Measurement</w:t>
      </w:r>
    </w:p>
    <w:p w14:paraId="60170AF7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 xml:space="preserve">        ↓</w:t>
      </w:r>
    </w:p>
    <w:p w14:paraId="6F0C966C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Trend Analysis</w:t>
      </w:r>
    </w:p>
    <w:p w14:paraId="50F38E44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 xml:space="preserve">        ↓</w:t>
      </w:r>
    </w:p>
    <w:p w14:paraId="2AA5A93C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Governance Review</w:t>
      </w:r>
    </w:p>
    <w:p w14:paraId="305A372B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 xml:space="preserve">        ↓</w:t>
      </w:r>
    </w:p>
    <w:p w14:paraId="10033455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Improvement Actions</w:t>
      </w:r>
    </w:p>
    <w:p w14:paraId="65FB4DD5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51CCAF65">
          <v:rect id="_x0000_i1088" style="width:0;height:1.5pt" o:hralign="center" o:hrstd="t" o:hr="t" fillcolor="#a0a0a0" stroked="f"/>
        </w:pict>
      </w:r>
    </w:p>
    <w:p w14:paraId="74E5E3FB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Key Performance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5193"/>
      </w:tblGrid>
      <w:tr w:rsidR="00DF4CAC" w:rsidRPr="00DF4CAC" w14:paraId="01B15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7FAD6" w14:textId="77777777" w:rsidR="00DF4CAC" w:rsidRPr="00DF4CAC" w:rsidRDefault="00DF4CAC" w:rsidP="00DF4CAC">
            <w:pPr>
              <w:rPr>
                <w:rFonts w:ascii="Times New Roman" w:hAnsi="Times New Roman" w:cs="Times New Roman"/>
                <w:b/>
                <w:bCs/>
              </w:rPr>
            </w:pPr>
            <w:r w:rsidRPr="00DF4CAC">
              <w:rPr>
                <w:rFonts w:ascii="Times New Roman" w:hAnsi="Times New Roman" w:cs="Times New Roman"/>
                <w:b/>
                <w:bCs/>
              </w:rPr>
              <w:lastRenderedPageBreak/>
              <w:t>Performance Area</w:t>
            </w:r>
          </w:p>
        </w:tc>
        <w:tc>
          <w:tcPr>
            <w:tcW w:w="0" w:type="auto"/>
            <w:vAlign w:val="center"/>
            <w:hideMark/>
          </w:tcPr>
          <w:p w14:paraId="5A0EB7E3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  <w:b/>
                <w:bCs/>
              </w:rPr>
            </w:pPr>
            <w:r w:rsidRPr="00DF4CA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F4CAC" w:rsidRPr="00DF4CAC" w14:paraId="12042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F82D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Predictability</w:t>
            </w:r>
          </w:p>
        </w:tc>
        <w:tc>
          <w:tcPr>
            <w:tcW w:w="0" w:type="auto"/>
            <w:vAlign w:val="center"/>
            <w:hideMark/>
          </w:tcPr>
          <w:p w14:paraId="5FBA881A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Measure planned vs. actual delivery outcomes</w:t>
            </w:r>
          </w:p>
        </w:tc>
      </w:tr>
      <w:tr w:rsidR="00DF4CAC" w:rsidRPr="00DF4CAC" w14:paraId="233F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2357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Throughput</w:t>
            </w:r>
          </w:p>
        </w:tc>
        <w:tc>
          <w:tcPr>
            <w:tcW w:w="0" w:type="auto"/>
            <w:vAlign w:val="center"/>
            <w:hideMark/>
          </w:tcPr>
          <w:p w14:paraId="5233AB4D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Track completed work across teams</w:t>
            </w:r>
          </w:p>
        </w:tc>
      </w:tr>
      <w:tr w:rsidR="00DF4CAC" w:rsidRPr="00DF4CAC" w14:paraId="0A368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0BC8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Schedule Adherence</w:t>
            </w:r>
          </w:p>
        </w:tc>
        <w:tc>
          <w:tcPr>
            <w:tcW w:w="0" w:type="auto"/>
            <w:vAlign w:val="center"/>
            <w:hideMark/>
          </w:tcPr>
          <w:p w14:paraId="4BE0CD73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Monitor delivery against committed timelines</w:t>
            </w:r>
          </w:p>
        </w:tc>
      </w:tr>
      <w:tr w:rsidR="00DF4CAC" w:rsidRPr="00DF4CAC" w14:paraId="789C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767E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Quality</w:t>
            </w:r>
          </w:p>
        </w:tc>
        <w:tc>
          <w:tcPr>
            <w:tcW w:w="0" w:type="auto"/>
            <w:vAlign w:val="center"/>
            <w:hideMark/>
          </w:tcPr>
          <w:p w14:paraId="62D0A021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Measure production stability and defect trends</w:t>
            </w:r>
          </w:p>
        </w:tc>
      </w:tr>
      <w:tr w:rsidR="00DF4CAC" w:rsidRPr="00DF4CAC" w14:paraId="3539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0EA2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Efficiency</w:t>
            </w:r>
          </w:p>
        </w:tc>
        <w:tc>
          <w:tcPr>
            <w:tcW w:w="0" w:type="auto"/>
            <w:vAlign w:val="center"/>
            <w:hideMark/>
          </w:tcPr>
          <w:p w14:paraId="5399254E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Assess team execution and cycle efficiency</w:t>
            </w:r>
          </w:p>
        </w:tc>
      </w:tr>
      <w:tr w:rsidR="00DF4CAC" w:rsidRPr="00DF4CAC" w14:paraId="4A47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3436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Business Value Delivery</w:t>
            </w:r>
          </w:p>
        </w:tc>
        <w:tc>
          <w:tcPr>
            <w:tcW w:w="0" w:type="auto"/>
            <w:vAlign w:val="center"/>
            <w:hideMark/>
          </w:tcPr>
          <w:p w14:paraId="0D9FE605" w14:textId="77777777" w:rsidR="00DF4CAC" w:rsidRPr="00DF4CAC" w:rsidRDefault="00DF4CAC" w:rsidP="00DF4CAC">
            <w:pPr>
              <w:ind w:firstLine="6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Evaluate delivery against business priorities</w:t>
            </w:r>
          </w:p>
        </w:tc>
      </w:tr>
    </w:tbl>
    <w:p w14:paraId="46FEF093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347197EC">
          <v:rect id="_x0000_i1089" style="width:0;height:1.5pt" o:hralign="center" o:hrstd="t" o:hr="t" fillcolor="#a0a0a0" stroked="f"/>
        </w:pict>
      </w:r>
    </w:p>
    <w:p w14:paraId="3D600BB2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Enterprise Delivery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5018"/>
      </w:tblGrid>
      <w:tr w:rsidR="00DF4CAC" w:rsidRPr="00DF4CAC" w14:paraId="4090D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D92C4" w14:textId="77777777" w:rsidR="00DF4CAC" w:rsidRPr="00DF4CAC" w:rsidRDefault="00DF4CAC" w:rsidP="00DF4CAC">
            <w:pPr>
              <w:rPr>
                <w:rFonts w:ascii="Times New Roman" w:hAnsi="Times New Roman" w:cs="Times New Roman"/>
                <w:b/>
                <w:bCs/>
              </w:rPr>
            </w:pPr>
            <w:r w:rsidRPr="00DF4CA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E440A5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  <w:b/>
                <w:bCs/>
              </w:rPr>
            </w:pPr>
            <w:r w:rsidRPr="00DF4CA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F4CAC" w:rsidRPr="00DF4CAC" w14:paraId="016D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1303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Predictability (%)</w:t>
            </w:r>
          </w:p>
        </w:tc>
        <w:tc>
          <w:tcPr>
            <w:tcW w:w="0" w:type="auto"/>
            <w:vAlign w:val="center"/>
            <w:hideMark/>
          </w:tcPr>
          <w:p w14:paraId="448A1C54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Planned vs. actual delivery completion</w:t>
            </w:r>
          </w:p>
        </w:tc>
      </w:tr>
      <w:tr w:rsidR="00DF4CAC" w:rsidRPr="00DF4CAC" w14:paraId="4CE4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BD2E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On-Time Delivery Rate (%)</w:t>
            </w:r>
          </w:p>
        </w:tc>
        <w:tc>
          <w:tcPr>
            <w:tcW w:w="0" w:type="auto"/>
            <w:vAlign w:val="center"/>
            <w:hideMark/>
          </w:tcPr>
          <w:p w14:paraId="0BB57F62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Releases delivered as scheduled</w:t>
            </w:r>
          </w:p>
        </w:tc>
      </w:tr>
      <w:tr w:rsidR="00DF4CAC" w:rsidRPr="00DF4CAC" w14:paraId="509F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4906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Throughput</w:t>
            </w:r>
          </w:p>
        </w:tc>
        <w:tc>
          <w:tcPr>
            <w:tcW w:w="0" w:type="auto"/>
            <w:vAlign w:val="center"/>
            <w:hideMark/>
          </w:tcPr>
          <w:p w14:paraId="3FB6531B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Work items completed within a reporting period</w:t>
            </w:r>
          </w:p>
        </w:tc>
      </w:tr>
      <w:tr w:rsidR="00DF4CAC" w:rsidRPr="00DF4CAC" w14:paraId="76722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121F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7418CCB5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Time from request to delivery</w:t>
            </w:r>
          </w:p>
        </w:tc>
      </w:tr>
      <w:tr w:rsidR="00DF4CAC" w:rsidRPr="00DF4CAC" w14:paraId="721A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8ECD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Cycle Time</w:t>
            </w:r>
          </w:p>
        </w:tc>
        <w:tc>
          <w:tcPr>
            <w:tcW w:w="0" w:type="auto"/>
            <w:vAlign w:val="center"/>
            <w:hideMark/>
          </w:tcPr>
          <w:p w14:paraId="02181CED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Time from development start to completion</w:t>
            </w:r>
          </w:p>
        </w:tc>
      </w:tr>
      <w:tr w:rsidR="00DF4CAC" w:rsidRPr="00DF4CAC" w14:paraId="54380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644E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Defect Leakage</w:t>
            </w:r>
          </w:p>
        </w:tc>
        <w:tc>
          <w:tcPr>
            <w:tcW w:w="0" w:type="auto"/>
            <w:vAlign w:val="center"/>
            <w:hideMark/>
          </w:tcPr>
          <w:p w14:paraId="44C4FD58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Defects identified after production release</w:t>
            </w:r>
          </w:p>
        </w:tc>
      </w:tr>
      <w:tr w:rsidR="00DF4CAC" w:rsidRPr="00DF4CAC" w14:paraId="573C1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2999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Success Rate (%)</w:t>
            </w:r>
          </w:p>
        </w:tc>
        <w:tc>
          <w:tcPr>
            <w:tcW w:w="0" w:type="auto"/>
            <w:vAlign w:val="center"/>
            <w:hideMark/>
          </w:tcPr>
          <w:p w14:paraId="00F878BA" w14:textId="77777777" w:rsidR="00DF4CAC" w:rsidRPr="00DF4CAC" w:rsidRDefault="00DF4CAC" w:rsidP="00DF4CAC">
            <w:pPr>
              <w:ind w:firstLine="323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Successful delivery without major issues</w:t>
            </w:r>
          </w:p>
        </w:tc>
      </w:tr>
    </w:tbl>
    <w:p w14:paraId="372A411D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04DE1799">
          <v:rect id="_x0000_i1090" style="width:0;height:1.5pt" o:hralign="center" o:hrstd="t" o:hr="t" fillcolor="#a0a0a0" stroked="f"/>
        </w:pict>
      </w:r>
    </w:p>
    <w:p w14:paraId="6B10D943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Performance Review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1223"/>
      </w:tblGrid>
      <w:tr w:rsidR="00DF4CAC" w:rsidRPr="00DF4CAC" w14:paraId="2F036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BD67B" w14:textId="77777777" w:rsidR="00DF4CAC" w:rsidRPr="00DF4CAC" w:rsidRDefault="00DF4CAC" w:rsidP="00DF4CAC">
            <w:pPr>
              <w:rPr>
                <w:rFonts w:ascii="Times New Roman" w:hAnsi="Times New Roman" w:cs="Times New Roman"/>
                <w:b/>
                <w:bCs/>
              </w:rPr>
            </w:pPr>
            <w:r w:rsidRPr="00DF4CAC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40FD8F7" w14:textId="77777777" w:rsidR="00DF4CAC" w:rsidRPr="00DF4CAC" w:rsidRDefault="00DF4CAC" w:rsidP="00DF4CAC">
            <w:pPr>
              <w:ind w:firstLine="59"/>
              <w:rPr>
                <w:rFonts w:ascii="Times New Roman" w:hAnsi="Times New Roman" w:cs="Times New Roman"/>
                <w:b/>
                <w:bCs/>
              </w:rPr>
            </w:pPr>
            <w:r w:rsidRPr="00DF4CAC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DF4CAC" w:rsidRPr="00DF4CAC" w14:paraId="71DF5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2807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Team Performance Review</w:t>
            </w:r>
          </w:p>
        </w:tc>
        <w:tc>
          <w:tcPr>
            <w:tcW w:w="0" w:type="auto"/>
            <w:vAlign w:val="center"/>
            <w:hideMark/>
          </w:tcPr>
          <w:p w14:paraId="04815D27" w14:textId="77777777" w:rsidR="00DF4CAC" w:rsidRPr="00DF4CAC" w:rsidRDefault="00DF4CAC" w:rsidP="00DF4CAC">
            <w:pPr>
              <w:ind w:firstLine="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Sprint</w:t>
            </w:r>
          </w:p>
        </w:tc>
      </w:tr>
      <w:tr w:rsidR="00DF4CAC" w:rsidRPr="00DF4CAC" w14:paraId="1A2A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6EF8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Delivery Performance Review</w:t>
            </w:r>
          </w:p>
        </w:tc>
        <w:tc>
          <w:tcPr>
            <w:tcW w:w="0" w:type="auto"/>
            <w:vAlign w:val="center"/>
            <w:hideMark/>
          </w:tcPr>
          <w:p w14:paraId="2726E4F4" w14:textId="77777777" w:rsidR="00DF4CAC" w:rsidRPr="00DF4CAC" w:rsidRDefault="00DF4CAC" w:rsidP="00DF4CAC">
            <w:pPr>
              <w:ind w:firstLine="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Monthly</w:t>
            </w:r>
          </w:p>
        </w:tc>
      </w:tr>
      <w:tr w:rsidR="00DF4CAC" w:rsidRPr="00DF4CAC" w14:paraId="2329F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6B24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Executive Delivery Review</w:t>
            </w:r>
          </w:p>
        </w:tc>
        <w:tc>
          <w:tcPr>
            <w:tcW w:w="0" w:type="auto"/>
            <w:vAlign w:val="center"/>
            <w:hideMark/>
          </w:tcPr>
          <w:p w14:paraId="25B81C7F" w14:textId="77777777" w:rsidR="00DF4CAC" w:rsidRPr="00DF4CAC" w:rsidRDefault="00DF4CAC" w:rsidP="00DF4CAC">
            <w:pPr>
              <w:ind w:firstLine="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Monthly</w:t>
            </w:r>
          </w:p>
        </w:tc>
      </w:tr>
      <w:tr w:rsidR="00DF4CAC" w:rsidRPr="00DF4CAC" w14:paraId="3C9E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AD77" w14:textId="77777777" w:rsidR="00DF4CAC" w:rsidRPr="00DF4CAC" w:rsidRDefault="00DF4CAC" w:rsidP="00DF4CAC">
            <w:pPr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Trend &amp; Improvement Review</w:t>
            </w:r>
          </w:p>
        </w:tc>
        <w:tc>
          <w:tcPr>
            <w:tcW w:w="0" w:type="auto"/>
            <w:vAlign w:val="center"/>
            <w:hideMark/>
          </w:tcPr>
          <w:p w14:paraId="582C7556" w14:textId="77777777" w:rsidR="00DF4CAC" w:rsidRPr="00DF4CAC" w:rsidRDefault="00DF4CAC" w:rsidP="00DF4CAC">
            <w:pPr>
              <w:ind w:firstLine="59"/>
              <w:rPr>
                <w:rFonts w:ascii="Times New Roman" w:hAnsi="Times New Roman" w:cs="Times New Roman"/>
              </w:rPr>
            </w:pPr>
            <w:r w:rsidRPr="00DF4CAC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1FEB4458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573BFA69">
          <v:rect id="_x0000_i1091" style="width:0;height:1.5pt" o:hralign="center" o:hrstd="t" o:hr="t" fillcolor="#a0a0a0" stroked="f"/>
        </w:pict>
      </w:r>
    </w:p>
    <w:p w14:paraId="0BA9CCFA" w14:textId="77777777" w:rsidR="00DF4CAC" w:rsidRDefault="00DF4CAC" w:rsidP="00DF4CAC">
      <w:pPr>
        <w:rPr>
          <w:rFonts w:ascii="Times New Roman" w:hAnsi="Times New Roman" w:cs="Times New Roman"/>
          <w:b/>
          <w:bCs/>
        </w:rPr>
      </w:pPr>
    </w:p>
    <w:p w14:paraId="1FA9A143" w14:textId="0FDC25FB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lastRenderedPageBreak/>
        <w:t>Governance Controls</w:t>
      </w:r>
    </w:p>
    <w:p w14:paraId="499C5125" w14:textId="77777777" w:rsidR="00DF4CAC" w:rsidRPr="00DF4CAC" w:rsidRDefault="00DF4CAC" w:rsidP="00DF4C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Monitor performance using standardized KPIs.</w:t>
      </w:r>
    </w:p>
    <w:p w14:paraId="0CE1CF10" w14:textId="77777777" w:rsidR="00DF4CAC" w:rsidRPr="00DF4CAC" w:rsidRDefault="00DF4CAC" w:rsidP="00DF4C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Review trends rather than isolated metrics.</w:t>
      </w:r>
    </w:p>
    <w:p w14:paraId="4DD14B63" w14:textId="77777777" w:rsidR="00DF4CAC" w:rsidRPr="00DF4CAC" w:rsidRDefault="00DF4CAC" w:rsidP="00DF4C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Investigate significant performance deviations.</w:t>
      </w:r>
    </w:p>
    <w:p w14:paraId="7146061B" w14:textId="77777777" w:rsidR="00DF4CAC" w:rsidRPr="00DF4CAC" w:rsidRDefault="00DF4CAC" w:rsidP="00DF4C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Define corrective actions for recurring issues.</w:t>
      </w:r>
    </w:p>
    <w:p w14:paraId="26651E4A" w14:textId="77777777" w:rsidR="00DF4CAC" w:rsidRPr="00DF4CAC" w:rsidRDefault="00DF4CAC" w:rsidP="00DF4C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Use performance insights to drive continuous improvement.</w:t>
      </w:r>
    </w:p>
    <w:p w14:paraId="1047C6B1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33025FF8">
          <v:rect id="_x0000_i1092" style="width:0;height:1.5pt" o:hralign="center" o:hrstd="t" o:hr="t" fillcolor="#a0a0a0" stroked="f"/>
        </w:pict>
      </w:r>
    </w:p>
    <w:p w14:paraId="2C9E248E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Performance Outputs</w:t>
      </w:r>
    </w:p>
    <w:p w14:paraId="49ED3487" w14:textId="77777777" w:rsidR="00DF4CAC" w:rsidRPr="00DF4CAC" w:rsidRDefault="00DF4CAC" w:rsidP="00DF4C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Enterprise Delivery Dashboard</w:t>
      </w:r>
    </w:p>
    <w:p w14:paraId="2C04E9D3" w14:textId="77777777" w:rsidR="00DF4CAC" w:rsidRPr="00DF4CAC" w:rsidRDefault="00DF4CAC" w:rsidP="00DF4C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KPI Performance Report</w:t>
      </w:r>
    </w:p>
    <w:p w14:paraId="538B01C4" w14:textId="77777777" w:rsidR="00DF4CAC" w:rsidRPr="00DF4CAC" w:rsidRDefault="00DF4CAC" w:rsidP="00DF4C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Delivery Trend Analysis</w:t>
      </w:r>
    </w:p>
    <w:p w14:paraId="16CFAC4C" w14:textId="77777777" w:rsidR="00DF4CAC" w:rsidRPr="00DF4CAC" w:rsidRDefault="00DF4CAC" w:rsidP="00DF4C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Improvement Action Plan</w:t>
      </w:r>
    </w:p>
    <w:p w14:paraId="3811AF42" w14:textId="77777777" w:rsidR="00DF4CAC" w:rsidRPr="00DF4CAC" w:rsidRDefault="00DF4CAC" w:rsidP="00DF4C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Executive Performance Summary</w:t>
      </w:r>
    </w:p>
    <w:p w14:paraId="197D540A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7D286E0E">
          <v:rect id="_x0000_i1093" style="width:0;height:1.5pt" o:hralign="center" o:hrstd="t" o:hr="t" fillcolor="#a0a0a0" stroked="f"/>
        </w:pict>
      </w:r>
    </w:p>
    <w:p w14:paraId="780DCE09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Expected Outcome</w:t>
      </w:r>
    </w:p>
    <w:p w14:paraId="44A61745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A consistent, data-driven approach to measuring delivery performance that improves predictability, enables informed decision-making, and supports continuous improvement across the enterprise.</w:t>
      </w:r>
    </w:p>
    <w:p w14:paraId="32D79067" w14:textId="77777777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pict w14:anchorId="1312FB6F">
          <v:rect id="_x0000_i1094" style="width:0;height:1.5pt" o:hralign="center" o:hrstd="t" o:hr="t" fillcolor="#a0a0a0" stroked="f"/>
        </w:pict>
      </w:r>
    </w:p>
    <w:p w14:paraId="12CB8D32" w14:textId="77777777" w:rsidR="00DF4CAC" w:rsidRPr="00DF4CAC" w:rsidRDefault="00DF4CAC" w:rsidP="00DF4CAC">
      <w:pPr>
        <w:rPr>
          <w:rFonts w:ascii="Times New Roman" w:hAnsi="Times New Roman" w:cs="Times New Roman"/>
          <w:b/>
          <w:bCs/>
        </w:rPr>
      </w:pPr>
      <w:r w:rsidRPr="00DF4CAC">
        <w:rPr>
          <w:rFonts w:ascii="Times New Roman" w:hAnsi="Times New Roman" w:cs="Times New Roman"/>
          <w:b/>
          <w:bCs/>
        </w:rPr>
        <w:t>Key Insight</w:t>
      </w:r>
    </w:p>
    <w:p w14:paraId="25F47F79" w14:textId="5D5F36A8" w:rsidR="00DF4CAC" w:rsidRPr="00DF4CAC" w:rsidRDefault="00DF4CAC" w:rsidP="00DF4CAC">
      <w:pPr>
        <w:rPr>
          <w:rFonts w:ascii="Times New Roman" w:hAnsi="Times New Roman" w:cs="Times New Roman"/>
        </w:rPr>
      </w:pPr>
      <w:r w:rsidRPr="00DF4CAC">
        <w:rPr>
          <w:rFonts w:ascii="Times New Roman" w:hAnsi="Times New Roman" w:cs="Times New Roman"/>
        </w:rPr>
        <w:t>Effective delivery performance management is not about measuring team activity</w:t>
      </w:r>
      <w:r>
        <w:rPr>
          <w:rFonts w:ascii="Times New Roman" w:hAnsi="Times New Roman" w:cs="Times New Roman"/>
        </w:rPr>
        <w:t>. I</w:t>
      </w:r>
      <w:r w:rsidRPr="00DF4CAC">
        <w:rPr>
          <w:rFonts w:ascii="Times New Roman" w:hAnsi="Times New Roman" w:cs="Times New Roman"/>
        </w:rPr>
        <w:t>t is about understanding whether delivery efforts consistently achieve business outcomes with quality, predictability, and efficiency.</w:t>
      </w:r>
    </w:p>
    <w:p w14:paraId="15AFAD1D" w14:textId="77777777" w:rsidR="00090554" w:rsidRPr="00DF4CAC" w:rsidRDefault="00090554">
      <w:pPr>
        <w:rPr>
          <w:rFonts w:ascii="Times New Roman" w:hAnsi="Times New Roman" w:cs="Times New Roman"/>
        </w:rPr>
      </w:pPr>
    </w:p>
    <w:sectPr w:rsidR="00090554" w:rsidRPr="00DF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54B1"/>
    <w:multiLevelType w:val="multilevel"/>
    <w:tmpl w:val="981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9084A"/>
    <w:multiLevelType w:val="multilevel"/>
    <w:tmpl w:val="4AF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16156"/>
    <w:multiLevelType w:val="multilevel"/>
    <w:tmpl w:val="EBD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38175">
    <w:abstractNumId w:val="2"/>
  </w:num>
  <w:num w:numId="2" w16cid:durableId="610866581">
    <w:abstractNumId w:val="1"/>
  </w:num>
  <w:num w:numId="3" w16cid:durableId="202836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AC"/>
    <w:rsid w:val="00090554"/>
    <w:rsid w:val="008A2E8C"/>
    <w:rsid w:val="00DF4CA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5F59"/>
  <w15:chartTrackingRefBased/>
  <w15:docId w15:val="{C089907E-8CA8-4117-8DF8-8F312CD7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2407</Characters>
  <Application>Microsoft Office Word</Application>
  <DocSecurity>0</DocSecurity>
  <Lines>41</Lines>
  <Paragraphs>27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2026-06-29T07:04:00Z</dcterms:created>
  <dcterms:modified xsi:type="dcterms:W3CDTF">2026-06-29T07:06:00Z</dcterms:modified>
</cp:coreProperties>
</file>