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1443" w14:textId="77777777" w:rsidR="00AB7CBD" w:rsidRPr="00AB7CBD" w:rsidRDefault="00AB7CBD" w:rsidP="00AB7CB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AB7CBD">
        <w:rPr>
          <w:rFonts w:ascii="Times New Roman" w:hAnsi="Times New Roman" w:cs="Times New Roman"/>
          <w:b/>
          <w:bCs/>
          <w:color w:val="E97132" w:themeColor="accent2"/>
        </w:rPr>
        <w:t>Release Governance RACI</w:t>
      </w:r>
    </w:p>
    <w:p w14:paraId="61B0FA52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pict w14:anchorId="33DCF9FF">
          <v:rect id="_x0000_i1061" style="width:0;height:1.5pt" o:hralign="center" o:hrstd="t" o:hr="t" fillcolor="#a0a0a0" stroked="f"/>
        </w:pict>
      </w:r>
    </w:p>
    <w:p w14:paraId="5D800D88" w14:textId="77777777" w:rsidR="00AB7CBD" w:rsidRPr="00AB7CBD" w:rsidRDefault="00AB7CBD" w:rsidP="00AB7CBD">
      <w:pPr>
        <w:rPr>
          <w:rFonts w:ascii="Times New Roman" w:hAnsi="Times New Roman" w:cs="Times New Roman"/>
          <w:b/>
          <w:bCs/>
        </w:rPr>
      </w:pPr>
      <w:r w:rsidRPr="00AB7CBD">
        <w:rPr>
          <w:rFonts w:ascii="Times New Roman" w:hAnsi="Times New Roman" w:cs="Times New Roman"/>
          <w:b/>
          <w:bCs/>
        </w:rPr>
        <w:t>Overview</w:t>
      </w:r>
    </w:p>
    <w:p w14:paraId="149400E9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The Release Governance RACI defines roles, responsibilities, and decision-making accountability for release planning, readiness, deployment, communication, and release governance activities.</w:t>
      </w:r>
    </w:p>
    <w:p w14:paraId="0CF3B0B5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The objective is to ensure clear ownership, effective coordination, and controlled release execution across business and delivery teams.</w:t>
      </w:r>
    </w:p>
    <w:p w14:paraId="7BCEBCDB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pict w14:anchorId="3F6F6ACD">
          <v:rect id="_x0000_i1062" style="width:0;height:1.5pt" o:hralign="center" o:hrstd="t" o:hr="t" fillcolor="#a0a0a0" stroked="f"/>
        </w:pict>
      </w:r>
    </w:p>
    <w:p w14:paraId="45302B19" w14:textId="77777777" w:rsidR="00AB7CBD" w:rsidRPr="00AB7CBD" w:rsidRDefault="00AB7CBD" w:rsidP="00AB7CBD">
      <w:pPr>
        <w:rPr>
          <w:rFonts w:ascii="Times New Roman" w:hAnsi="Times New Roman" w:cs="Times New Roman"/>
          <w:b/>
          <w:bCs/>
        </w:rPr>
      </w:pPr>
      <w:r w:rsidRPr="00AB7CBD">
        <w:rPr>
          <w:rFonts w:ascii="Times New Roman" w:hAnsi="Times New Roman" w:cs="Times New Roman"/>
          <w:b/>
          <w:bCs/>
        </w:rPr>
        <w:t>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912"/>
        <w:gridCol w:w="1512"/>
        <w:gridCol w:w="1279"/>
        <w:gridCol w:w="900"/>
        <w:gridCol w:w="1425"/>
        <w:gridCol w:w="1240"/>
      </w:tblGrid>
      <w:tr w:rsidR="00AB7CBD" w:rsidRPr="00AB7CBD" w14:paraId="2A22E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23C91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F0A6263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C6D5665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Release Manager / Delivery Lead</w:t>
            </w:r>
          </w:p>
        </w:tc>
        <w:tc>
          <w:tcPr>
            <w:tcW w:w="0" w:type="auto"/>
            <w:vAlign w:val="center"/>
            <w:hideMark/>
          </w:tcPr>
          <w:p w14:paraId="79981FC7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5C08133F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Delivery Team</w:t>
            </w:r>
          </w:p>
        </w:tc>
        <w:tc>
          <w:tcPr>
            <w:tcW w:w="0" w:type="auto"/>
            <w:vAlign w:val="center"/>
            <w:hideMark/>
          </w:tcPr>
          <w:p w14:paraId="3CD73EC4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Operations / Support Team</w:t>
            </w:r>
          </w:p>
        </w:tc>
        <w:tc>
          <w:tcPr>
            <w:tcW w:w="0" w:type="auto"/>
            <w:vAlign w:val="center"/>
            <w:hideMark/>
          </w:tcPr>
          <w:p w14:paraId="288FA7BE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Governance Forum</w:t>
            </w:r>
          </w:p>
        </w:tc>
      </w:tr>
      <w:tr w:rsidR="00AB7CBD" w:rsidRPr="00AB7CBD" w14:paraId="39C2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0784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Planning</w:t>
            </w:r>
          </w:p>
        </w:tc>
        <w:tc>
          <w:tcPr>
            <w:tcW w:w="0" w:type="auto"/>
            <w:vAlign w:val="center"/>
            <w:hideMark/>
          </w:tcPr>
          <w:p w14:paraId="66981FC1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070FE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FA9E4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97305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270B1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EE17142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16273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A19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Scope Approval</w:t>
            </w:r>
          </w:p>
        </w:tc>
        <w:tc>
          <w:tcPr>
            <w:tcW w:w="0" w:type="auto"/>
            <w:vAlign w:val="center"/>
            <w:hideMark/>
          </w:tcPr>
          <w:p w14:paraId="40F7EA9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EF2FF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0101A3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CB1AD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ED04BB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F5A77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51B35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626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Schedule Management</w:t>
            </w:r>
          </w:p>
        </w:tc>
        <w:tc>
          <w:tcPr>
            <w:tcW w:w="0" w:type="auto"/>
            <w:vAlign w:val="center"/>
            <w:hideMark/>
          </w:tcPr>
          <w:p w14:paraId="08A5C2A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A29C4E7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0F73C742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7AFF3A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247011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EC20C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2DE7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5A4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Risk &amp; Dependency Management</w:t>
            </w:r>
          </w:p>
        </w:tc>
        <w:tc>
          <w:tcPr>
            <w:tcW w:w="0" w:type="auto"/>
            <w:vAlign w:val="center"/>
            <w:hideMark/>
          </w:tcPr>
          <w:p w14:paraId="7035E6E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E7091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6054E94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48764C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930E68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099007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1864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725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Readiness Review</w:t>
            </w:r>
          </w:p>
        </w:tc>
        <w:tc>
          <w:tcPr>
            <w:tcW w:w="0" w:type="auto"/>
            <w:vAlign w:val="center"/>
            <w:hideMark/>
          </w:tcPr>
          <w:p w14:paraId="785D6BA3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F74BF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42A376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9BF06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362DA5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260031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64BF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9A9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Go / No-Go Decision</w:t>
            </w:r>
          </w:p>
        </w:tc>
        <w:tc>
          <w:tcPr>
            <w:tcW w:w="0" w:type="auto"/>
            <w:vAlign w:val="center"/>
            <w:hideMark/>
          </w:tcPr>
          <w:p w14:paraId="6D517A0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C23D3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BB38AD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E28A31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DC27BC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ED180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</w:tr>
      <w:tr w:rsidR="00AB7CBD" w:rsidRPr="00AB7CBD" w14:paraId="518E9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66FC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Communication</w:t>
            </w:r>
          </w:p>
        </w:tc>
        <w:tc>
          <w:tcPr>
            <w:tcW w:w="0" w:type="auto"/>
            <w:vAlign w:val="center"/>
            <w:hideMark/>
          </w:tcPr>
          <w:p w14:paraId="4E2E955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C24ACA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60098C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F0D0FE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48E98E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D8CE734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027BC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DD6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Deployment Execution</w:t>
            </w:r>
          </w:p>
        </w:tc>
        <w:tc>
          <w:tcPr>
            <w:tcW w:w="0" w:type="auto"/>
            <w:vAlign w:val="center"/>
            <w:hideMark/>
          </w:tcPr>
          <w:p w14:paraId="60BFD02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9A23AE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BB2AC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A64F33A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DD3D73B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02F4C023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4DF83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9B8C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Rollback Decision</w:t>
            </w:r>
          </w:p>
        </w:tc>
        <w:tc>
          <w:tcPr>
            <w:tcW w:w="0" w:type="auto"/>
            <w:vAlign w:val="center"/>
            <w:hideMark/>
          </w:tcPr>
          <w:p w14:paraId="33F33F1E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C93E5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46A2ECE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8927771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FD0564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C490EA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AB7CBD" w:rsidRPr="00AB7CBD" w14:paraId="577E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B31C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Post-Release Validation</w:t>
            </w:r>
          </w:p>
        </w:tc>
        <w:tc>
          <w:tcPr>
            <w:tcW w:w="0" w:type="auto"/>
            <w:vAlign w:val="center"/>
            <w:hideMark/>
          </w:tcPr>
          <w:p w14:paraId="23860B3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8693936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27C4AC9A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1E5D92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AF88AC6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F09482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4E7F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69BA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Health Reporting</w:t>
            </w:r>
          </w:p>
        </w:tc>
        <w:tc>
          <w:tcPr>
            <w:tcW w:w="0" w:type="auto"/>
            <w:vAlign w:val="center"/>
            <w:hideMark/>
          </w:tcPr>
          <w:p w14:paraId="78B7C634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3BBD97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7E517B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ACB4A07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E3CF21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8DDDB6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AB7CBD" w:rsidRPr="00AB7CBD" w14:paraId="1EA5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51A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Release Review &amp; Closure</w:t>
            </w:r>
          </w:p>
        </w:tc>
        <w:tc>
          <w:tcPr>
            <w:tcW w:w="0" w:type="auto"/>
            <w:vAlign w:val="center"/>
            <w:hideMark/>
          </w:tcPr>
          <w:p w14:paraId="48025C1E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94CCA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707D0A9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80D66A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28F0DD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EAD04FC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AB7CBD" w:rsidRPr="00AB7CBD" w14:paraId="7572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AF47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Escalation Management</w:t>
            </w:r>
          </w:p>
        </w:tc>
        <w:tc>
          <w:tcPr>
            <w:tcW w:w="0" w:type="auto"/>
            <w:vAlign w:val="center"/>
            <w:hideMark/>
          </w:tcPr>
          <w:p w14:paraId="6E791520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62C60C4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F8907A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6F7AAAC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65B5EE1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53A1C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AB7CBD" w:rsidRPr="00AB7CBD" w14:paraId="27A5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95F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Governance Oversight</w:t>
            </w:r>
          </w:p>
        </w:tc>
        <w:tc>
          <w:tcPr>
            <w:tcW w:w="0" w:type="auto"/>
            <w:vAlign w:val="center"/>
            <w:hideMark/>
          </w:tcPr>
          <w:p w14:paraId="207B266F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F7E33E9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9A4558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462F054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AA7233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FEBE465" w14:textId="77777777" w:rsidR="00AB7CBD" w:rsidRPr="00AB7CBD" w:rsidRDefault="00AB7CBD" w:rsidP="00AB7C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B7CBD">
              <w:rPr>
                <w:rFonts w:ascii="Times New Roman" w:hAnsi="Times New Roman" w:cs="Times New Roman"/>
                <w:sz w:val="18"/>
                <w:szCs w:val="18"/>
              </w:rPr>
              <w:t>A/R</w:t>
            </w:r>
          </w:p>
        </w:tc>
      </w:tr>
    </w:tbl>
    <w:p w14:paraId="2029787A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pict w14:anchorId="30611909">
          <v:rect id="_x0000_i1063" style="width:0;height:1.5pt" o:hralign="center" o:hrstd="t" o:hr="t" fillcolor="#a0a0a0" stroked="f"/>
        </w:pict>
      </w:r>
    </w:p>
    <w:p w14:paraId="71FF9AB0" w14:textId="77777777" w:rsidR="00AB7CBD" w:rsidRPr="00AB7CBD" w:rsidRDefault="00AB7CBD" w:rsidP="00AB7CBD">
      <w:pPr>
        <w:rPr>
          <w:rFonts w:ascii="Times New Roman" w:hAnsi="Times New Roman" w:cs="Times New Roman"/>
          <w:b/>
          <w:bCs/>
        </w:rPr>
      </w:pPr>
      <w:r w:rsidRPr="00AB7CBD">
        <w:rPr>
          <w:rFonts w:ascii="Times New Roman" w:hAnsi="Times New Roman" w:cs="Times New Roman"/>
          <w:b/>
          <w:bCs/>
        </w:rPr>
        <w:lastRenderedPageBreak/>
        <w:t>RACI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4801"/>
      </w:tblGrid>
      <w:tr w:rsidR="00AB7CBD" w:rsidRPr="00AB7CBD" w14:paraId="4C391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3EE1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</w:rPr>
            </w:pPr>
            <w:r w:rsidRPr="00AB7CBD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A1F4222" w14:textId="77777777" w:rsidR="00AB7CBD" w:rsidRPr="00AB7CBD" w:rsidRDefault="00AB7CBD" w:rsidP="00AB7CBD">
            <w:pPr>
              <w:rPr>
                <w:rFonts w:ascii="Times New Roman" w:hAnsi="Times New Roman" w:cs="Times New Roman"/>
                <w:b/>
                <w:bCs/>
              </w:rPr>
            </w:pPr>
            <w:r w:rsidRPr="00AB7CB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B7CBD" w:rsidRPr="00AB7CBD" w14:paraId="1ADD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25D8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C8AE8D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Responsible – Performs the activity</w:t>
            </w:r>
          </w:p>
        </w:tc>
      </w:tr>
      <w:tr w:rsidR="00AB7CBD" w:rsidRPr="00AB7CBD" w14:paraId="2AA03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C340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593056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Accountable – Owns the decision and outcome</w:t>
            </w:r>
          </w:p>
        </w:tc>
      </w:tr>
      <w:tr w:rsidR="00AB7CBD" w:rsidRPr="00AB7CBD" w14:paraId="506E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0297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B34BC6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Consulted – Provides input and expertise</w:t>
            </w:r>
          </w:p>
        </w:tc>
      </w:tr>
      <w:tr w:rsidR="00AB7CBD" w:rsidRPr="00AB7CBD" w14:paraId="1899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BCF5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85ED187" w14:textId="77777777" w:rsidR="00AB7CBD" w:rsidRPr="00AB7CBD" w:rsidRDefault="00AB7CBD" w:rsidP="00AB7CBD">
            <w:pPr>
              <w:rPr>
                <w:rFonts w:ascii="Times New Roman" w:hAnsi="Times New Roman" w:cs="Times New Roman"/>
              </w:rPr>
            </w:pPr>
            <w:r w:rsidRPr="00AB7CBD">
              <w:rPr>
                <w:rFonts w:ascii="Times New Roman" w:hAnsi="Times New Roman" w:cs="Times New Roman"/>
              </w:rPr>
              <w:t>Informed – Kept aware of progress and decisions</w:t>
            </w:r>
          </w:p>
        </w:tc>
      </w:tr>
    </w:tbl>
    <w:p w14:paraId="42FAF4FA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pict w14:anchorId="180A2A97">
          <v:rect id="_x0000_i1064" style="width:0;height:1.5pt" o:hralign="center" o:hrstd="t" o:hr="t" fillcolor="#a0a0a0" stroked="f"/>
        </w:pict>
      </w:r>
    </w:p>
    <w:p w14:paraId="3094FD34" w14:textId="77777777" w:rsidR="00AB7CBD" w:rsidRPr="00AB7CBD" w:rsidRDefault="00AB7CBD" w:rsidP="00AB7CBD">
      <w:pPr>
        <w:rPr>
          <w:rFonts w:ascii="Times New Roman" w:hAnsi="Times New Roman" w:cs="Times New Roman"/>
          <w:b/>
          <w:bCs/>
        </w:rPr>
      </w:pPr>
      <w:r w:rsidRPr="00AB7CBD">
        <w:rPr>
          <w:rFonts w:ascii="Times New Roman" w:hAnsi="Times New Roman" w:cs="Times New Roman"/>
          <w:b/>
          <w:bCs/>
        </w:rPr>
        <w:t>Governance Principles</w:t>
      </w:r>
    </w:p>
    <w:p w14:paraId="5EC27A52" w14:textId="77777777" w:rsidR="00AB7CBD" w:rsidRPr="00AB7CBD" w:rsidRDefault="00AB7CBD" w:rsidP="00AB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Release accountability should be clearly defined before execution.</w:t>
      </w:r>
    </w:p>
    <w:p w14:paraId="65DB9219" w14:textId="77777777" w:rsidR="00AB7CBD" w:rsidRPr="00AB7CBD" w:rsidRDefault="00AB7CBD" w:rsidP="00AB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Readiness, risk, and deployment decisions should have designated ownership.</w:t>
      </w:r>
    </w:p>
    <w:p w14:paraId="3380C204" w14:textId="77777777" w:rsidR="00AB7CBD" w:rsidRPr="00AB7CBD" w:rsidRDefault="00AB7CBD" w:rsidP="00AB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Business and operational stakeholders should be engaged throughout the release lifecycle.</w:t>
      </w:r>
    </w:p>
    <w:p w14:paraId="6D9FF3BC" w14:textId="77777777" w:rsidR="00AB7CBD" w:rsidRPr="00AB7CBD" w:rsidRDefault="00AB7CBD" w:rsidP="00AB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Escalations should occur proactively when release success is at risk.</w:t>
      </w:r>
    </w:p>
    <w:p w14:paraId="2C565CCC" w14:textId="77777777" w:rsidR="00AB7CBD" w:rsidRPr="00AB7CBD" w:rsidRDefault="00AB7CBD" w:rsidP="00AB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Governance should enable controlled delivery while minimizing unnecessary delays.</w:t>
      </w:r>
    </w:p>
    <w:p w14:paraId="0832CE5C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pict w14:anchorId="59109ECC">
          <v:rect id="_x0000_i1065" style="width:0;height:1.5pt" o:hralign="center" o:hrstd="t" o:hr="t" fillcolor="#a0a0a0" stroked="f"/>
        </w:pict>
      </w:r>
    </w:p>
    <w:p w14:paraId="09C82641" w14:textId="77777777" w:rsidR="00AB7CBD" w:rsidRDefault="00AB7CBD" w:rsidP="00AB7CBD">
      <w:pPr>
        <w:rPr>
          <w:rFonts w:ascii="Times New Roman" w:hAnsi="Times New Roman" w:cs="Times New Roman"/>
          <w:b/>
          <w:bCs/>
        </w:rPr>
      </w:pPr>
    </w:p>
    <w:p w14:paraId="20236781" w14:textId="1CAF3D1C" w:rsidR="00AB7CBD" w:rsidRPr="00AB7CBD" w:rsidRDefault="00AB7CBD" w:rsidP="00AB7CBD">
      <w:pPr>
        <w:rPr>
          <w:rFonts w:ascii="Times New Roman" w:hAnsi="Times New Roman" w:cs="Times New Roman"/>
          <w:b/>
          <w:bCs/>
        </w:rPr>
      </w:pPr>
      <w:r w:rsidRPr="00AB7CBD">
        <w:rPr>
          <w:rFonts w:ascii="Times New Roman" w:hAnsi="Times New Roman" w:cs="Times New Roman"/>
          <w:b/>
          <w:bCs/>
        </w:rPr>
        <w:t>Expected Outcome</w:t>
      </w:r>
    </w:p>
    <w:p w14:paraId="09468FAA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Clear accountability, effective release coordination, improved decision-making, and stronger governance throughout the release lifecycle.</w:t>
      </w:r>
    </w:p>
    <w:p w14:paraId="73023164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pict w14:anchorId="6DA8DDEF">
          <v:rect id="_x0000_i1066" style="width:0;height:1.5pt" o:hralign="center" o:hrstd="t" o:hr="t" fillcolor="#a0a0a0" stroked="f"/>
        </w:pict>
      </w:r>
    </w:p>
    <w:p w14:paraId="362DB1DB" w14:textId="77777777" w:rsidR="00AB7CBD" w:rsidRPr="00AB7CBD" w:rsidRDefault="00AB7CBD" w:rsidP="00AB7CBD">
      <w:pPr>
        <w:rPr>
          <w:rFonts w:ascii="Times New Roman" w:hAnsi="Times New Roman" w:cs="Times New Roman"/>
          <w:b/>
          <w:bCs/>
        </w:rPr>
      </w:pPr>
      <w:r w:rsidRPr="00AB7CBD">
        <w:rPr>
          <w:rFonts w:ascii="Times New Roman" w:hAnsi="Times New Roman" w:cs="Times New Roman"/>
          <w:b/>
          <w:bCs/>
        </w:rPr>
        <w:t>Key Insight</w:t>
      </w:r>
    </w:p>
    <w:p w14:paraId="120CE106" w14:textId="77777777" w:rsidR="00AB7CBD" w:rsidRPr="00AB7CBD" w:rsidRDefault="00AB7CBD" w:rsidP="00AB7CBD">
      <w:pPr>
        <w:rPr>
          <w:rFonts w:ascii="Times New Roman" w:hAnsi="Times New Roman" w:cs="Times New Roman"/>
        </w:rPr>
      </w:pPr>
      <w:r w:rsidRPr="00AB7CBD">
        <w:rPr>
          <w:rFonts w:ascii="Times New Roman" w:hAnsi="Times New Roman" w:cs="Times New Roman"/>
        </w:rPr>
        <w:t>Successful releases depend on more than technical deployment activities. Clear ownership, decision-making accountability, and stakeholder alignment are critical to delivering releases safely and predictably.</w:t>
      </w:r>
    </w:p>
    <w:p w14:paraId="562D792E" w14:textId="77777777" w:rsidR="00090554" w:rsidRPr="00AB7CBD" w:rsidRDefault="00090554">
      <w:pPr>
        <w:rPr>
          <w:rFonts w:ascii="Times New Roman" w:hAnsi="Times New Roman" w:cs="Times New Roman"/>
        </w:rPr>
      </w:pPr>
    </w:p>
    <w:sectPr w:rsidR="00090554" w:rsidRPr="00AB7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79BF"/>
    <w:multiLevelType w:val="multilevel"/>
    <w:tmpl w:val="D1DA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14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BD"/>
    <w:rsid w:val="00090554"/>
    <w:rsid w:val="00AB7CBD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49DB"/>
  <w15:chartTrackingRefBased/>
  <w15:docId w15:val="{7A1ED472-F6E9-4F38-AF5D-960A98FF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1798</Characters>
  <Application>Microsoft Office Word</Application>
  <DocSecurity>0</DocSecurity>
  <Lines>31</Lines>
  <Paragraphs>20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2026-06-24T11:03:00Z</dcterms:created>
  <dcterms:modified xsi:type="dcterms:W3CDTF">2026-06-24T11:04:00Z</dcterms:modified>
</cp:coreProperties>
</file>