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0055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E10C3">
        <w:rPr>
          <w:rFonts w:ascii="Times New Roman" w:hAnsi="Times New Roman" w:cs="Times New Roman"/>
          <w:b/>
          <w:bCs/>
          <w:color w:val="E97132" w:themeColor="accent2"/>
        </w:rPr>
        <w:t>Release Risk and Dependency Management</w:t>
      </w:r>
    </w:p>
    <w:p w14:paraId="3F5E453C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Overview</w:t>
      </w:r>
    </w:p>
    <w:p w14:paraId="1E92F527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The Release Risk and Dependency Management framework defines the approach for identifying, assessing, monitoring, and mitigating risks and dependencies that may impact release success.</w:t>
      </w:r>
    </w:p>
    <w:p w14:paraId="06D3914B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The objective is to proactively manage delivery challenges, reduce deployment risk, and improve release predictability.</w:t>
      </w:r>
    </w:p>
    <w:p w14:paraId="3DEC70A5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Objectives</w:t>
      </w:r>
    </w:p>
    <w:p w14:paraId="32AA4F78" w14:textId="77777777" w:rsidR="00BE10C3" w:rsidRPr="00BE10C3" w:rsidRDefault="00BE10C3" w:rsidP="00BE1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Identify release risks early.</w:t>
      </w:r>
    </w:p>
    <w:p w14:paraId="4AB78D27" w14:textId="77777777" w:rsidR="00BE10C3" w:rsidRPr="00BE10C3" w:rsidRDefault="00BE10C3" w:rsidP="00BE1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Track and manage critical dependencies.</w:t>
      </w:r>
    </w:p>
    <w:p w14:paraId="7EAEF3D8" w14:textId="77777777" w:rsidR="00BE10C3" w:rsidRPr="00BE10C3" w:rsidRDefault="00BE10C3" w:rsidP="00BE1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Minimize deployment and operational impacts.</w:t>
      </w:r>
    </w:p>
    <w:p w14:paraId="18CDAE24" w14:textId="77777777" w:rsidR="00BE10C3" w:rsidRPr="00BE10C3" w:rsidRDefault="00BE10C3" w:rsidP="00BE1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Enable proactive decision-making and escalation.</w:t>
      </w:r>
    </w:p>
    <w:p w14:paraId="259E5A8B" w14:textId="77777777" w:rsidR="00BE10C3" w:rsidRPr="00BE10C3" w:rsidRDefault="00BE10C3" w:rsidP="00BE10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Improve release confidence and predictability.</w:t>
      </w:r>
    </w:p>
    <w:p w14:paraId="47045A9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03BC5466">
          <v:rect id="_x0000_i1093" style="width:0;height:1.5pt" o:hralign="center" o:hrstd="t" o:hr="t" fillcolor="#a0a0a0" stroked="f"/>
        </w:pict>
      </w:r>
    </w:p>
    <w:p w14:paraId="0D133EE0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Risk and Dependency Management Process</w:t>
      </w:r>
    </w:p>
    <w:p w14:paraId="365FD4D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Release Planning</w:t>
      </w:r>
    </w:p>
    <w:p w14:paraId="15742DAB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 xml:space="preserve">        ↓</w:t>
      </w:r>
    </w:p>
    <w:p w14:paraId="2508C780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Risk &amp; Dependency Identification</w:t>
      </w:r>
    </w:p>
    <w:p w14:paraId="5CDA2CD3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 xml:space="preserve">        ↓</w:t>
      </w:r>
    </w:p>
    <w:p w14:paraId="38F684C0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Impact Assessment</w:t>
      </w:r>
    </w:p>
    <w:p w14:paraId="644F9B6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 xml:space="preserve">        ↓</w:t>
      </w:r>
    </w:p>
    <w:p w14:paraId="5D08CC13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Mitigation Planning</w:t>
      </w:r>
    </w:p>
    <w:p w14:paraId="3589EE10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 xml:space="preserve">        ↓</w:t>
      </w:r>
    </w:p>
    <w:p w14:paraId="077EAAA4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Monitoring &amp; Escalation</w:t>
      </w:r>
    </w:p>
    <w:p w14:paraId="21650C5A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 xml:space="preserve">        ↓</w:t>
      </w:r>
    </w:p>
    <w:p w14:paraId="3C97AA1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Release Readiness Review</w:t>
      </w:r>
    </w:p>
    <w:p w14:paraId="2164320F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6AFE7570">
          <v:rect id="_x0000_i1094" style="width:0;height:1.5pt" o:hralign="center" o:hrstd="t" o:hr="t" fillcolor="#a0a0a0" stroked="f"/>
        </w:pict>
      </w:r>
    </w:p>
    <w:p w14:paraId="1BE121CC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940"/>
      </w:tblGrid>
      <w:tr w:rsidR="00BE10C3" w:rsidRPr="00BE10C3" w14:paraId="09E35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A595D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lastRenderedPageBreak/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1A31EDA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BE10C3" w:rsidRPr="00BE10C3" w14:paraId="6FB5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F62B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Delivery Risk</w:t>
            </w:r>
          </w:p>
        </w:tc>
        <w:tc>
          <w:tcPr>
            <w:tcW w:w="0" w:type="auto"/>
            <w:vAlign w:val="center"/>
            <w:hideMark/>
          </w:tcPr>
          <w:p w14:paraId="360EC556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Delays in development or testing activities</w:t>
            </w:r>
          </w:p>
        </w:tc>
      </w:tr>
      <w:tr w:rsidR="00BE10C3" w:rsidRPr="00BE10C3" w14:paraId="4746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77B9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Technical Risk</w:t>
            </w:r>
          </w:p>
        </w:tc>
        <w:tc>
          <w:tcPr>
            <w:tcW w:w="0" w:type="auto"/>
            <w:vAlign w:val="center"/>
            <w:hideMark/>
          </w:tcPr>
          <w:p w14:paraId="4647B060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Architecture, integration, or performance concerns</w:t>
            </w:r>
          </w:p>
        </w:tc>
      </w:tr>
      <w:tr w:rsidR="00BE10C3" w:rsidRPr="00BE10C3" w14:paraId="0B8D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6397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1865918B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Support readiness or deployment challenges</w:t>
            </w:r>
          </w:p>
        </w:tc>
      </w:tr>
      <w:tr w:rsidR="00BE10C3" w:rsidRPr="00BE10C3" w14:paraId="1C2A4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072A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1862AA41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Impact to users, customers, or operations</w:t>
            </w:r>
          </w:p>
        </w:tc>
      </w:tr>
      <w:tr w:rsidR="00BE10C3" w:rsidRPr="00BE10C3" w14:paraId="205E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0209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3908C446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Regulatory or audit-related requirements</w:t>
            </w:r>
          </w:p>
        </w:tc>
      </w:tr>
    </w:tbl>
    <w:p w14:paraId="64E0F572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3EEC4638">
          <v:rect id="_x0000_i1095" style="width:0;height:1.5pt" o:hralign="center" o:hrstd="t" o:hr="t" fillcolor="#a0a0a0" stroked="f"/>
        </w:pict>
      </w:r>
    </w:p>
    <w:p w14:paraId="2534FEA4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Dependency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4267"/>
      </w:tblGrid>
      <w:tr w:rsidR="00BE10C3" w:rsidRPr="00BE10C3" w14:paraId="76B7D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9A673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t>Dependency Type</w:t>
            </w:r>
          </w:p>
        </w:tc>
        <w:tc>
          <w:tcPr>
            <w:tcW w:w="0" w:type="auto"/>
            <w:vAlign w:val="center"/>
            <w:hideMark/>
          </w:tcPr>
          <w:p w14:paraId="5C1397EA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BE10C3" w:rsidRPr="00BE10C3" w14:paraId="41D4B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017C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Internal Dependency</w:t>
            </w:r>
          </w:p>
        </w:tc>
        <w:tc>
          <w:tcPr>
            <w:tcW w:w="0" w:type="auto"/>
            <w:vAlign w:val="center"/>
            <w:hideMark/>
          </w:tcPr>
          <w:p w14:paraId="37F4B51C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Dependency on another team or application</w:t>
            </w:r>
          </w:p>
        </w:tc>
      </w:tr>
      <w:tr w:rsidR="00BE10C3" w:rsidRPr="00BE10C3" w14:paraId="2417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7A58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External Dependency</w:t>
            </w:r>
          </w:p>
        </w:tc>
        <w:tc>
          <w:tcPr>
            <w:tcW w:w="0" w:type="auto"/>
            <w:vAlign w:val="center"/>
            <w:hideMark/>
          </w:tcPr>
          <w:p w14:paraId="72B85164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Third-party vendor or service dependency</w:t>
            </w:r>
          </w:p>
        </w:tc>
      </w:tr>
      <w:tr w:rsidR="00BE10C3" w:rsidRPr="00BE10C3" w14:paraId="1419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6AD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Environment Dependency</w:t>
            </w:r>
          </w:p>
        </w:tc>
        <w:tc>
          <w:tcPr>
            <w:tcW w:w="0" w:type="auto"/>
            <w:vAlign w:val="center"/>
            <w:hideMark/>
          </w:tcPr>
          <w:p w14:paraId="30B11255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Infrastructure or platform readiness</w:t>
            </w:r>
          </w:p>
        </w:tc>
      </w:tr>
      <w:tr w:rsidR="00BE10C3" w:rsidRPr="00BE10C3" w14:paraId="3CC7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F3DA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Business Dependency</w:t>
            </w:r>
          </w:p>
        </w:tc>
        <w:tc>
          <w:tcPr>
            <w:tcW w:w="0" w:type="auto"/>
            <w:vAlign w:val="center"/>
            <w:hideMark/>
          </w:tcPr>
          <w:p w14:paraId="0353B15D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Business approval or operational readiness</w:t>
            </w:r>
          </w:p>
        </w:tc>
      </w:tr>
      <w:tr w:rsidR="00BE10C3" w:rsidRPr="00BE10C3" w14:paraId="383C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23DD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Release Dependency</w:t>
            </w:r>
          </w:p>
        </w:tc>
        <w:tc>
          <w:tcPr>
            <w:tcW w:w="0" w:type="auto"/>
            <w:vAlign w:val="center"/>
            <w:hideMark/>
          </w:tcPr>
          <w:p w14:paraId="5F82CE98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Related releases or deployment activities</w:t>
            </w:r>
          </w:p>
        </w:tc>
      </w:tr>
    </w:tbl>
    <w:p w14:paraId="03206715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094EA7FE">
          <v:rect id="_x0000_i1096" style="width:0;height:1.5pt" o:hralign="center" o:hrstd="t" o:hr="t" fillcolor="#a0a0a0" stroked="f"/>
        </w:pict>
      </w:r>
    </w:p>
    <w:p w14:paraId="0D1F3C64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Risk Assessment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889"/>
      </w:tblGrid>
      <w:tr w:rsidR="00BE10C3" w:rsidRPr="00BE10C3" w14:paraId="1AFD7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C7ECF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1797154" w14:textId="77777777" w:rsidR="00BE10C3" w:rsidRPr="00BE10C3" w:rsidRDefault="00BE10C3" w:rsidP="00BE10C3">
            <w:pPr>
              <w:rPr>
                <w:rFonts w:ascii="Times New Roman" w:hAnsi="Times New Roman" w:cs="Times New Roman"/>
                <w:b/>
                <w:bCs/>
              </w:rPr>
            </w:pPr>
            <w:r w:rsidRPr="00BE10C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E10C3" w:rsidRPr="00BE10C3" w14:paraId="1A2C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64F3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High Impact / High Probability</w:t>
            </w:r>
          </w:p>
        </w:tc>
        <w:tc>
          <w:tcPr>
            <w:tcW w:w="0" w:type="auto"/>
            <w:vAlign w:val="center"/>
            <w:hideMark/>
          </w:tcPr>
          <w:p w14:paraId="25146325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Critical</w:t>
            </w:r>
          </w:p>
        </w:tc>
      </w:tr>
      <w:tr w:rsidR="00BE10C3" w:rsidRPr="00BE10C3" w14:paraId="43E5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B1BB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High Impact / Low Probability</w:t>
            </w:r>
          </w:p>
        </w:tc>
        <w:tc>
          <w:tcPr>
            <w:tcW w:w="0" w:type="auto"/>
            <w:vAlign w:val="center"/>
            <w:hideMark/>
          </w:tcPr>
          <w:p w14:paraId="536424D4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High</w:t>
            </w:r>
          </w:p>
        </w:tc>
      </w:tr>
      <w:tr w:rsidR="00BE10C3" w:rsidRPr="00BE10C3" w14:paraId="50475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09EC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Low Impact / High Probability</w:t>
            </w:r>
          </w:p>
        </w:tc>
        <w:tc>
          <w:tcPr>
            <w:tcW w:w="0" w:type="auto"/>
            <w:vAlign w:val="center"/>
            <w:hideMark/>
          </w:tcPr>
          <w:p w14:paraId="0BB595FA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Medium</w:t>
            </w:r>
          </w:p>
        </w:tc>
      </w:tr>
      <w:tr w:rsidR="00BE10C3" w:rsidRPr="00BE10C3" w14:paraId="1F7B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1C3A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Low Impact / Low Probability</w:t>
            </w:r>
          </w:p>
        </w:tc>
        <w:tc>
          <w:tcPr>
            <w:tcW w:w="0" w:type="auto"/>
            <w:vAlign w:val="center"/>
            <w:hideMark/>
          </w:tcPr>
          <w:p w14:paraId="4942B735" w14:textId="77777777" w:rsidR="00BE10C3" w:rsidRPr="00BE10C3" w:rsidRDefault="00BE10C3" w:rsidP="00BE10C3">
            <w:pPr>
              <w:rPr>
                <w:rFonts w:ascii="Times New Roman" w:hAnsi="Times New Roman" w:cs="Times New Roman"/>
              </w:rPr>
            </w:pPr>
            <w:r w:rsidRPr="00BE10C3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5A30D660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298F5FFD">
          <v:rect id="_x0000_i1097" style="width:0;height:1.5pt" o:hralign="center" o:hrstd="t" o:hr="t" fillcolor="#a0a0a0" stroked="f"/>
        </w:pict>
      </w:r>
    </w:p>
    <w:p w14:paraId="1E9D16F7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Governance Controls</w:t>
      </w:r>
    </w:p>
    <w:p w14:paraId="0B86BF66" w14:textId="77777777" w:rsidR="00BE10C3" w:rsidRPr="00BE10C3" w:rsidRDefault="00BE10C3" w:rsidP="00BE1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Risks and dependencies should be reviewed throughout the release lifecycle.</w:t>
      </w:r>
    </w:p>
    <w:p w14:paraId="4B697256" w14:textId="77777777" w:rsidR="00BE10C3" w:rsidRPr="00BE10C3" w:rsidRDefault="00BE10C3" w:rsidP="00BE1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Critical risks require mitigation plans and ownership.</w:t>
      </w:r>
    </w:p>
    <w:p w14:paraId="2754359E" w14:textId="77777777" w:rsidR="00BE10C3" w:rsidRPr="00BE10C3" w:rsidRDefault="00BE10C3" w:rsidP="00BE1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High-impact dependencies should be tracked until closure.</w:t>
      </w:r>
    </w:p>
    <w:p w14:paraId="6499C936" w14:textId="77777777" w:rsidR="00BE10C3" w:rsidRPr="00BE10C3" w:rsidRDefault="00BE10C3" w:rsidP="00BE1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Unresolved critical risks should trigger escalation.</w:t>
      </w:r>
    </w:p>
    <w:p w14:paraId="7AC8FC26" w14:textId="77777777" w:rsidR="00BE10C3" w:rsidRPr="00BE10C3" w:rsidRDefault="00BE10C3" w:rsidP="00BE10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lastRenderedPageBreak/>
        <w:t>Risk acceptance decisions should be formally documented.</w:t>
      </w:r>
    </w:p>
    <w:p w14:paraId="0B7E2E5A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7C6246E5">
          <v:rect id="_x0000_i1098" style="width:0;height:1.5pt" o:hralign="center" o:hrstd="t" o:hr="t" fillcolor="#a0a0a0" stroked="f"/>
        </w:pict>
      </w:r>
    </w:p>
    <w:p w14:paraId="02C4DF95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Escalation Triggers</w:t>
      </w:r>
    </w:p>
    <w:p w14:paraId="55C20309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Escalation should occur when:</w:t>
      </w:r>
    </w:p>
    <w:p w14:paraId="0EFB5B0C" w14:textId="77777777" w:rsidR="00BE10C3" w:rsidRPr="00BE10C3" w:rsidRDefault="00BE10C3" w:rsidP="00BE1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Critical dependencies remain unresolved.</w:t>
      </w:r>
    </w:p>
    <w:p w14:paraId="5BE09F9E" w14:textId="77777777" w:rsidR="00BE10C3" w:rsidRPr="00BE10C3" w:rsidRDefault="00BE10C3" w:rsidP="00BE1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Release timelines are at risk.</w:t>
      </w:r>
    </w:p>
    <w:p w14:paraId="53585C72" w14:textId="77777777" w:rsidR="00BE10C3" w:rsidRPr="00BE10C3" w:rsidRDefault="00BE10C3" w:rsidP="00BE1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High-impact risks lack mitigation plans.</w:t>
      </w:r>
    </w:p>
    <w:p w14:paraId="7FDF5867" w14:textId="77777777" w:rsidR="00BE10C3" w:rsidRPr="00BE10C3" w:rsidRDefault="00BE10C3" w:rsidP="00BE1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Deployment readiness is affected.</w:t>
      </w:r>
    </w:p>
    <w:p w14:paraId="364F6333" w14:textId="77777777" w:rsidR="00BE10C3" w:rsidRPr="00BE10C3" w:rsidRDefault="00BE10C3" w:rsidP="00BE10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Business or operational impacts exceed agreed thresholds.</w:t>
      </w:r>
    </w:p>
    <w:p w14:paraId="1E9D781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6146C529">
          <v:rect id="_x0000_i1099" style="width:0;height:1.5pt" o:hralign="center" o:hrstd="t" o:hr="t" fillcolor="#a0a0a0" stroked="f"/>
        </w:pict>
      </w:r>
    </w:p>
    <w:p w14:paraId="1A13E42B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Outputs</w:t>
      </w:r>
    </w:p>
    <w:p w14:paraId="0824FDBF" w14:textId="77777777" w:rsidR="00BE10C3" w:rsidRPr="00BE10C3" w:rsidRDefault="00BE10C3" w:rsidP="00BE10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Release Risk Register</w:t>
      </w:r>
    </w:p>
    <w:p w14:paraId="0E273DBD" w14:textId="77777777" w:rsidR="00BE10C3" w:rsidRPr="00BE10C3" w:rsidRDefault="00BE10C3" w:rsidP="00BE10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Dependency Register</w:t>
      </w:r>
    </w:p>
    <w:p w14:paraId="12783BBA" w14:textId="77777777" w:rsidR="00BE10C3" w:rsidRPr="00BE10C3" w:rsidRDefault="00BE10C3" w:rsidP="00BE10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Mitigation Action Plan</w:t>
      </w:r>
    </w:p>
    <w:p w14:paraId="29980DA9" w14:textId="77777777" w:rsidR="00BE10C3" w:rsidRPr="00BE10C3" w:rsidRDefault="00BE10C3" w:rsidP="00BE10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Escalation Log</w:t>
      </w:r>
    </w:p>
    <w:p w14:paraId="4950E3FC" w14:textId="77777777" w:rsidR="00BE10C3" w:rsidRPr="00BE10C3" w:rsidRDefault="00BE10C3" w:rsidP="00BE10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Risk Status Reporting</w:t>
      </w:r>
    </w:p>
    <w:p w14:paraId="3F472159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7306AD67">
          <v:rect id="_x0000_i1100" style="width:0;height:1.5pt" o:hralign="center" o:hrstd="t" o:hr="t" fillcolor="#a0a0a0" stroked="f"/>
        </w:pict>
      </w:r>
    </w:p>
    <w:p w14:paraId="26D73544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Expected Outcome</w:t>
      </w:r>
    </w:p>
    <w:p w14:paraId="292334B1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Improved release stability, reduced deployment risk, and increased confidence that release objectives can be achieved successfully.</w:t>
      </w:r>
    </w:p>
    <w:p w14:paraId="46A92C9D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pict w14:anchorId="62373DC1">
          <v:rect id="_x0000_i1101" style="width:0;height:1.5pt" o:hralign="center" o:hrstd="t" o:hr="t" fillcolor="#a0a0a0" stroked="f"/>
        </w:pict>
      </w:r>
    </w:p>
    <w:p w14:paraId="6321535B" w14:textId="77777777" w:rsidR="00BE10C3" w:rsidRPr="00BE10C3" w:rsidRDefault="00BE10C3" w:rsidP="00BE10C3">
      <w:pPr>
        <w:rPr>
          <w:rFonts w:ascii="Times New Roman" w:hAnsi="Times New Roman" w:cs="Times New Roman"/>
          <w:b/>
          <w:bCs/>
        </w:rPr>
      </w:pPr>
      <w:r w:rsidRPr="00BE10C3">
        <w:rPr>
          <w:rFonts w:ascii="Times New Roman" w:hAnsi="Times New Roman" w:cs="Times New Roman"/>
          <w:b/>
          <w:bCs/>
        </w:rPr>
        <w:t>Key Insight</w:t>
      </w:r>
    </w:p>
    <w:p w14:paraId="1087BF79" w14:textId="77777777" w:rsidR="00BE10C3" w:rsidRPr="00BE10C3" w:rsidRDefault="00BE10C3" w:rsidP="00BE10C3">
      <w:pPr>
        <w:rPr>
          <w:rFonts w:ascii="Times New Roman" w:hAnsi="Times New Roman" w:cs="Times New Roman"/>
        </w:rPr>
      </w:pPr>
      <w:r w:rsidRPr="00BE10C3">
        <w:rPr>
          <w:rFonts w:ascii="Times New Roman" w:hAnsi="Times New Roman" w:cs="Times New Roman"/>
        </w:rPr>
        <w:t>Most release failures are not caused by deployment activities. They are caused by risks and dependencies that were identified too late or not managed effectively throughout the release lifecycle.</w:t>
      </w:r>
    </w:p>
    <w:p w14:paraId="35AC6694" w14:textId="77777777" w:rsidR="00090554" w:rsidRPr="00BE10C3" w:rsidRDefault="00090554">
      <w:pPr>
        <w:rPr>
          <w:rFonts w:ascii="Times New Roman" w:hAnsi="Times New Roman" w:cs="Times New Roman"/>
        </w:rPr>
      </w:pPr>
    </w:p>
    <w:sectPr w:rsidR="00090554" w:rsidRPr="00BE1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86B43"/>
    <w:multiLevelType w:val="multilevel"/>
    <w:tmpl w:val="6C6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708FE"/>
    <w:multiLevelType w:val="multilevel"/>
    <w:tmpl w:val="5D4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C7939"/>
    <w:multiLevelType w:val="multilevel"/>
    <w:tmpl w:val="850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72AC1"/>
    <w:multiLevelType w:val="multilevel"/>
    <w:tmpl w:val="F6F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87263">
    <w:abstractNumId w:val="1"/>
  </w:num>
  <w:num w:numId="2" w16cid:durableId="19626941">
    <w:abstractNumId w:val="3"/>
  </w:num>
  <w:num w:numId="3" w16cid:durableId="2042970487">
    <w:abstractNumId w:val="2"/>
  </w:num>
  <w:num w:numId="4" w16cid:durableId="108581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C3"/>
    <w:rsid w:val="00090554"/>
    <w:rsid w:val="00532E9D"/>
    <w:rsid w:val="00BC646E"/>
    <w:rsid w:val="00BE10C3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2820"/>
  <w15:chartTrackingRefBased/>
  <w15:docId w15:val="{F87C8C68-990F-4010-AD1B-C41DA99A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2423</Characters>
  <Application>Microsoft Office Word</Application>
  <DocSecurity>0</DocSecurity>
  <Lines>41</Lines>
  <Paragraphs>27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2026-06-24T10:51:00Z</dcterms:created>
  <dcterms:modified xsi:type="dcterms:W3CDTF">2026-06-24T10:53:00Z</dcterms:modified>
</cp:coreProperties>
</file>