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81B96" w14:textId="77777777" w:rsidR="00277D28" w:rsidRPr="00277D28" w:rsidRDefault="00277D28" w:rsidP="00277D28">
      <w:pPr>
        <w:rPr>
          <w:rFonts w:ascii="Times New Roman" w:hAnsi="Times New Roman" w:cs="Times New Roman"/>
          <w:b/>
          <w:bCs/>
          <w:color w:val="E97132" w:themeColor="accent2"/>
        </w:rPr>
      </w:pPr>
      <w:r w:rsidRPr="00277D28">
        <w:rPr>
          <w:rFonts w:ascii="Times New Roman" w:hAnsi="Times New Roman" w:cs="Times New Roman"/>
          <w:b/>
          <w:bCs/>
          <w:color w:val="E97132" w:themeColor="accent2"/>
        </w:rPr>
        <w:t>Vendor Offboarding and Knowledge Transition</w:t>
      </w:r>
    </w:p>
    <w:p w14:paraId="0AA73372"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pict w14:anchorId="3D4C267F">
          <v:rect id="_x0000_i1079" style="width:0;height:1.5pt" o:hralign="center" o:hrstd="t" o:hr="t" fillcolor="#a0a0a0" stroked="f"/>
        </w:pict>
      </w:r>
    </w:p>
    <w:p w14:paraId="4B6D49E5"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t>Overview</w:t>
      </w:r>
    </w:p>
    <w:p w14:paraId="3AB8B9D9"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The Vendor Offboarding and Knowledge Transition framework defines the governance process for concluding vendor engagements while ensuring business continuity, secure knowledge transfer, asset handover, and operational readiness.</w:t>
      </w:r>
    </w:p>
    <w:p w14:paraId="5BBE83A3"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Its purpose is to minimize delivery disruption, protect organizational knowledge, and ensure a smooth transition of responsibilities to internal teams or successor vendors.</w:t>
      </w:r>
    </w:p>
    <w:p w14:paraId="36CCDAD5"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pict w14:anchorId="2D6DBC31">
          <v:rect id="_x0000_i1080" style="width:0;height:1.5pt" o:hralign="center" o:hrstd="t" o:hr="t" fillcolor="#a0a0a0" stroked="f"/>
        </w:pict>
      </w:r>
    </w:p>
    <w:p w14:paraId="6BF3F651"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t>Objectives</w:t>
      </w:r>
    </w:p>
    <w:p w14:paraId="093D7292" w14:textId="77777777" w:rsidR="00277D28" w:rsidRPr="00277D28" w:rsidRDefault="00277D28" w:rsidP="00277D28">
      <w:pPr>
        <w:numPr>
          <w:ilvl w:val="0"/>
          <w:numId w:val="1"/>
        </w:numPr>
        <w:rPr>
          <w:rFonts w:ascii="Times New Roman" w:hAnsi="Times New Roman" w:cs="Times New Roman"/>
        </w:rPr>
      </w:pPr>
      <w:r w:rsidRPr="00277D28">
        <w:rPr>
          <w:rFonts w:ascii="Times New Roman" w:hAnsi="Times New Roman" w:cs="Times New Roman"/>
        </w:rPr>
        <w:t>Execute a structured vendor offboarding process.</w:t>
      </w:r>
    </w:p>
    <w:p w14:paraId="1561094F" w14:textId="77777777" w:rsidR="00277D28" w:rsidRPr="00277D28" w:rsidRDefault="00277D28" w:rsidP="00277D28">
      <w:pPr>
        <w:numPr>
          <w:ilvl w:val="0"/>
          <w:numId w:val="1"/>
        </w:numPr>
        <w:rPr>
          <w:rFonts w:ascii="Times New Roman" w:hAnsi="Times New Roman" w:cs="Times New Roman"/>
        </w:rPr>
      </w:pPr>
      <w:r w:rsidRPr="00277D28">
        <w:rPr>
          <w:rFonts w:ascii="Times New Roman" w:hAnsi="Times New Roman" w:cs="Times New Roman"/>
        </w:rPr>
        <w:t>Ensure complete knowledge transfer and documentation.</w:t>
      </w:r>
    </w:p>
    <w:p w14:paraId="46AECD01" w14:textId="77777777" w:rsidR="00277D28" w:rsidRPr="00277D28" w:rsidRDefault="00277D28" w:rsidP="00277D28">
      <w:pPr>
        <w:numPr>
          <w:ilvl w:val="0"/>
          <w:numId w:val="1"/>
        </w:numPr>
        <w:rPr>
          <w:rFonts w:ascii="Times New Roman" w:hAnsi="Times New Roman" w:cs="Times New Roman"/>
        </w:rPr>
      </w:pPr>
      <w:r w:rsidRPr="00277D28">
        <w:rPr>
          <w:rFonts w:ascii="Times New Roman" w:hAnsi="Times New Roman" w:cs="Times New Roman"/>
        </w:rPr>
        <w:t>Protect business continuity during vendor transitions.</w:t>
      </w:r>
    </w:p>
    <w:p w14:paraId="3AFB66C5" w14:textId="77777777" w:rsidR="00277D28" w:rsidRPr="00277D28" w:rsidRDefault="00277D28" w:rsidP="00277D28">
      <w:pPr>
        <w:numPr>
          <w:ilvl w:val="0"/>
          <w:numId w:val="1"/>
        </w:numPr>
        <w:rPr>
          <w:rFonts w:ascii="Times New Roman" w:hAnsi="Times New Roman" w:cs="Times New Roman"/>
        </w:rPr>
      </w:pPr>
      <w:r w:rsidRPr="00277D28">
        <w:rPr>
          <w:rFonts w:ascii="Times New Roman" w:hAnsi="Times New Roman" w:cs="Times New Roman"/>
        </w:rPr>
        <w:t>Secure organizational assets, systems, and information.</w:t>
      </w:r>
    </w:p>
    <w:p w14:paraId="59A27160" w14:textId="77777777" w:rsidR="00277D28" w:rsidRPr="00277D28" w:rsidRDefault="00277D28" w:rsidP="00277D28">
      <w:pPr>
        <w:numPr>
          <w:ilvl w:val="0"/>
          <w:numId w:val="1"/>
        </w:numPr>
        <w:rPr>
          <w:rFonts w:ascii="Times New Roman" w:hAnsi="Times New Roman" w:cs="Times New Roman"/>
        </w:rPr>
      </w:pPr>
      <w:r w:rsidRPr="00277D28">
        <w:rPr>
          <w:rFonts w:ascii="Times New Roman" w:hAnsi="Times New Roman" w:cs="Times New Roman"/>
        </w:rPr>
        <w:t>Capture lessons learned to improve future vendor engagements.</w:t>
      </w:r>
    </w:p>
    <w:p w14:paraId="47E45999"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pict w14:anchorId="65D96669">
          <v:rect id="_x0000_i1081" style="width:0;height:1.5pt" o:hralign="center" o:hrstd="t" o:hr="t" fillcolor="#a0a0a0" stroked="f"/>
        </w:pict>
      </w:r>
    </w:p>
    <w:p w14:paraId="1E4E27BD"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t>Offboarding &amp; Knowledge Transition Framework</w:t>
      </w:r>
    </w:p>
    <w:p w14:paraId="37573961"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Transition Planning</w:t>
      </w:r>
    </w:p>
    <w:p w14:paraId="28410F2A"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 xml:space="preserve">        ↓</w:t>
      </w:r>
    </w:p>
    <w:p w14:paraId="62EF7853"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Knowledge Transfer</w:t>
      </w:r>
    </w:p>
    <w:p w14:paraId="17E7FF97"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 xml:space="preserve">        ↓</w:t>
      </w:r>
    </w:p>
    <w:p w14:paraId="3A450BDD"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Asset &amp; Access Handover</w:t>
      </w:r>
    </w:p>
    <w:p w14:paraId="05E4E61F"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 xml:space="preserve">        ↓</w:t>
      </w:r>
    </w:p>
    <w:p w14:paraId="395CD5A8"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Operational Readiness</w:t>
      </w:r>
    </w:p>
    <w:p w14:paraId="397D4FD2"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 xml:space="preserve">        ↓</w:t>
      </w:r>
    </w:p>
    <w:p w14:paraId="176BF133"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Vendor Exit Review</w:t>
      </w:r>
    </w:p>
    <w:p w14:paraId="2310F710"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 xml:space="preserve">        ↓</w:t>
      </w:r>
    </w:p>
    <w:p w14:paraId="5CE2E9DE"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Engagement Closure</w:t>
      </w:r>
    </w:p>
    <w:p w14:paraId="0832C750"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pict w14:anchorId="603AB657">
          <v:rect id="_x0000_i1082" style="width:0;height:1.5pt" o:hralign="center" o:hrstd="t" o:hr="t" fillcolor="#a0a0a0" stroked="f"/>
        </w:pict>
      </w:r>
    </w:p>
    <w:p w14:paraId="1F14FD7D"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t>Offboarding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6592"/>
      </w:tblGrid>
      <w:tr w:rsidR="00277D28" w:rsidRPr="00277D28" w14:paraId="76981A91" w14:textId="77777777">
        <w:trPr>
          <w:tblHeader/>
          <w:tblCellSpacing w:w="15" w:type="dxa"/>
        </w:trPr>
        <w:tc>
          <w:tcPr>
            <w:tcW w:w="0" w:type="auto"/>
            <w:vAlign w:val="center"/>
            <w:hideMark/>
          </w:tcPr>
          <w:p w14:paraId="034D6B72"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lastRenderedPageBreak/>
              <w:t>Activity</w:t>
            </w:r>
          </w:p>
        </w:tc>
        <w:tc>
          <w:tcPr>
            <w:tcW w:w="0" w:type="auto"/>
            <w:vAlign w:val="center"/>
            <w:hideMark/>
          </w:tcPr>
          <w:p w14:paraId="4C1FAF62" w14:textId="77777777" w:rsidR="00277D28" w:rsidRPr="00277D28" w:rsidRDefault="00277D28" w:rsidP="00277D28">
            <w:pPr>
              <w:ind w:left="445"/>
              <w:rPr>
                <w:rFonts w:ascii="Times New Roman" w:hAnsi="Times New Roman" w:cs="Times New Roman"/>
                <w:b/>
                <w:bCs/>
              </w:rPr>
            </w:pPr>
            <w:r w:rsidRPr="00277D28">
              <w:rPr>
                <w:rFonts w:ascii="Times New Roman" w:hAnsi="Times New Roman" w:cs="Times New Roman"/>
                <w:b/>
                <w:bCs/>
              </w:rPr>
              <w:t>Purpose</w:t>
            </w:r>
          </w:p>
        </w:tc>
      </w:tr>
      <w:tr w:rsidR="00277D28" w:rsidRPr="00277D28" w14:paraId="267E392C" w14:textId="77777777">
        <w:trPr>
          <w:tblCellSpacing w:w="15" w:type="dxa"/>
        </w:trPr>
        <w:tc>
          <w:tcPr>
            <w:tcW w:w="0" w:type="auto"/>
            <w:vAlign w:val="center"/>
            <w:hideMark/>
          </w:tcPr>
          <w:p w14:paraId="444026F5"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Transition Planning</w:t>
            </w:r>
          </w:p>
        </w:tc>
        <w:tc>
          <w:tcPr>
            <w:tcW w:w="0" w:type="auto"/>
            <w:vAlign w:val="center"/>
            <w:hideMark/>
          </w:tcPr>
          <w:p w14:paraId="6C236FA0" w14:textId="77777777" w:rsidR="00277D28" w:rsidRPr="00277D28" w:rsidRDefault="00277D28" w:rsidP="00277D28">
            <w:pPr>
              <w:ind w:left="445"/>
              <w:rPr>
                <w:rFonts w:ascii="Times New Roman" w:hAnsi="Times New Roman" w:cs="Times New Roman"/>
              </w:rPr>
            </w:pPr>
            <w:r w:rsidRPr="00277D28">
              <w:rPr>
                <w:rFonts w:ascii="Times New Roman" w:hAnsi="Times New Roman" w:cs="Times New Roman"/>
              </w:rPr>
              <w:t>Define transition timelines, responsibilities, and exit strategy</w:t>
            </w:r>
          </w:p>
        </w:tc>
      </w:tr>
      <w:tr w:rsidR="00277D28" w:rsidRPr="00277D28" w14:paraId="54A6EB7A" w14:textId="77777777">
        <w:trPr>
          <w:tblCellSpacing w:w="15" w:type="dxa"/>
        </w:trPr>
        <w:tc>
          <w:tcPr>
            <w:tcW w:w="0" w:type="auto"/>
            <w:vAlign w:val="center"/>
            <w:hideMark/>
          </w:tcPr>
          <w:p w14:paraId="53642420"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Knowledge Transfer</w:t>
            </w:r>
          </w:p>
        </w:tc>
        <w:tc>
          <w:tcPr>
            <w:tcW w:w="0" w:type="auto"/>
            <w:vAlign w:val="center"/>
            <w:hideMark/>
          </w:tcPr>
          <w:p w14:paraId="43CAC2FB" w14:textId="77777777" w:rsidR="00277D28" w:rsidRPr="00277D28" w:rsidRDefault="00277D28" w:rsidP="00277D28">
            <w:pPr>
              <w:ind w:left="445"/>
              <w:rPr>
                <w:rFonts w:ascii="Times New Roman" w:hAnsi="Times New Roman" w:cs="Times New Roman"/>
              </w:rPr>
            </w:pPr>
            <w:r w:rsidRPr="00277D28">
              <w:rPr>
                <w:rFonts w:ascii="Times New Roman" w:hAnsi="Times New Roman" w:cs="Times New Roman"/>
              </w:rPr>
              <w:t>Transfer business, technical, and operational knowledge</w:t>
            </w:r>
          </w:p>
        </w:tc>
      </w:tr>
      <w:tr w:rsidR="00277D28" w:rsidRPr="00277D28" w14:paraId="659F71B6" w14:textId="77777777">
        <w:trPr>
          <w:tblCellSpacing w:w="15" w:type="dxa"/>
        </w:trPr>
        <w:tc>
          <w:tcPr>
            <w:tcW w:w="0" w:type="auto"/>
            <w:vAlign w:val="center"/>
            <w:hideMark/>
          </w:tcPr>
          <w:p w14:paraId="22A48E6C"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Documentation Handover</w:t>
            </w:r>
          </w:p>
        </w:tc>
        <w:tc>
          <w:tcPr>
            <w:tcW w:w="0" w:type="auto"/>
            <w:vAlign w:val="center"/>
            <w:hideMark/>
          </w:tcPr>
          <w:p w14:paraId="1DF89CAE" w14:textId="77777777" w:rsidR="00277D28" w:rsidRPr="00277D28" w:rsidRDefault="00277D28" w:rsidP="00277D28">
            <w:pPr>
              <w:ind w:left="445"/>
              <w:rPr>
                <w:rFonts w:ascii="Times New Roman" w:hAnsi="Times New Roman" w:cs="Times New Roman"/>
              </w:rPr>
            </w:pPr>
            <w:r w:rsidRPr="00277D28">
              <w:rPr>
                <w:rFonts w:ascii="Times New Roman" w:hAnsi="Times New Roman" w:cs="Times New Roman"/>
              </w:rPr>
              <w:t>Deliver project documentation, configurations, and operational guides</w:t>
            </w:r>
          </w:p>
        </w:tc>
      </w:tr>
      <w:tr w:rsidR="00277D28" w:rsidRPr="00277D28" w14:paraId="0013E668" w14:textId="77777777">
        <w:trPr>
          <w:tblCellSpacing w:w="15" w:type="dxa"/>
        </w:trPr>
        <w:tc>
          <w:tcPr>
            <w:tcW w:w="0" w:type="auto"/>
            <w:vAlign w:val="center"/>
            <w:hideMark/>
          </w:tcPr>
          <w:p w14:paraId="30DA3D4B"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Access Management</w:t>
            </w:r>
          </w:p>
        </w:tc>
        <w:tc>
          <w:tcPr>
            <w:tcW w:w="0" w:type="auto"/>
            <w:vAlign w:val="center"/>
            <w:hideMark/>
          </w:tcPr>
          <w:p w14:paraId="3F6E287C" w14:textId="77777777" w:rsidR="00277D28" w:rsidRPr="00277D28" w:rsidRDefault="00277D28" w:rsidP="00277D28">
            <w:pPr>
              <w:ind w:left="445"/>
              <w:rPr>
                <w:rFonts w:ascii="Times New Roman" w:hAnsi="Times New Roman" w:cs="Times New Roman"/>
              </w:rPr>
            </w:pPr>
            <w:r w:rsidRPr="00277D28">
              <w:rPr>
                <w:rFonts w:ascii="Times New Roman" w:hAnsi="Times New Roman" w:cs="Times New Roman"/>
              </w:rPr>
              <w:t>Revoke system, application, and infrastructure access</w:t>
            </w:r>
          </w:p>
        </w:tc>
      </w:tr>
      <w:tr w:rsidR="00277D28" w:rsidRPr="00277D28" w14:paraId="3AF68715" w14:textId="77777777">
        <w:trPr>
          <w:tblCellSpacing w:w="15" w:type="dxa"/>
        </w:trPr>
        <w:tc>
          <w:tcPr>
            <w:tcW w:w="0" w:type="auto"/>
            <w:vAlign w:val="center"/>
            <w:hideMark/>
          </w:tcPr>
          <w:p w14:paraId="167AD097"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Asset Handover</w:t>
            </w:r>
          </w:p>
        </w:tc>
        <w:tc>
          <w:tcPr>
            <w:tcW w:w="0" w:type="auto"/>
            <w:vAlign w:val="center"/>
            <w:hideMark/>
          </w:tcPr>
          <w:p w14:paraId="00A0FC2A" w14:textId="77777777" w:rsidR="00277D28" w:rsidRPr="00277D28" w:rsidRDefault="00277D28" w:rsidP="00277D28">
            <w:pPr>
              <w:ind w:left="445"/>
              <w:rPr>
                <w:rFonts w:ascii="Times New Roman" w:hAnsi="Times New Roman" w:cs="Times New Roman"/>
              </w:rPr>
            </w:pPr>
            <w:r w:rsidRPr="00277D28">
              <w:rPr>
                <w:rFonts w:ascii="Times New Roman" w:hAnsi="Times New Roman" w:cs="Times New Roman"/>
              </w:rPr>
              <w:t>Return or transfer organizational assets and deliverables</w:t>
            </w:r>
          </w:p>
        </w:tc>
      </w:tr>
      <w:tr w:rsidR="00277D28" w:rsidRPr="00277D28" w14:paraId="43467F81" w14:textId="77777777">
        <w:trPr>
          <w:tblCellSpacing w:w="15" w:type="dxa"/>
        </w:trPr>
        <w:tc>
          <w:tcPr>
            <w:tcW w:w="0" w:type="auto"/>
            <w:vAlign w:val="center"/>
            <w:hideMark/>
          </w:tcPr>
          <w:p w14:paraId="1EA8FE47"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Exit Review</w:t>
            </w:r>
          </w:p>
        </w:tc>
        <w:tc>
          <w:tcPr>
            <w:tcW w:w="0" w:type="auto"/>
            <w:vAlign w:val="center"/>
            <w:hideMark/>
          </w:tcPr>
          <w:p w14:paraId="542FA7D5" w14:textId="77777777" w:rsidR="00277D28" w:rsidRPr="00277D28" w:rsidRDefault="00277D28" w:rsidP="00277D28">
            <w:pPr>
              <w:ind w:left="445"/>
              <w:rPr>
                <w:rFonts w:ascii="Times New Roman" w:hAnsi="Times New Roman" w:cs="Times New Roman"/>
              </w:rPr>
            </w:pPr>
            <w:r w:rsidRPr="00277D28">
              <w:rPr>
                <w:rFonts w:ascii="Times New Roman" w:hAnsi="Times New Roman" w:cs="Times New Roman"/>
              </w:rPr>
              <w:t>Evaluate engagement outcomes and capture lessons learned</w:t>
            </w:r>
          </w:p>
        </w:tc>
      </w:tr>
    </w:tbl>
    <w:p w14:paraId="02964BA3"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pict w14:anchorId="47720C89">
          <v:rect id="_x0000_i1083" style="width:0;height:1.5pt" o:hralign="center" o:hrstd="t" o:hr="t" fillcolor="#a0a0a0" stroked="f"/>
        </w:pict>
      </w:r>
    </w:p>
    <w:p w14:paraId="5AE06289"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t>Knowledge Transition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6378"/>
      </w:tblGrid>
      <w:tr w:rsidR="00277D28" w:rsidRPr="00277D28" w14:paraId="12FAC236" w14:textId="77777777">
        <w:trPr>
          <w:tblHeader/>
          <w:tblCellSpacing w:w="15" w:type="dxa"/>
        </w:trPr>
        <w:tc>
          <w:tcPr>
            <w:tcW w:w="0" w:type="auto"/>
            <w:vAlign w:val="center"/>
            <w:hideMark/>
          </w:tcPr>
          <w:p w14:paraId="6D31160F"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t>Knowledge Area</w:t>
            </w:r>
          </w:p>
        </w:tc>
        <w:tc>
          <w:tcPr>
            <w:tcW w:w="0" w:type="auto"/>
            <w:vAlign w:val="center"/>
            <w:hideMark/>
          </w:tcPr>
          <w:p w14:paraId="0F282AB3" w14:textId="77777777" w:rsidR="00277D28" w:rsidRPr="00277D28" w:rsidRDefault="00277D28" w:rsidP="00277D28">
            <w:pPr>
              <w:ind w:left="577"/>
              <w:rPr>
                <w:rFonts w:ascii="Times New Roman" w:hAnsi="Times New Roman" w:cs="Times New Roman"/>
                <w:b/>
                <w:bCs/>
              </w:rPr>
            </w:pPr>
            <w:r w:rsidRPr="00277D28">
              <w:rPr>
                <w:rFonts w:ascii="Times New Roman" w:hAnsi="Times New Roman" w:cs="Times New Roman"/>
                <w:b/>
                <w:bCs/>
              </w:rPr>
              <w:t>Purpose</w:t>
            </w:r>
          </w:p>
        </w:tc>
      </w:tr>
      <w:tr w:rsidR="00277D28" w:rsidRPr="00277D28" w14:paraId="5B009D16" w14:textId="77777777">
        <w:trPr>
          <w:tblCellSpacing w:w="15" w:type="dxa"/>
        </w:trPr>
        <w:tc>
          <w:tcPr>
            <w:tcW w:w="0" w:type="auto"/>
            <w:vAlign w:val="center"/>
            <w:hideMark/>
          </w:tcPr>
          <w:p w14:paraId="38F95966"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Business Knowledge</w:t>
            </w:r>
          </w:p>
        </w:tc>
        <w:tc>
          <w:tcPr>
            <w:tcW w:w="0" w:type="auto"/>
            <w:vAlign w:val="center"/>
            <w:hideMark/>
          </w:tcPr>
          <w:p w14:paraId="50E77858" w14:textId="77777777" w:rsidR="00277D28" w:rsidRPr="00277D28" w:rsidRDefault="00277D28" w:rsidP="00277D28">
            <w:pPr>
              <w:ind w:left="577"/>
              <w:rPr>
                <w:rFonts w:ascii="Times New Roman" w:hAnsi="Times New Roman" w:cs="Times New Roman"/>
              </w:rPr>
            </w:pPr>
            <w:r w:rsidRPr="00277D28">
              <w:rPr>
                <w:rFonts w:ascii="Times New Roman" w:hAnsi="Times New Roman" w:cs="Times New Roman"/>
              </w:rPr>
              <w:t>Business processes, workflows, and operational context</w:t>
            </w:r>
          </w:p>
        </w:tc>
      </w:tr>
      <w:tr w:rsidR="00277D28" w:rsidRPr="00277D28" w14:paraId="5D6F5FDE" w14:textId="77777777">
        <w:trPr>
          <w:tblCellSpacing w:w="15" w:type="dxa"/>
        </w:trPr>
        <w:tc>
          <w:tcPr>
            <w:tcW w:w="0" w:type="auto"/>
            <w:vAlign w:val="center"/>
            <w:hideMark/>
          </w:tcPr>
          <w:p w14:paraId="41973C05"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Technical Knowledge</w:t>
            </w:r>
          </w:p>
        </w:tc>
        <w:tc>
          <w:tcPr>
            <w:tcW w:w="0" w:type="auto"/>
            <w:vAlign w:val="center"/>
            <w:hideMark/>
          </w:tcPr>
          <w:p w14:paraId="61E65C4A" w14:textId="77777777" w:rsidR="00277D28" w:rsidRPr="00277D28" w:rsidRDefault="00277D28" w:rsidP="00277D28">
            <w:pPr>
              <w:ind w:left="577"/>
              <w:rPr>
                <w:rFonts w:ascii="Times New Roman" w:hAnsi="Times New Roman" w:cs="Times New Roman"/>
              </w:rPr>
            </w:pPr>
            <w:r w:rsidRPr="00277D28">
              <w:rPr>
                <w:rFonts w:ascii="Times New Roman" w:hAnsi="Times New Roman" w:cs="Times New Roman"/>
              </w:rPr>
              <w:t>Architecture, codebase, integrations, and configurations</w:t>
            </w:r>
          </w:p>
        </w:tc>
      </w:tr>
      <w:tr w:rsidR="00277D28" w:rsidRPr="00277D28" w14:paraId="4CCABBBB" w14:textId="77777777">
        <w:trPr>
          <w:tblCellSpacing w:w="15" w:type="dxa"/>
        </w:trPr>
        <w:tc>
          <w:tcPr>
            <w:tcW w:w="0" w:type="auto"/>
            <w:vAlign w:val="center"/>
            <w:hideMark/>
          </w:tcPr>
          <w:p w14:paraId="14BDB173"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Operational Knowledge</w:t>
            </w:r>
          </w:p>
        </w:tc>
        <w:tc>
          <w:tcPr>
            <w:tcW w:w="0" w:type="auto"/>
            <w:vAlign w:val="center"/>
            <w:hideMark/>
          </w:tcPr>
          <w:p w14:paraId="4C4D4E89" w14:textId="77777777" w:rsidR="00277D28" w:rsidRPr="00277D28" w:rsidRDefault="00277D28" w:rsidP="00277D28">
            <w:pPr>
              <w:ind w:left="577"/>
              <w:rPr>
                <w:rFonts w:ascii="Times New Roman" w:hAnsi="Times New Roman" w:cs="Times New Roman"/>
              </w:rPr>
            </w:pPr>
            <w:r w:rsidRPr="00277D28">
              <w:rPr>
                <w:rFonts w:ascii="Times New Roman" w:hAnsi="Times New Roman" w:cs="Times New Roman"/>
              </w:rPr>
              <w:t>Support procedures, monitoring, and maintenance activities</w:t>
            </w:r>
          </w:p>
        </w:tc>
      </w:tr>
      <w:tr w:rsidR="00277D28" w:rsidRPr="00277D28" w14:paraId="108DECCD" w14:textId="77777777">
        <w:trPr>
          <w:tblCellSpacing w:w="15" w:type="dxa"/>
        </w:trPr>
        <w:tc>
          <w:tcPr>
            <w:tcW w:w="0" w:type="auto"/>
            <w:vAlign w:val="center"/>
            <w:hideMark/>
          </w:tcPr>
          <w:p w14:paraId="1890C63C"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Project Documentation</w:t>
            </w:r>
          </w:p>
        </w:tc>
        <w:tc>
          <w:tcPr>
            <w:tcW w:w="0" w:type="auto"/>
            <w:vAlign w:val="center"/>
            <w:hideMark/>
          </w:tcPr>
          <w:p w14:paraId="0511A259" w14:textId="77777777" w:rsidR="00277D28" w:rsidRPr="00277D28" w:rsidRDefault="00277D28" w:rsidP="00277D28">
            <w:pPr>
              <w:ind w:left="577"/>
              <w:rPr>
                <w:rFonts w:ascii="Times New Roman" w:hAnsi="Times New Roman" w:cs="Times New Roman"/>
              </w:rPr>
            </w:pPr>
            <w:r w:rsidRPr="00277D28">
              <w:rPr>
                <w:rFonts w:ascii="Times New Roman" w:hAnsi="Times New Roman" w:cs="Times New Roman"/>
              </w:rPr>
              <w:t>Design documents, user guides, and delivery artifacts</w:t>
            </w:r>
          </w:p>
        </w:tc>
      </w:tr>
      <w:tr w:rsidR="00277D28" w:rsidRPr="00277D28" w14:paraId="064EFEFB" w14:textId="77777777">
        <w:trPr>
          <w:tblCellSpacing w:w="15" w:type="dxa"/>
        </w:trPr>
        <w:tc>
          <w:tcPr>
            <w:tcW w:w="0" w:type="auto"/>
            <w:vAlign w:val="center"/>
            <w:hideMark/>
          </w:tcPr>
          <w:p w14:paraId="2FC23E5A"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Lessons Learned</w:t>
            </w:r>
          </w:p>
        </w:tc>
        <w:tc>
          <w:tcPr>
            <w:tcW w:w="0" w:type="auto"/>
            <w:vAlign w:val="center"/>
            <w:hideMark/>
          </w:tcPr>
          <w:p w14:paraId="49DEE048" w14:textId="77777777" w:rsidR="00277D28" w:rsidRPr="00277D28" w:rsidRDefault="00277D28" w:rsidP="00277D28">
            <w:pPr>
              <w:ind w:left="577"/>
              <w:rPr>
                <w:rFonts w:ascii="Times New Roman" w:hAnsi="Times New Roman" w:cs="Times New Roman"/>
              </w:rPr>
            </w:pPr>
            <w:r w:rsidRPr="00277D28">
              <w:rPr>
                <w:rFonts w:ascii="Times New Roman" w:hAnsi="Times New Roman" w:cs="Times New Roman"/>
              </w:rPr>
              <w:t>Capture recommendations and improvement opportunities</w:t>
            </w:r>
          </w:p>
        </w:tc>
      </w:tr>
    </w:tbl>
    <w:p w14:paraId="1F9887FA"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pict w14:anchorId="7D57B0F1">
          <v:rect id="_x0000_i1084" style="width:0;height:1.5pt" o:hralign="center" o:hrstd="t" o:hr="t" fillcolor="#a0a0a0" stroked="f"/>
        </w:pict>
      </w:r>
    </w:p>
    <w:p w14:paraId="39A53C6A"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t>Governance Controls</w:t>
      </w:r>
    </w:p>
    <w:p w14:paraId="130B8A00" w14:textId="77777777" w:rsidR="00277D28" w:rsidRPr="00277D28" w:rsidRDefault="00277D28" w:rsidP="00277D28">
      <w:pPr>
        <w:numPr>
          <w:ilvl w:val="0"/>
          <w:numId w:val="2"/>
        </w:numPr>
        <w:rPr>
          <w:rFonts w:ascii="Times New Roman" w:hAnsi="Times New Roman" w:cs="Times New Roman"/>
        </w:rPr>
      </w:pPr>
      <w:r w:rsidRPr="00277D28">
        <w:rPr>
          <w:rFonts w:ascii="Times New Roman" w:hAnsi="Times New Roman" w:cs="Times New Roman"/>
        </w:rPr>
        <w:t>Complete a formal transition plan before vendor exit.</w:t>
      </w:r>
    </w:p>
    <w:p w14:paraId="3CB9CD29" w14:textId="77777777" w:rsidR="00277D28" w:rsidRPr="00277D28" w:rsidRDefault="00277D28" w:rsidP="00277D28">
      <w:pPr>
        <w:numPr>
          <w:ilvl w:val="0"/>
          <w:numId w:val="2"/>
        </w:numPr>
        <w:rPr>
          <w:rFonts w:ascii="Times New Roman" w:hAnsi="Times New Roman" w:cs="Times New Roman"/>
        </w:rPr>
      </w:pPr>
      <w:r w:rsidRPr="00277D28">
        <w:rPr>
          <w:rFonts w:ascii="Times New Roman" w:hAnsi="Times New Roman" w:cs="Times New Roman"/>
        </w:rPr>
        <w:t>Validate completion of all knowledge transfer activities.</w:t>
      </w:r>
    </w:p>
    <w:p w14:paraId="3F006959" w14:textId="77777777" w:rsidR="00277D28" w:rsidRPr="00277D28" w:rsidRDefault="00277D28" w:rsidP="00277D28">
      <w:pPr>
        <w:numPr>
          <w:ilvl w:val="0"/>
          <w:numId w:val="2"/>
        </w:numPr>
        <w:rPr>
          <w:rFonts w:ascii="Times New Roman" w:hAnsi="Times New Roman" w:cs="Times New Roman"/>
        </w:rPr>
      </w:pPr>
      <w:r w:rsidRPr="00277D28">
        <w:rPr>
          <w:rFonts w:ascii="Times New Roman" w:hAnsi="Times New Roman" w:cs="Times New Roman"/>
        </w:rPr>
        <w:t>Ensure all documentation is reviewed and accepted.</w:t>
      </w:r>
    </w:p>
    <w:p w14:paraId="0DD651CD" w14:textId="77777777" w:rsidR="00277D28" w:rsidRPr="00277D28" w:rsidRDefault="00277D28" w:rsidP="00277D28">
      <w:pPr>
        <w:numPr>
          <w:ilvl w:val="0"/>
          <w:numId w:val="2"/>
        </w:numPr>
        <w:rPr>
          <w:rFonts w:ascii="Times New Roman" w:hAnsi="Times New Roman" w:cs="Times New Roman"/>
        </w:rPr>
      </w:pPr>
      <w:r w:rsidRPr="00277D28">
        <w:rPr>
          <w:rFonts w:ascii="Times New Roman" w:hAnsi="Times New Roman" w:cs="Times New Roman"/>
        </w:rPr>
        <w:t>Remove vendor access to enterprise systems and environments.</w:t>
      </w:r>
    </w:p>
    <w:p w14:paraId="720CF079" w14:textId="77777777" w:rsidR="00277D28" w:rsidRPr="00277D28" w:rsidRDefault="00277D28" w:rsidP="00277D28">
      <w:pPr>
        <w:numPr>
          <w:ilvl w:val="0"/>
          <w:numId w:val="2"/>
        </w:numPr>
        <w:rPr>
          <w:rFonts w:ascii="Times New Roman" w:hAnsi="Times New Roman" w:cs="Times New Roman"/>
        </w:rPr>
      </w:pPr>
      <w:r w:rsidRPr="00277D28">
        <w:rPr>
          <w:rFonts w:ascii="Times New Roman" w:hAnsi="Times New Roman" w:cs="Times New Roman"/>
        </w:rPr>
        <w:t>Conduct a final governance review before contract closure.</w:t>
      </w:r>
    </w:p>
    <w:p w14:paraId="75724B57"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pict w14:anchorId="282C1134">
          <v:rect id="_x0000_i1085" style="width:0;height:1.5pt" o:hralign="center" o:hrstd="t" o:hr="t" fillcolor="#a0a0a0" stroked="f"/>
        </w:pict>
      </w:r>
    </w:p>
    <w:p w14:paraId="060F98C3" w14:textId="77777777" w:rsidR="00277D28" w:rsidRDefault="00277D28" w:rsidP="00277D28">
      <w:pPr>
        <w:rPr>
          <w:rFonts w:ascii="Times New Roman" w:hAnsi="Times New Roman" w:cs="Times New Roman"/>
          <w:b/>
          <w:bCs/>
        </w:rPr>
      </w:pPr>
    </w:p>
    <w:p w14:paraId="61DA51B0" w14:textId="77777777" w:rsidR="00277D28" w:rsidRDefault="00277D28" w:rsidP="00277D28">
      <w:pPr>
        <w:rPr>
          <w:rFonts w:ascii="Times New Roman" w:hAnsi="Times New Roman" w:cs="Times New Roman"/>
          <w:b/>
          <w:bCs/>
        </w:rPr>
      </w:pPr>
    </w:p>
    <w:p w14:paraId="3F38EDE2" w14:textId="77777777" w:rsidR="00277D28" w:rsidRDefault="00277D28" w:rsidP="00277D28">
      <w:pPr>
        <w:rPr>
          <w:rFonts w:ascii="Times New Roman" w:hAnsi="Times New Roman" w:cs="Times New Roman"/>
          <w:b/>
          <w:bCs/>
        </w:rPr>
      </w:pPr>
    </w:p>
    <w:p w14:paraId="68185E0E" w14:textId="77777777" w:rsidR="00277D28" w:rsidRDefault="00277D28" w:rsidP="00277D28">
      <w:pPr>
        <w:rPr>
          <w:rFonts w:ascii="Times New Roman" w:hAnsi="Times New Roman" w:cs="Times New Roman"/>
          <w:b/>
          <w:bCs/>
        </w:rPr>
      </w:pPr>
    </w:p>
    <w:p w14:paraId="3CC12C56" w14:textId="060AD19E" w:rsidR="00277D28" w:rsidRPr="00277D28" w:rsidRDefault="00277D28" w:rsidP="00277D28">
      <w:pPr>
        <w:rPr>
          <w:rFonts w:ascii="Times New Roman" w:hAnsi="Times New Roman" w:cs="Times New Roman"/>
          <w:b/>
          <w:bCs/>
        </w:rPr>
      </w:pPr>
      <w:r w:rsidRPr="00277D28">
        <w:rPr>
          <w:rFonts w:ascii="Times New Roman" w:hAnsi="Times New Roman" w:cs="Times New Roman"/>
          <w:b/>
          <w:bCs/>
        </w:rPr>
        <w:lastRenderedPageBreak/>
        <w:t>Governance Outputs</w:t>
      </w:r>
    </w:p>
    <w:p w14:paraId="59CEB017" w14:textId="77777777" w:rsidR="00277D28" w:rsidRPr="00277D28" w:rsidRDefault="00277D28" w:rsidP="00277D28">
      <w:pPr>
        <w:numPr>
          <w:ilvl w:val="0"/>
          <w:numId w:val="3"/>
        </w:numPr>
        <w:rPr>
          <w:rFonts w:ascii="Times New Roman" w:hAnsi="Times New Roman" w:cs="Times New Roman"/>
        </w:rPr>
      </w:pPr>
      <w:r w:rsidRPr="00277D28">
        <w:rPr>
          <w:rFonts w:ascii="Times New Roman" w:hAnsi="Times New Roman" w:cs="Times New Roman"/>
        </w:rPr>
        <w:t>Vendor Offboarding Checklist</w:t>
      </w:r>
    </w:p>
    <w:p w14:paraId="69463BD1" w14:textId="77777777" w:rsidR="00277D28" w:rsidRPr="00277D28" w:rsidRDefault="00277D28" w:rsidP="00277D28">
      <w:pPr>
        <w:numPr>
          <w:ilvl w:val="0"/>
          <w:numId w:val="3"/>
        </w:numPr>
        <w:rPr>
          <w:rFonts w:ascii="Times New Roman" w:hAnsi="Times New Roman" w:cs="Times New Roman"/>
        </w:rPr>
      </w:pPr>
      <w:r w:rsidRPr="00277D28">
        <w:rPr>
          <w:rFonts w:ascii="Times New Roman" w:hAnsi="Times New Roman" w:cs="Times New Roman"/>
        </w:rPr>
        <w:t>Knowledge Transfer Plan</w:t>
      </w:r>
    </w:p>
    <w:p w14:paraId="4671BC7C" w14:textId="77777777" w:rsidR="00277D28" w:rsidRPr="00277D28" w:rsidRDefault="00277D28" w:rsidP="00277D28">
      <w:pPr>
        <w:numPr>
          <w:ilvl w:val="0"/>
          <w:numId w:val="3"/>
        </w:numPr>
        <w:rPr>
          <w:rFonts w:ascii="Times New Roman" w:hAnsi="Times New Roman" w:cs="Times New Roman"/>
        </w:rPr>
      </w:pPr>
      <w:r w:rsidRPr="00277D28">
        <w:rPr>
          <w:rFonts w:ascii="Times New Roman" w:hAnsi="Times New Roman" w:cs="Times New Roman"/>
        </w:rPr>
        <w:t>Documentation Handover Register</w:t>
      </w:r>
    </w:p>
    <w:p w14:paraId="1458A8AE" w14:textId="77777777" w:rsidR="00277D28" w:rsidRPr="00277D28" w:rsidRDefault="00277D28" w:rsidP="00277D28">
      <w:pPr>
        <w:numPr>
          <w:ilvl w:val="0"/>
          <w:numId w:val="3"/>
        </w:numPr>
        <w:rPr>
          <w:rFonts w:ascii="Times New Roman" w:hAnsi="Times New Roman" w:cs="Times New Roman"/>
        </w:rPr>
      </w:pPr>
      <w:r w:rsidRPr="00277D28">
        <w:rPr>
          <w:rFonts w:ascii="Times New Roman" w:hAnsi="Times New Roman" w:cs="Times New Roman"/>
        </w:rPr>
        <w:t>Access Revocation Report</w:t>
      </w:r>
    </w:p>
    <w:p w14:paraId="284BE791" w14:textId="77777777" w:rsidR="00277D28" w:rsidRPr="00277D28" w:rsidRDefault="00277D28" w:rsidP="00277D28">
      <w:pPr>
        <w:numPr>
          <w:ilvl w:val="0"/>
          <w:numId w:val="3"/>
        </w:numPr>
        <w:rPr>
          <w:rFonts w:ascii="Times New Roman" w:hAnsi="Times New Roman" w:cs="Times New Roman"/>
        </w:rPr>
      </w:pPr>
      <w:r w:rsidRPr="00277D28">
        <w:rPr>
          <w:rFonts w:ascii="Times New Roman" w:hAnsi="Times New Roman" w:cs="Times New Roman"/>
        </w:rPr>
        <w:t>Vendor Exit Review Report</w:t>
      </w:r>
    </w:p>
    <w:p w14:paraId="02FF5CAD" w14:textId="77777777" w:rsidR="00277D28" w:rsidRPr="00277D28" w:rsidRDefault="00277D28" w:rsidP="00277D28">
      <w:pPr>
        <w:numPr>
          <w:ilvl w:val="0"/>
          <w:numId w:val="3"/>
        </w:numPr>
        <w:rPr>
          <w:rFonts w:ascii="Times New Roman" w:hAnsi="Times New Roman" w:cs="Times New Roman"/>
        </w:rPr>
      </w:pPr>
      <w:r w:rsidRPr="00277D28">
        <w:rPr>
          <w:rFonts w:ascii="Times New Roman" w:hAnsi="Times New Roman" w:cs="Times New Roman"/>
        </w:rPr>
        <w:t>Lessons Learned Register</w:t>
      </w:r>
    </w:p>
    <w:p w14:paraId="199318C4"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pict w14:anchorId="3D9CB0E9">
          <v:rect id="_x0000_i1086" style="width:0;height:1.5pt" o:hralign="center" o:hrstd="t" o:hr="t" fillcolor="#a0a0a0" stroked="f"/>
        </w:pict>
      </w:r>
    </w:p>
    <w:p w14:paraId="3B29C85C"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t>Expected Outcome</w:t>
      </w:r>
    </w:p>
    <w:p w14:paraId="4CF841E5"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A structured and secure vendor transition that preserves organizational knowledge, ensures operational continuity, protects enterprise assets, and enables a seamless transfer of responsibilities.</w:t>
      </w:r>
    </w:p>
    <w:p w14:paraId="6B04CB2D"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pict w14:anchorId="3F3BBD40">
          <v:rect id="_x0000_i1087" style="width:0;height:1.5pt" o:hralign="center" o:hrstd="t" o:hr="t" fillcolor="#a0a0a0" stroked="f"/>
        </w:pict>
      </w:r>
    </w:p>
    <w:p w14:paraId="31F36726" w14:textId="77777777" w:rsidR="00277D28" w:rsidRPr="00277D28" w:rsidRDefault="00277D28" w:rsidP="00277D28">
      <w:pPr>
        <w:rPr>
          <w:rFonts w:ascii="Times New Roman" w:hAnsi="Times New Roman" w:cs="Times New Roman"/>
          <w:b/>
          <w:bCs/>
        </w:rPr>
      </w:pPr>
      <w:r w:rsidRPr="00277D28">
        <w:rPr>
          <w:rFonts w:ascii="Times New Roman" w:hAnsi="Times New Roman" w:cs="Times New Roman"/>
          <w:b/>
          <w:bCs/>
        </w:rPr>
        <w:t>Key Insight</w:t>
      </w:r>
    </w:p>
    <w:p w14:paraId="61C8E290" w14:textId="77777777" w:rsidR="00277D28" w:rsidRPr="00277D28" w:rsidRDefault="00277D28" w:rsidP="00277D28">
      <w:pPr>
        <w:rPr>
          <w:rFonts w:ascii="Times New Roman" w:hAnsi="Times New Roman" w:cs="Times New Roman"/>
        </w:rPr>
      </w:pPr>
      <w:r w:rsidRPr="00277D28">
        <w:rPr>
          <w:rFonts w:ascii="Times New Roman" w:hAnsi="Times New Roman" w:cs="Times New Roman"/>
        </w:rPr>
        <w:t>A successful vendor engagement is measured not only by how effectively it delivers, but also by how smoothly it concludes. Effective offboarding preserves knowledge, reduces operational risk, and ensures the organization remains resilient long after the vendor engagement ends.</w:t>
      </w:r>
    </w:p>
    <w:p w14:paraId="7715F98E" w14:textId="77777777" w:rsidR="00090554" w:rsidRPr="00277D28" w:rsidRDefault="00090554">
      <w:pPr>
        <w:rPr>
          <w:rFonts w:ascii="Times New Roman" w:hAnsi="Times New Roman" w:cs="Times New Roman"/>
        </w:rPr>
      </w:pPr>
    </w:p>
    <w:sectPr w:rsidR="00090554" w:rsidRPr="00277D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554"/>
    <w:multiLevelType w:val="multilevel"/>
    <w:tmpl w:val="80DC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60DED"/>
    <w:multiLevelType w:val="multilevel"/>
    <w:tmpl w:val="0154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0024C"/>
    <w:multiLevelType w:val="multilevel"/>
    <w:tmpl w:val="B9F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659660">
    <w:abstractNumId w:val="0"/>
  </w:num>
  <w:num w:numId="2" w16cid:durableId="1354459013">
    <w:abstractNumId w:val="1"/>
  </w:num>
  <w:num w:numId="3" w16cid:durableId="415828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D28"/>
    <w:rsid w:val="00090554"/>
    <w:rsid w:val="00277D28"/>
    <w:rsid w:val="008A2E8C"/>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51EDF"/>
  <w15:chartTrackingRefBased/>
  <w15:docId w15:val="{1CB8A0F3-D893-41D2-B9B0-2D8211D9A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D28"/>
    <w:rPr>
      <w:rFonts w:eastAsiaTheme="majorEastAsia" w:cstheme="majorBidi"/>
      <w:color w:val="272727" w:themeColor="text1" w:themeTint="D8"/>
    </w:rPr>
  </w:style>
  <w:style w:type="paragraph" w:styleId="Title">
    <w:name w:val="Title"/>
    <w:basedOn w:val="Normal"/>
    <w:next w:val="Normal"/>
    <w:link w:val="TitleChar"/>
    <w:uiPriority w:val="10"/>
    <w:qFormat/>
    <w:rsid w:val="00277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D28"/>
    <w:pPr>
      <w:spacing w:before="160"/>
      <w:jc w:val="center"/>
    </w:pPr>
    <w:rPr>
      <w:i/>
      <w:iCs/>
      <w:color w:val="404040" w:themeColor="text1" w:themeTint="BF"/>
    </w:rPr>
  </w:style>
  <w:style w:type="character" w:customStyle="1" w:styleId="QuoteChar">
    <w:name w:val="Quote Char"/>
    <w:basedOn w:val="DefaultParagraphFont"/>
    <w:link w:val="Quote"/>
    <w:uiPriority w:val="29"/>
    <w:rsid w:val="00277D28"/>
    <w:rPr>
      <w:i/>
      <w:iCs/>
      <w:color w:val="404040" w:themeColor="text1" w:themeTint="BF"/>
    </w:rPr>
  </w:style>
  <w:style w:type="paragraph" w:styleId="ListParagraph">
    <w:name w:val="List Paragraph"/>
    <w:basedOn w:val="Normal"/>
    <w:uiPriority w:val="34"/>
    <w:qFormat/>
    <w:rsid w:val="00277D28"/>
    <w:pPr>
      <w:ind w:left="720"/>
      <w:contextualSpacing/>
    </w:pPr>
  </w:style>
  <w:style w:type="character" w:styleId="IntenseEmphasis">
    <w:name w:val="Intense Emphasis"/>
    <w:basedOn w:val="DefaultParagraphFont"/>
    <w:uiPriority w:val="21"/>
    <w:qFormat/>
    <w:rsid w:val="00277D28"/>
    <w:rPr>
      <w:i/>
      <w:iCs/>
      <w:color w:val="0F4761" w:themeColor="accent1" w:themeShade="BF"/>
    </w:rPr>
  </w:style>
  <w:style w:type="paragraph" w:styleId="IntenseQuote">
    <w:name w:val="Intense Quote"/>
    <w:basedOn w:val="Normal"/>
    <w:next w:val="Normal"/>
    <w:link w:val="IntenseQuoteChar"/>
    <w:uiPriority w:val="30"/>
    <w:qFormat/>
    <w:rsid w:val="00277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D28"/>
    <w:rPr>
      <w:i/>
      <w:iCs/>
      <w:color w:val="0F4761" w:themeColor="accent1" w:themeShade="BF"/>
    </w:rPr>
  </w:style>
  <w:style w:type="character" w:styleId="IntenseReference">
    <w:name w:val="Intense Reference"/>
    <w:basedOn w:val="DefaultParagraphFont"/>
    <w:uiPriority w:val="32"/>
    <w:qFormat/>
    <w:rsid w:val="00277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350</Words>
  <Characters>2567</Characters>
  <Application>Microsoft Office Word</Application>
  <DocSecurity>0</DocSecurity>
  <Lines>44</Lines>
  <Paragraphs>29</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2026-06-29T12:42:00Z</dcterms:created>
  <dcterms:modified xsi:type="dcterms:W3CDTF">2026-06-29T12:43:00Z</dcterms:modified>
</cp:coreProperties>
</file>