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EDF62" w14:textId="77777777" w:rsidR="00D43A59" w:rsidRPr="00D43A59" w:rsidRDefault="00D43A59" w:rsidP="00D43A59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D43A59">
        <w:rPr>
          <w:rFonts w:ascii="Times New Roman" w:hAnsi="Times New Roman" w:cs="Times New Roman"/>
          <w:b/>
          <w:bCs/>
          <w:color w:val="E97132" w:themeColor="accent2"/>
        </w:rPr>
        <w:t>Vendor Performance Management</w:t>
      </w:r>
    </w:p>
    <w:p w14:paraId="28EC96DB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pict w14:anchorId="2C5F3D1F">
          <v:rect id="_x0000_i1085" style="width:0;height:1.5pt" o:hralign="center" o:hrstd="t" o:hr="t" fillcolor="#a0a0a0" stroked="f"/>
        </w:pict>
      </w:r>
    </w:p>
    <w:p w14:paraId="17642AC0" w14:textId="77777777" w:rsidR="00D43A59" w:rsidRPr="00D43A59" w:rsidRDefault="00D43A59" w:rsidP="00D43A59">
      <w:pPr>
        <w:rPr>
          <w:rFonts w:ascii="Times New Roman" w:hAnsi="Times New Roman" w:cs="Times New Roman"/>
          <w:b/>
          <w:bCs/>
        </w:rPr>
      </w:pPr>
      <w:r w:rsidRPr="00D43A59">
        <w:rPr>
          <w:rFonts w:ascii="Times New Roman" w:hAnsi="Times New Roman" w:cs="Times New Roman"/>
          <w:b/>
          <w:bCs/>
        </w:rPr>
        <w:t>Overview</w:t>
      </w:r>
    </w:p>
    <w:p w14:paraId="78C8BD65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The Vendor Performance Management framework defines the approach for measuring, monitoring, and improving vendor delivery performance throughout the engagement lifecycle.</w:t>
      </w:r>
    </w:p>
    <w:p w14:paraId="4816CDFE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Its purpose is to ensure vendors consistently meet agreed delivery commitments, quality standards, service expectations, and business objectives through structured performance governance.</w:t>
      </w:r>
    </w:p>
    <w:p w14:paraId="2DE95E52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pict w14:anchorId="5CB88C13">
          <v:rect id="_x0000_i1086" style="width:0;height:1.5pt" o:hralign="center" o:hrstd="t" o:hr="t" fillcolor="#a0a0a0" stroked="f"/>
        </w:pict>
      </w:r>
    </w:p>
    <w:p w14:paraId="6CD4297B" w14:textId="77777777" w:rsidR="00D43A59" w:rsidRPr="00D43A59" w:rsidRDefault="00D43A59" w:rsidP="00D43A59">
      <w:pPr>
        <w:rPr>
          <w:rFonts w:ascii="Times New Roman" w:hAnsi="Times New Roman" w:cs="Times New Roman"/>
          <w:b/>
          <w:bCs/>
        </w:rPr>
      </w:pPr>
      <w:r w:rsidRPr="00D43A59">
        <w:rPr>
          <w:rFonts w:ascii="Times New Roman" w:hAnsi="Times New Roman" w:cs="Times New Roman"/>
          <w:b/>
          <w:bCs/>
        </w:rPr>
        <w:t>Objectives</w:t>
      </w:r>
    </w:p>
    <w:p w14:paraId="22484EA5" w14:textId="77777777" w:rsidR="00D43A59" w:rsidRPr="00D43A59" w:rsidRDefault="00D43A59" w:rsidP="00D43A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Measure vendor delivery performance objectively.</w:t>
      </w:r>
    </w:p>
    <w:p w14:paraId="4AFDC644" w14:textId="77777777" w:rsidR="00D43A59" w:rsidRPr="00D43A59" w:rsidRDefault="00D43A59" w:rsidP="00D43A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Improve vendor accountability and transparency.</w:t>
      </w:r>
    </w:p>
    <w:p w14:paraId="04ABECA2" w14:textId="77777777" w:rsidR="00D43A59" w:rsidRPr="00D43A59" w:rsidRDefault="00D43A59" w:rsidP="00D43A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Monitor delivery quality, timelines, and service commitments.</w:t>
      </w:r>
    </w:p>
    <w:p w14:paraId="52A1B2BB" w14:textId="77777777" w:rsidR="00D43A59" w:rsidRPr="00D43A59" w:rsidRDefault="00D43A59" w:rsidP="00D43A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Identify performance gaps and improvement opportunities.</w:t>
      </w:r>
    </w:p>
    <w:p w14:paraId="20528C66" w14:textId="77777777" w:rsidR="00D43A59" w:rsidRPr="00D43A59" w:rsidRDefault="00D43A59" w:rsidP="00D43A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Strengthen long-term vendor partnerships.</w:t>
      </w:r>
    </w:p>
    <w:p w14:paraId="19E0DE14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pict w14:anchorId="2EE2AF7D">
          <v:rect id="_x0000_i1087" style="width:0;height:1.5pt" o:hralign="center" o:hrstd="t" o:hr="t" fillcolor="#a0a0a0" stroked="f"/>
        </w:pict>
      </w:r>
    </w:p>
    <w:p w14:paraId="62B46182" w14:textId="77777777" w:rsidR="00D43A59" w:rsidRPr="00D43A59" w:rsidRDefault="00D43A59" w:rsidP="00D43A59">
      <w:pPr>
        <w:rPr>
          <w:rFonts w:ascii="Times New Roman" w:hAnsi="Times New Roman" w:cs="Times New Roman"/>
          <w:b/>
          <w:bCs/>
        </w:rPr>
      </w:pPr>
      <w:r w:rsidRPr="00D43A59">
        <w:rPr>
          <w:rFonts w:ascii="Times New Roman" w:hAnsi="Times New Roman" w:cs="Times New Roman"/>
          <w:b/>
          <w:bCs/>
        </w:rPr>
        <w:t>Performance Management Framework</w:t>
      </w:r>
    </w:p>
    <w:p w14:paraId="3D0D9391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Vendor Delivery</w:t>
      </w:r>
    </w:p>
    <w:p w14:paraId="4CE2E543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 xml:space="preserve">        ↓</w:t>
      </w:r>
    </w:p>
    <w:p w14:paraId="37820F09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Performance Measurement</w:t>
      </w:r>
    </w:p>
    <w:p w14:paraId="1387A1FE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 xml:space="preserve">        ↓</w:t>
      </w:r>
    </w:p>
    <w:p w14:paraId="555E38F5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Performance Review</w:t>
      </w:r>
    </w:p>
    <w:p w14:paraId="1ABBE4E0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 xml:space="preserve">        ↓</w:t>
      </w:r>
    </w:p>
    <w:p w14:paraId="35481EFF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Improvement Actions</w:t>
      </w:r>
    </w:p>
    <w:p w14:paraId="2AD9EA44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 xml:space="preserve">        ↓</w:t>
      </w:r>
    </w:p>
    <w:p w14:paraId="04FCED14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Continuous Monitoring</w:t>
      </w:r>
    </w:p>
    <w:p w14:paraId="761FB87B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pict w14:anchorId="4973082E">
          <v:rect id="_x0000_i1088" style="width:0;height:1.5pt" o:hralign="center" o:hrstd="t" o:hr="t" fillcolor="#a0a0a0" stroked="f"/>
        </w:pict>
      </w:r>
    </w:p>
    <w:p w14:paraId="530C1231" w14:textId="77777777" w:rsidR="00D71125" w:rsidRDefault="00D71125" w:rsidP="00D43A59">
      <w:pPr>
        <w:rPr>
          <w:rFonts w:ascii="Times New Roman" w:hAnsi="Times New Roman" w:cs="Times New Roman"/>
          <w:b/>
          <w:bCs/>
        </w:rPr>
      </w:pPr>
    </w:p>
    <w:p w14:paraId="7C37B7BD" w14:textId="77777777" w:rsidR="00D71125" w:rsidRDefault="00D71125" w:rsidP="00D43A59">
      <w:pPr>
        <w:rPr>
          <w:rFonts w:ascii="Times New Roman" w:hAnsi="Times New Roman" w:cs="Times New Roman"/>
          <w:b/>
          <w:bCs/>
        </w:rPr>
      </w:pPr>
    </w:p>
    <w:p w14:paraId="39F54AEF" w14:textId="1122B99F" w:rsidR="00D43A59" w:rsidRPr="00D43A59" w:rsidRDefault="00D43A59" w:rsidP="00D43A59">
      <w:pPr>
        <w:rPr>
          <w:rFonts w:ascii="Times New Roman" w:hAnsi="Times New Roman" w:cs="Times New Roman"/>
          <w:b/>
          <w:bCs/>
        </w:rPr>
      </w:pPr>
      <w:r w:rsidRPr="00D43A59">
        <w:rPr>
          <w:rFonts w:ascii="Times New Roman" w:hAnsi="Times New Roman" w:cs="Times New Roman"/>
          <w:b/>
          <w:bCs/>
        </w:rPr>
        <w:lastRenderedPageBreak/>
        <w:t>Performance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966"/>
      </w:tblGrid>
      <w:tr w:rsidR="00D43A59" w:rsidRPr="00D43A59" w14:paraId="48D14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87D3B" w14:textId="77777777" w:rsidR="00D43A59" w:rsidRPr="00D43A59" w:rsidRDefault="00D43A59" w:rsidP="00D43A59">
            <w:pPr>
              <w:rPr>
                <w:rFonts w:ascii="Times New Roman" w:hAnsi="Times New Roman" w:cs="Times New Roman"/>
                <w:b/>
                <w:bCs/>
              </w:rPr>
            </w:pPr>
            <w:r w:rsidRPr="00D43A59">
              <w:rPr>
                <w:rFonts w:ascii="Times New Roman" w:hAnsi="Times New Roman" w:cs="Times New Roman"/>
                <w:b/>
                <w:bCs/>
              </w:rPr>
              <w:t>Performance Area</w:t>
            </w:r>
          </w:p>
        </w:tc>
        <w:tc>
          <w:tcPr>
            <w:tcW w:w="0" w:type="auto"/>
            <w:vAlign w:val="center"/>
            <w:hideMark/>
          </w:tcPr>
          <w:p w14:paraId="01F90213" w14:textId="77777777" w:rsidR="00D43A59" w:rsidRPr="00D43A59" w:rsidRDefault="00D43A59" w:rsidP="00D43A59">
            <w:pPr>
              <w:ind w:left="-55" w:firstLine="500"/>
              <w:rPr>
                <w:rFonts w:ascii="Times New Roman" w:hAnsi="Times New Roman" w:cs="Times New Roman"/>
                <w:b/>
                <w:bCs/>
              </w:rPr>
            </w:pPr>
            <w:r w:rsidRPr="00D43A5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43A59" w:rsidRPr="00D43A59" w14:paraId="1887A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4128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Delivery Timeliness</w:t>
            </w:r>
          </w:p>
        </w:tc>
        <w:tc>
          <w:tcPr>
            <w:tcW w:w="0" w:type="auto"/>
            <w:vAlign w:val="center"/>
            <w:hideMark/>
          </w:tcPr>
          <w:p w14:paraId="42FA547A" w14:textId="77777777" w:rsidR="00D43A59" w:rsidRPr="00D43A59" w:rsidRDefault="00D43A59" w:rsidP="00D43A59">
            <w:pPr>
              <w:ind w:left="-55" w:firstLine="500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Monitor adherence to agreed delivery schedules</w:t>
            </w:r>
          </w:p>
        </w:tc>
      </w:tr>
      <w:tr w:rsidR="00D43A59" w:rsidRPr="00D43A59" w14:paraId="79960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4177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Delivery Quality</w:t>
            </w:r>
          </w:p>
        </w:tc>
        <w:tc>
          <w:tcPr>
            <w:tcW w:w="0" w:type="auto"/>
            <w:vAlign w:val="center"/>
            <w:hideMark/>
          </w:tcPr>
          <w:p w14:paraId="5A333571" w14:textId="77777777" w:rsidR="00D43A59" w:rsidRPr="00D43A59" w:rsidRDefault="00D43A59" w:rsidP="00D43A59">
            <w:pPr>
              <w:ind w:left="-55" w:firstLine="500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Evaluate deliverable quality and defect trends</w:t>
            </w:r>
          </w:p>
        </w:tc>
      </w:tr>
      <w:tr w:rsidR="00D43A59" w:rsidRPr="00D43A59" w14:paraId="51557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A608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SLA Compliance</w:t>
            </w:r>
          </w:p>
        </w:tc>
        <w:tc>
          <w:tcPr>
            <w:tcW w:w="0" w:type="auto"/>
            <w:vAlign w:val="center"/>
            <w:hideMark/>
          </w:tcPr>
          <w:p w14:paraId="536B2ACA" w14:textId="77777777" w:rsidR="00D43A59" w:rsidRPr="00D43A59" w:rsidRDefault="00D43A59" w:rsidP="00D43A59">
            <w:pPr>
              <w:ind w:left="-55" w:firstLine="500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Measure achievement of agreed service levels</w:t>
            </w:r>
          </w:p>
        </w:tc>
      </w:tr>
      <w:tr w:rsidR="00D43A59" w:rsidRPr="00D43A59" w14:paraId="79C1D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15D0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6CFB78F" w14:textId="77777777" w:rsidR="00D43A59" w:rsidRPr="00D43A59" w:rsidRDefault="00D43A59" w:rsidP="00D43A59">
            <w:pPr>
              <w:ind w:left="-55" w:firstLine="500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Assess responsiveness, collaboration, and stakeholder engagement</w:t>
            </w:r>
          </w:p>
        </w:tc>
      </w:tr>
      <w:tr w:rsidR="00D43A59" w:rsidRPr="00D43A59" w14:paraId="22150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F7B6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3064B232" w14:textId="77777777" w:rsidR="00D43A59" w:rsidRPr="00D43A59" w:rsidRDefault="00D43A59" w:rsidP="00D43A59">
            <w:pPr>
              <w:ind w:left="-55" w:firstLine="500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Evaluate proactive identification and resolution of delivery risks</w:t>
            </w:r>
          </w:p>
        </w:tc>
      </w:tr>
      <w:tr w:rsidR="00D43A59" w:rsidRPr="00D43A59" w14:paraId="7219F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53B8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04F97C16" w14:textId="77777777" w:rsidR="00D43A59" w:rsidRPr="00D43A59" w:rsidRDefault="00D43A59" w:rsidP="00D43A59">
            <w:pPr>
              <w:ind w:left="-55" w:firstLine="500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Measure contribution to business objectives and delivery outcomes</w:t>
            </w:r>
          </w:p>
        </w:tc>
      </w:tr>
    </w:tbl>
    <w:p w14:paraId="69BE68B7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pict w14:anchorId="5D0DA846">
          <v:rect id="_x0000_i1089" style="width:0;height:1.5pt" o:hralign="center" o:hrstd="t" o:hr="t" fillcolor="#a0a0a0" stroked="f"/>
        </w:pict>
      </w:r>
    </w:p>
    <w:p w14:paraId="48C4264C" w14:textId="77777777" w:rsidR="00D43A59" w:rsidRPr="00D43A59" w:rsidRDefault="00D43A59" w:rsidP="00D43A59">
      <w:pPr>
        <w:rPr>
          <w:rFonts w:ascii="Times New Roman" w:hAnsi="Times New Roman" w:cs="Times New Roman"/>
          <w:b/>
          <w:bCs/>
        </w:rPr>
      </w:pPr>
      <w:r w:rsidRPr="00D43A59">
        <w:rPr>
          <w:rFonts w:ascii="Times New Roman" w:hAnsi="Times New Roman" w:cs="Times New Roman"/>
          <w:b/>
          <w:bCs/>
        </w:rPr>
        <w:t>Vendor Performance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5060"/>
      </w:tblGrid>
      <w:tr w:rsidR="00D43A59" w:rsidRPr="00D43A59" w14:paraId="322BD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E0814" w14:textId="77777777" w:rsidR="00D43A59" w:rsidRPr="00D43A59" w:rsidRDefault="00D43A59" w:rsidP="00D43A59">
            <w:pPr>
              <w:rPr>
                <w:rFonts w:ascii="Times New Roman" w:hAnsi="Times New Roman" w:cs="Times New Roman"/>
                <w:b/>
                <w:bCs/>
              </w:rPr>
            </w:pPr>
            <w:r w:rsidRPr="00D43A59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788B245" w14:textId="77777777" w:rsidR="00D43A59" w:rsidRPr="00D43A59" w:rsidRDefault="00D43A59" w:rsidP="00D43A59">
            <w:pPr>
              <w:ind w:firstLine="546"/>
              <w:rPr>
                <w:rFonts w:ascii="Times New Roman" w:hAnsi="Times New Roman" w:cs="Times New Roman"/>
                <w:b/>
                <w:bCs/>
              </w:rPr>
            </w:pPr>
            <w:r w:rsidRPr="00D43A5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43A59" w:rsidRPr="00D43A59" w14:paraId="35253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33B8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On-Time Delivery Rate (%)</w:t>
            </w:r>
          </w:p>
        </w:tc>
        <w:tc>
          <w:tcPr>
            <w:tcW w:w="0" w:type="auto"/>
            <w:vAlign w:val="center"/>
            <w:hideMark/>
          </w:tcPr>
          <w:p w14:paraId="42F110FB" w14:textId="77777777" w:rsidR="00D43A59" w:rsidRPr="00D43A59" w:rsidRDefault="00D43A59" w:rsidP="00D43A59">
            <w:pPr>
              <w:ind w:firstLine="546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Measure delivery against committed timelines</w:t>
            </w:r>
          </w:p>
        </w:tc>
      </w:tr>
      <w:tr w:rsidR="00D43A59" w:rsidRPr="00D43A59" w14:paraId="0E1F9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CF86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SLA Compliance (%)</w:t>
            </w:r>
          </w:p>
        </w:tc>
        <w:tc>
          <w:tcPr>
            <w:tcW w:w="0" w:type="auto"/>
            <w:vAlign w:val="center"/>
            <w:hideMark/>
          </w:tcPr>
          <w:p w14:paraId="7A0E354C" w14:textId="77777777" w:rsidR="00D43A59" w:rsidRPr="00D43A59" w:rsidRDefault="00D43A59" w:rsidP="00D43A59">
            <w:pPr>
              <w:ind w:firstLine="546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Monitor adherence to agreed service levels</w:t>
            </w:r>
          </w:p>
        </w:tc>
      </w:tr>
      <w:tr w:rsidR="00D43A59" w:rsidRPr="00D43A59" w14:paraId="27EB0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2261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Defect Density</w:t>
            </w:r>
          </w:p>
        </w:tc>
        <w:tc>
          <w:tcPr>
            <w:tcW w:w="0" w:type="auto"/>
            <w:vAlign w:val="center"/>
            <w:hideMark/>
          </w:tcPr>
          <w:p w14:paraId="743ECA7D" w14:textId="77777777" w:rsidR="00D43A59" w:rsidRPr="00D43A59" w:rsidRDefault="00D43A59" w:rsidP="00D43A59">
            <w:pPr>
              <w:ind w:firstLine="546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Measure quality of delivered work</w:t>
            </w:r>
          </w:p>
        </w:tc>
      </w:tr>
      <w:tr w:rsidR="00D43A59" w:rsidRPr="00D43A59" w14:paraId="69755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8FD2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Issue Resolution Time</w:t>
            </w:r>
          </w:p>
        </w:tc>
        <w:tc>
          <w:tcPr>
            <w:tcW w:w="0" w:type="auto"/>
            <w:vAlign w:val="center"/>
            <w:hideMark/>
          </w:tcPr>
          <w:p w14:paraId="118654F1" w14:textId="77777777" w:rsidR="00D43A59" w:rsidRPr="00D43A59" w:rsidRDefault="00D43A59" w:rsidP="00D43A59">
            <w:pPr>
              <w:ind w:firstLine="546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Track responsiveness to delivery issues</w:t>
            </w:r>
          </w:p>
        </w:tc>
      </w:tr>
      <w:tr w:rsidR="00D43A59" w:rsidRPr="00D43A59" w14:paraId="3E8D2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3774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Change Request Turnaround</w:t>
            </w:r>
          </w:p>
        </w:tc>
        <w:tc>
          <w:tcPr>
            <w:tcW w:w="0" w:type="auto"/>
            <w:vAlign w:val="center"/>
            <w:hideMark/>
          </w:tcPr>
          <w:p w14:paraId="2E744BD0" w14:textId="77777777" w:rsidR="00D43A59" w:rsidRPr="00D43A59" w:rsidRDefault="00D43A59" w:rsidP="00D43A59">
            <w:pPr>
              <w:ind w:firstLine="546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Measure responsiveness to change requests</w:t>
            </w:r>
          </w:p>
        </w:tc>
      </w:tr>
      <w:tr w:rsidR="00D43A59" w:rsidRPr="00D43A59" w14:paraId="66DE0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048D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Stakeholder Satisfaction</w:t>
            </w:r>
          </w:p>
        </w:tc>
        <w:tc>
          <w:tcPr>
            <w:tcW w:w="0" w:type="auto"/>
            <w:vAlign w:val="center"/>
            <w:hideMark/>
          </w:tcPr>
          <w:p w14:paraId="33267EDF" w14:textId="77777777" w:rsidR="00D43A59" w:rsidRPr="00D43A59" w:rsidRDefault="00D43A59" w:rsidP="00D43A59">
            <w:pPr>
              <w:ind w:firstLine="546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Evaluate business and delivery team feedback</w:t>
            </w:r>
          </w:p>
        </w:tc>
      </w:tr>
    </w:tbl>
    <w:p w14:paraId="6FF9D75D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pict w14:anchorId="6FFD5DEB">
          <v:rect id="_x0000_i1090" style="width:0;height:1.5pt" o:hralign="center" o:hrstd="t" o:hr="t" fillcolor="#a0a0a0" stroked="f"/>
        </w:pict>
      </w:r>
    </w:p>
    <w:p w14:paraId="5EC801B2" w14:textId="77777777" w:rsidR="00D43A59" w:rsidRPr="00D43A59" w:rsidRDefault="00D43A59" w:rsidP="00D43A59">
      <w:pPr>
        <w:rPr>
          <w:rFonts w:ascii="Times New Roman" w:hAnsi="Times New Roman" w:cs="Times New Roman"/>
          <w:b/>
          <w:bCs/>
        </w:rPr>
      </w:pPr>
      <w:r w:rsidRPr="00D43A59">
        <w:rPr>
          <w:rFonts w:ascii="Times New Roman" w:hAnsi="Times New Roman" w:cs="Times New Roman"/>
          <w:b/>
          <w:bCs/>
        </w:rPr>
        <w:t>Performance Review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5605"/>
      </w:tblGrid>
      <w:tr w:rsidR="00D43A59" w:rsidRPr="00D43A59" w14:paraId="3881AB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5EDB2" w14:textId="77777777" w:rsidR="00D43A59" w:rsidRPr="00D43A59" w:rsidRDefault="00D43A59" w:rsidP="00D43A59">
            <w:pPr>
              <w:rPr>
                <w:rFonts w:ascii="Times New Roman" w:hAnsi="Times New Roman" w:cs="Times New Roman"/>
                <w:b/>
                <w:bCs/>
              </w:rPr>
            </w:pPr>
            <w:r w:rsidRPr="00D43A59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AAC8BF3" w14:textId="77777777" w:rsidR="00D43A59" w:rsidRPr="00D43A59" w:rsidRDefault="00D43A59" w:rsidP="00D43A59">
            <w:pPr>
              <w:ind w:firstLine="498"/>
              <w:rPr>
                <w:rFonts w:ascii="Times New Roman" w:hAnsi="Times New Roman" w:cs="Times New Roman"/>
                <w:b/>
                <w:bCs/>
              </w:rPr>
            </w:pPr>
            <w:r w:rsidRPr="00D43A5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43A59" w:rsidRPr="00D43A59" w14:paraId="7213D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10B2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Performance Data Collection</w:t>
            </w:r>
          </w:p>
        </w:tc>
        <w:tc>
          <w:tcPr>
            <w:tcW w:w="0" w:type="auto"/>
            <w:vAlign w:val="center"/>
            <w:hideMark/>
          </w:tcPr>
          <w:p w14:paraId="2EAE5C33" w14:textId="77777777" w:rsidR="00D43A59" w:rsidRPr="00D43A59" w:rsidRDefault="00D43A59" w:rsidP="00D43A59">
            <w:pPr>
              <w:ind w:firstLine="498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Gather KPI and SLA results</w:t>
            </w:r>
          </w:p>
        </w:tc>
      </w:tr>
      <w:tr w:rsidR="00D43A59" w:rsidRPr="00D43A59" w14:paraId="01D9A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24D9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Performance Assessment</w:t>
            </w:r>
          </w:p>
        </w:tc>
        <w:tc>
          <w:tcPr>
            <w:tcW w:w="0" w:type="auto"/>
            <w:vAlign w:val="center"/>
            <w:hideMark/>
          </w:tcPr>
          <w:p w14:paraId="4624839B" w14:textId="77777777" w:rsidR="00D43A59" w:rsidRPr="00D43A59" w:rsidRDefault="00D43A59" w:rsidP="00D43A59">
            <w:pPr>
              <w:ind w:firstLine="498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Evaluate delivery against agreed expectations</w:t>
            </w:r>
          </w:p>
        </w:tc>
      </w:tr>
      <w:tr w:rsidR="00D43A59" w:rsidRPr="00D43A59" w14:paraId="3703A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ED16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Review Meeting</w:t>
            </w:r>
          </w:p>
        </w:tc>
        <w:tc>
          <w:tcPr>
            <w:tcW w:w="0" w:type="auto"/>
            <w:vAlign w:val="center"/>
            <w:hideMark/>
          </w:tcPr>
          <w:p w14:paraId="19E310AE" w14:textId="77777777" w:rsidR="00D43A59" w:rsidRPr="00D43A59" w:rsidRDefault="00D43A59" w:rsidP="00D43A59">
            <w:pPr>
              <w:ind w:firstLine="498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Discuss achievements, gaps, and improvement areas</w:t>
            </w:r>
          </w:p>
        </w:tc>
      </w:tr>
      <w:tr w:rsidR="00D43A59" w:rsidRPr="00D43A59" w14:paraId="6FC04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CEC3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Improvement Planning</w:t>
            </w:r>
          </w:p>
        </w:tc>
        <w:tc>
          <w:tcPr>
            <w:tcW w:w="0" w:type="auto"/>
            <w:vAlign w:val="center"/>
            <w:hideMark/>
          </w:tcPr>
          <w:p w14:paraId="7512DD49" w14:textId="77777777" w:rsidR="00D43A59" w:rsidRPr="00D43A59" w:rsidRDefault="00D43A59" w:rsidP="00D43A59">
            <w:pPr>
              <w:ind w:firstLine="498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Define corrective actions and performance targets</w:t>
            </w:r>
          </w:p>
        </w:tc>
      </w:tr>
      <w:tr w:rsidR="00D43A59" w:rsidRPr="00D43A59" w14:paraId="7A321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D443" w14:textId="77777777" w:rsidR="00D43A59" w:rsidRPr="00D43A59" w:rsidRDefault="00D43A59" w:rsidP="00D43A59">
            <w:pPr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Follow-up Review</w:t>
            </w:r>
          </w:p>
        </w:tc>
        <w:tc>
          <w:tcPr>
            <w:tcW w:w="0" w:type="auto"/>
            <w:vAlign w:val="center"/>
            <w:hideMark/>
          </w:tcPr>
          <w:p w14:paraId="5F73D7FE" w14:textId="77777777" w:rsidR="00D43A59" w:rsidRPr="00D43A59" w:rsidRDefault="00D43A59" w:rsidP="00D43A59">
            <w:pPr>
              <w:ind w:firstLine="498"/>
              <w:rPr>
                <w:rFonts w:ascii="Times New Roman" w:hAnsi="Times New Roman" w:cs="Times New Roman"/>
              </w:rPr>
            </w:pPr>
            <w:r w:rsidRPr="00D43A59">
              <w:rPr>
                <w:rFonts w:ascii="Times New Roman" w:hAnsi="Times New Roman" w:cs="Times New Roman"/>
              </w:rPr>
              <w:t>Monitor implementation of agreed actions</w:t>
            </w:r>
          </w:p>
        </w:tc>
      </w:tr>
    </w:tbl>
    <w:p w14:paraId="6F28769B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pict w14:anchorId="6608EE10">
          <v:rect id="_x0000_i1091" style="width:0;height:1.5pt" o:hralign="center" o:hrstd="t" o:hr="t" fillcolor="#a0a0a0" stroked="f"/>
        </w:pict>
      </w:r>
    </w:p>
    <w:p w14:paraId="6F7AD48A" w14:textId="77777777" w:rsidR="00D43A59" w:rsidRDefault="00D43A59" w:rsidP="00D43A59">
      <w:pPr>
        <w:rPr>
          <w:rFonts w:ascii="Times New Roman" w:hAnsi="Times New Roman" w:cs="Times New Roman"/>
          <w:b/>
          <w:bCs/>
        </w:rPr>
      </w:pPr>
    </w:p>
    <w:p w14:paraId="7E5B08C6" w14:textId="040FDC15" w:rsidR="00D43A59" w:rsidRPr="00D43A59" w:rsidRDefault="00D43A59" w:rsidP="00D43A59">
      <w:pPr>
        <w:rPr>
          <w:rFonts w:ascii="Times New Roman" w:hAnsi="Times New Roman" w:cs="Times New Roman"/>
          <w:b/>
          <w:bCs/>
        </w:rPr>
      </w:pPr>
      <w:r w:rsidRPr="00D43A59">
        <w:rPr>
          <w:rFonts w:ascii="Times New Roman" w:hAnsi="Times New Roman" w:cs="Times New Roman"/>
          <w:b/>
          <w:bCs/>
        </w:rPr>
        <w:t>Governance Controls</w:t>
      </w:r>
    </w:p>
    <w:p w14:paraId="056C8680" w14:textId="77777777" w:rsidR="00D43A59" w:rsidRPr="00D43A59" w:rsidRDefault="00D43A59" w:rsidP="00D43A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Measure performance using agreed KPIs and SLAs.</w:t>
      </w:r>
    </w:p>
    <w:p w14:paraId="2F7085A3" w14:textId="77777777" w:rsidR="00D43A59" w:rsidRPr="00D43A59" w:rsidRDefault="00D43A59" w:rsidP="00D43A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Conduct regular vendor performance reviews.</w:t>
      </w:r>
    </w:p>
    <w:p w14:paraId="0AC38D58" w14:textId="77777777" w:rsidR="00D43A59" w:rsidRPr="00D43A59" w:rsidRDefault="00D43A59" w:rsidP="00D43A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Assign owners for improvement actions.</w:t>
      </w:r>
    </w:p>
    <w:p w14:paraId="0B121541" w14:textId="77777777" w:rsidR="00D43A59" w:rsidRPr="00D43A59" w:rsidRDefault="00D43A59" w:rsidP="00D43A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Escalate recurring performance issues through governance forums.</w:t>
      </w:r>
    </w:p>
    <w:p w14:paraId="4FC61F80" w14:textId="77777777" w:rsidR="00D43A59" w:rsidRPr="00D43A59" w:rsidRDefault="00D43A59" w:rsidP="00D43A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Track performance trends to support continuous improvement.</w:t>
      </w:r>
    </w:p>
    <w:p w14:paraId="7EB356E0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pict w14:anchorId="7FA1D904">
          <v:rect id="_x0000_i1092" style="width:0;height:1.5pt" o:hralign="center" o:hrstd="t" o:hr="t" fillcolor="#a0a0a0" stroked="f"/>
        </w:pict>
      </w:r>
    </w:p>
    <w:p w14:paraId="4118C65D" w14:textId="77777777" w:rsidR="00D43A59" w:rsidRPr="00D43A59" w:rsidRDefault="00D43A59" w:rsidP="00D43A59">
      <w:pPr>
        <w:rPr>
          <w:rFonts w:ascii="Times New Roman" w:hAnsi="Times New Roman" w:cs="Times New Roman"/>
          <w:b/>
          <w:bCs/>
        </w:rPr>
      </w:pPr>
      <w:r w:rsidRPr="00D43A59">
        <w:rPr>
          <w:rFonts w:ascii="Times New Roman" w:hAnsi="Times New Roman" w:cs="Times New Roman"/>
          <w:b/>
          <w:bCs/>
        </w:rPr>
        <w:t>Performance Outputs</w:t>
      </w:r>
    </w:p>
    <w:p w14:paraId="6E7EA258" w14:textId="77777777" w:rsidR="00D43A59" w:rsidRPr="00D43A59" w:rsidRDefault="00D43A59" w:rsidP="00D43A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Vendor Performance Scorecard</w:t>
      </w:r>
    </w:p>
    <w:p w14:paraId="0B26EB87" w14:textId="77777777" w:rsidR="00D43A59" w:rsidRPr="00D43A59" w:rsidRDefault="00D43A59" w:rsidP="00D43A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KPI &amp; SLA Performance Report</w:t>
      </w:r>
    </w:p>
    <w:p w14:paraId="6F2660B3" w14:textId="77777777" w:rsidR="00D43A59" w:rsidRPr="00D43A59" w:rsidRDefault="00D43A59" w:rsidP="00D43A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Vendor Improvement Action Plan</w:t>
      </w:r>
    </w:p>
    <w:p w14:paraId="2E5897E2" w14:textId="77777777" w:rsidR="00D43A59" w:rsidRPr="00D43A59" w:rsidRDefault="00D43A59" w:rsidP="00D43A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Performance Review Summary</w:t>
      </w:r>
    </w:p>
    <w:p w14:paraId="17C77F76" w14:textId="77777777" w:rsidR="00D43A59" w:rsidRPr="00D43A59" w:rsidRDefault="00D43A59" w:rsidP="00D43A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Vendor Performance Dashboard</w:t>
      </w:r>
    </w:p>
    <w:p w14:paraId="5B719AD9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pict w14:anchorId="7F0F5C4B">
          <v:rect id="_x0000_i1093" style="width:0;height:1.5pt" o:hralign="center" o:hrstd="t" o:hr="t" fillcolor="#a0a0a0" stroked="f"/>
        </w:pict>
      </w:r>
    </w:p>
    <w:p w14:paraId="304E4D86" w14:textId="77777777" w:rsidR="00D43A59" w:rsidRPr="00D43A59" w:rsidRDefault="00D43A59" w:rsidP="00D43A59">
      <w:pPr>
        <w:rPr>
          <w:rFonts w:ascii="Times New Roman" w:hAnsi="Times New Roman" w:cs="Times New Roman"/>
          <w:b/>
          <w:bCs/>
        </w:rPr>
      </w:pPr>
      <w:r w:rsidRPr="00D43A59">
        <w:rPr>
          <w:rFonts w:ascii="Times New Roman" w:hAnsi="Times New Roman" w:cs="Times New Roman"/>
          <w:b/>
          <w:bCs/>
        </w:rPr>
        <w:t>Expected Outcome</w:t>
      </w:r>
    </w:p>
    <w:p w14:paraId="4700ED96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A transparent and measurable vendor performance management approach that improves delivery quality, strengthens accountability, and ensures vendors consistently deliver value aligned with enterprise objectives.</w:t>
      </w:r>
    </w:p>
    <w:p w14:paraId="09A78084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pict w14:anchorId="0B54B48B">
          <v:rect id="_x0000_i1094" style="width:0;height:1.5pt" o:hralign="center" o:hrstd="t" o:hr="t" fillcolor="#a0a0a0" stroked="f"/>
        </w:pict>
      </w:r>
    </w:p>
    <w:p w14:paraId="79FA0671" w14:textId="77777777" w:rsidR="00D43A59" w:rsidRPr="00D43A59" w:rsidRDefault="00D43A59" w:rsidP="00D43A59">
      <w:pPr>
        <w:rPr>
          <w:rFonts w:ascii="Times New Roman" w:hAnsi="Times New Roman" w:cs="Times New Roman"/>
          <w:b/>
          <w:bCs/>
        </w:rPr>
      </w:pPr>
      <w:r w:rsidRPr="00D43A59">
        <w:rPr>
          <w:rFonts w:ascii="Times New Roman" w:hAnsi="Times New Roman" w:cs="Times New Roman"/>
          <w:b/>
          <w:bCs/>
        </w:rPr>
        <w:t>Key Insight</w:t>
      </w:r>
    </w:p>
    <w:p w14:paraId="07D609A0" w14:textId="77777777" w:rsidR="00D43A59" w:rsidRPr="00D43A59" w:rsidRDefault="00D43A59" w:rsidP="00D43A59">
      <w:pPr>
        <w:rPr>
          <w:rFonts w:ascii="Times New Roman" w:hAnsi="Times New Roman" w:cs="Times New Roman"/>
        </w:rPr>
      </w:pPr>
      <w:r w:rsidRPr="00D43A59">
        <w:rPr>
          <w:rFonts w:ascii="Times New Roman" w:hAnsi="Times New Roman" w:cs="Times New Roman"/>
        </w:rPr>
        <w:t>Vendor performance should be measured by outcomes, not effort. Consistent monitoring, objective KPIs, and collaborative improvement enable vendors to become trusted delivery partners rather than external service providers.</w:t>
      </w:r>
    </w:p>
    <w:p w14:paraId="5DA135A0" w14:textId="77777777" w:rsidR="00090554" w:rsidRPr="00D43A59" w:rsidRDefault="00090554">
      <w:pPr>
        <w:rPr>
          <w:rFonts w:ascii="Times New Roman" w:hAnsi="Times New Roman" w:cs="Times New Roman"/>
        </w:rPr>
      </w:pPr>
    </w:p>
    <w:sectPr w:rsidR="00090554" w:rsidRPr="00D43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2FB2"/>
    <w:multiLevelType w:val="multilevel"/>
    <w:tmpl w:val="F3AC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D5FA9"/>
    <w:multiLevelType w:val="multilevel"/>
    <w:tmpl w:val="20B6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6163B"/>
    <w:multiLevelType w:val="multilevel"/>
    <w:tmpl w:val="EFB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351837">
    <w:abstractNumId w:val="0"/>
  </w:num>
  <w:num w:numId="2" w16cid:durableId="882983188">
    <w:abstractNumId w:val="2"/>
  </w:num>
  <w:num w:numId="3" w16cid:durableId="216824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59"/>
    <w:rsid w:val="00090554"/>
    <w:rsid w:val="008A2E8C"/>
    <w:rsid w:val="00D43A59"/>
    <w:rsid w:val="00D71125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6898"/>
  <w15:chartTrackingRefBased/>
  <w15:docId w15:val="{2D9AF550-266F-4377-90C1-FC5D8C7C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365</Words>
  <Characters>2681</Characters>
  <Application>Microsoft Office Word</Application>
  <DocSecurity>0</DocSecurity>
  <Lines>46</Lines>
  <Paragraphs>30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2026-06-29T12:26:00Z</dcterms:created>
  <dcterms:modified xsi:type="dcterms:W3CDTF">2026-06-29T12:28:00Z</dcterms:modified>
</cp:coreProperties>
</file>