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0A95B" w14:textId="77777777" w:rsidR="00B11A02" w:rsidRPr="00B11A02" w:rsidRDefault="00B11A02" w:rsidP="00B11A02">
      <w:pPr>
        <w:rPr>
          <w:rFonts w:ascii="Times New Roman" w:hAnsi="Times New Roman" w:cs="Times New Roman"/>
          <w:b/>
          <w:bCs/>
          <w:color w:val="E97132" w:themeColor="accent2"/>
        </w:rPr>
      </w:pPr>
      <w:r w:rsidRPr="00B11A02">
        <w:rPr>
          <w:rFonts w:ascii="Times New Roman" w:hAnsi="Times New Roman" w:cs="Times New Roman"/>
          <w:b/>
          <w:bCs/>
          <w:color w:val="E97132" w:themeColor="accent2"/>
        </w:rPr>
        <w:t>Vendor Risk and Compliance</w:t>
      </w:r>
    </w:p>
    <w:p w14:paraId="129DC308"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pict w14:anchorId="51380B2B">
          <v:rect id="_x0000_i1085" style="width:0;height:1.5pt" o:hralign="center" o:hrstd="t" o:hr="t" fillcolor="#a0a0a0" stroked="f"/>
        </w:pict>
      </w:r>
    </w:p>
    <w:p w14:paraId="494FBB82" w14:textId="77777777" w:rsidR="00B11A02" w:rsidRPr="00B11A02" w:rsidRDefault="00B11A02" w:rsidP="00B11A02">
      <w:pPr>
        <w:rPr>
          <w:rFonts w:ascii="Times New Roman" w:hAnsi="Times New Roman" w:cs="Times New Roman"/>
          <w:b/>
          <w:bCs/>
        </w:rPr>
      </w:pPr>
      <w:r w:rsidRPr="00B11A02">
        <w:rPr>
          <w:rFonts w:ascii="Times New Roman" w:hAnsi="Times New Roman" w:cs="Times New Roman"/>
          <w:b/>
          <w:bCs/>
        </w:rPr>
        <w:t>Overview</w:t>
      </w:r>
    </w:p>
    <w:p w14:paraId="12D94D82"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The Vendor Risk and Compliance framework establishes the governance approach for identifying, assessing, monitoring, and mitigating risks associated with third-party vendors while ensuring compliance with contractual, security, regulatory, and organizational requirements.</w:t>
      </w:r>
    </w:p>
    <w:p w14:paraId="357F418E"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Its purpose is to minimize delivery disruptions, protect business operations, and ensure vendors operate in accordance with enterprise governance standards.</w:t>
      </w:r>
    </w:p>
    <w:p w14:paraId="6E02A971"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pict w14:anchorId="6E114CDB">
          <v:rect id="_x0000_i1086" style="width:0;height:1.5pt" o:hralign="center" o:hrstd="t" o:hr="t" fillcolor="#a0a0a0" stroked="f"/>
        </w:pict>
      </w:r>
    </w:p>
    <w:p w14:paraId="772B517A" w14:textId="77777777" w:rsidR="00B11A02" w:rsidRPr="00B11A02" w:rsidRDefault="00B11A02" w:rsidP="00B11A02">
      <w:pPr>
        <w:rPr>
          <w:rFonts w:ascii="Times New Roman" w:hAnsi="Times New Roman" w:cs="Times New Roman"/>
          <w:b/>
          <w:bCs/>
        </w:rPr>
      </w:pPr>
      <w:r w:rsidRPr="00B11A02">
        <w:rPr>
          <w:rFonts w:ascii="Times New Roman" w:hAnsi="Times New Roman" w:cs="Times New Roman"/>
          <w:b/>
          <w:bCs/>
        </w:rPr>
        <w:t>Objectives</w:t>
      </w:r>
    </w:p>
    <w:p w14:paraId="53E1B838" w14:textId="77777777" w:rsidR="00B11A02" w:rsidRPr="00B11A02" w:rsidRDefault="00B11A02" w:rsidP="00B11A02">
      <w:pPr>
        <w:numPr>
          <w:ilvl w:val="0"/>
          <w:numId w:val="1"/>
        </w:numPr>
        <w:rPr>
          <w:rFonts w:ascii="Times New Roman" w:hAnsi="Times New Roman" w:cs="Times New Roman"/>
        </w:rPr>
      </w:pPr>
      <w:r w:rsidRPr="00B11A02">
        <w:rPr>
          <w:rFonts w:ascii="Times New Roman" w:hAnsi="Times New Roman" w:cs="Times New Roman"/>
        </w:rPr>
        <w:t>Identify and manage vendor-related risks proactively.</w:t>
      </w:r>
    </w:p>
    <w:p w14:paraId="156522C6" w14:textId="77777777" w:rsidR="00B11A02" w:rsidRPr="00B11A02" w:rsidRDefault="00B11A02" w:rsidP="00B11A02">
      <w:pPr>
        <w:numPr>
          <w:ilvl w:val="0"/>
          <w:numId w:val="1"/>
        </w:numPr>
        <w:rPr>
          <w:rFonts w:ascii="Times New Roman" w:hAnsi="Times New Roman" w:cs="Times New Roman"/>
        </w:rPr>
      </w:pPr>
      <w:r w:rsidRPr="00B11A02">
        <w:rPr>
          <w:rFonts w:ascii="Times New Roman" w:hAnsi="Times New Roman" w:cs="Times New Roman"/>
        </w:rPr>
        <w:t>Ensure compliance with contractual and regulatory requirements.</w:t>
      </w:r>
    </w:p>
    <w:p w14:paraId="63F3C504" w14:textId="77777777" w:rsidR="00B11A02" w:rsidRPr="00B11A02" w:rsidRDefault="00B11A02" w:rsidP="00B11A02">
      <w:pPr>
        <w:numPr>
          <w:ilvl w:val="0"/>
          <w:numId w:val="1"/>
        </w:numPr>
        <w:rPr>
          <w:rFonts w:ascii="Times New Roman" w:hAnsi="Times New Roman" w:cs="Times New Roman"/>
        </w:rPr>
      </w:pPr>
      <w:r w:rsidRPr="00B11A02">
        <w:rPr>
          <w:rFonts w:ascii="Times New Roman" w:hAnsi="Times New Roman" w:cs="Times New Roman"/>
        </w:rPr>
        <w:t>Reduce operational and delivery risks.</w:t>
      </w:r>
    </w:p>
    <w:p w14:paraId="19DA2869" w14:textId="77777777" w:rsidR="00B11A02" w:rsidRPr="00B11A02" w:rsidRDefault="00B11A02" w:rsidP="00B11A02">
      <w:pPr>
        <w:numPr>
          <w:ilvl w:val="0"/>
          <w:numId w:val="1"/>
        </w:numPr>
        <w:rPr>
          <w:rFonts w:ascii="Times New Roman" w:hAnsi="Times New Roman" w:cs="Times New Roman"/>
        </w:rPr>
      </w:pPr>
      <w:r w:rsidRPr="00B11A02">
        <w:rPr>
          <w:rFonts w:ascii="Times New Roman" w:hAnsi="Times New Roman" w:cs="Times New Roman"/>
        </w:rPr>
        <w:t>Strengthen governance through continuous monitoring.</w:t>
      </w:r>
    </w:p>
    <w:p w14:paraId="614D0495" w14:textId="77777777" w:rsidR="00B11A02" w:rsidRPr="00B11A02" w:rsidRDefault="00B11A02" w:rsidP="00B11A02">
      <w:pPr>
        <w:numPr>
          <w:ilvl w:val="0"/>
          <w:numId w:val="1"/>
        </w:numPr>
        <w:rPr>
          <w:rFonts w:ascii="Times New Roman" w:hAnsi="Times New Roman" w:cs="Times New Roman"/>
        </w:rPr>
      </w:pPr>
      <w:r w:rsidRPr="00B11A02">
        <w:rPr>
          <w:rFonts w:ascii="Times New Roman" w:hAnsi="Times New Roman" w:cs="Times New Roman"/>
        </w:rPr>
        <w:t>Support informed decision-making through risk visibility.</w:t>
      </w:r>
    </w:p>
    <w:p w14:paraId="62B5AA0F"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pict w14:anchorId="28BE5E67">
          <v:rect id="_x0000_i1087" style="width:0;height:1.5pt" o:hralign="center" o:hrstd="t" o:hr="t" fillcolor="#a0a0a0" stroked="f"/>
        </w:pict>
      </w:r>
    </w:p>
    <w:p w14:paraId="6E49EACC" w14:textId="77777777" w:rsidR="00B11A02" w:rsidRPr="00B11A02" w:rsidRDefault="00B11A02" w:rsidP="00B11A02">
      <w:pPr>
        <w:rPr>
          <w:rFonts w:ascii="Times New Roman" w:hAnsi="Times New Roman" w:cs="Times New Roman"/>
          <w:b/>
          <w:bCs/>
        </w:rPr>
      </w:pPr>
      <w:r w:rsidRPr="00B11A02">
        <w:rPr>
          <w:rFonts w:ascii="Times New Roman" w:hAnsi="Times New Roman" w:cs="Times New Roman"/>
          <w:b/>
          <w:bCs/>
        </w:rPr>
        <w:t>Risk &amp; Compliance Framework</w:t>
      </w:r>
    </w:p>
    <w:p w14:paraId="24C17CC9"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Vendor Engagement</w:t>
      </w:r>
    </w:p>
    <w:p w14:paraId="2DDCFB6B"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 xml:space="preserve">        ↓</w:t>
      </w:r>
    </w:p>
    <w:p w14:paraId="11A60DE4"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Risk Identification</w:t>
      </w:r>
    </w:p>
    <w:p w14:paraId="2A6FAB63"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 xml:space="preserve">        ↓</w:t>
      </w:r>
    </w:p>
    <w:p w14:paraId="190EBA5A"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Risk Assessment</w:t>
      </w:r>
    </w:p>
    <w:p w14:paraId="650FC9D0"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 xml:space="preserve">        ↓</w:t>
      </w:r>
    </w:p>
    <w:p w14:paraId="29BE1677"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Mitigation &amp; Compliance</w:t>
      </w:r>
    </w:p>
    <w:p w14:paraId="7C70AE44"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 xml:space="preserve">        ↓</w:t>
      </w:r>
    </w:p>
    <w:p w14:paraId="09DA5B25"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Monitoring &amp; Governance</w:t>
      </w:r>
    </w:p>
    <w:p w14:paraId="18E75869"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 xml:space="preserve">        ↓</w:t>
      </w:r>
    </w:p>
    <w:p w14:paraId="7E376FEF"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Continuous Improvement</w:t>
      </w:r>
    </w:p>
    <w:p w14:paraId="2FCE2214"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pict w14:anchorId="2A385E2D">
          <v:rect id="_x0000_i1088" style="width:0;height:1.5pt" o:hralign="center" o:hrstd="t" o:hr="t" fillcolor="#a0a0a0" stroked="f"/>
        </w:pict>
      </w:r>
    </w:p>
    <w:p w14:paraId="11FE35A8" w14:textId="77777777" w:rsidR="00B11A02" w:rsidRPr="00B11A02" w:rsidRDefault="00B11A02" w:rsidP="00B11A02">
      <w:pPr>
        <w:rPr>
          <w:rFonts w:ascii="Times New Roman" w:hAnsi="Times New Roman" w:cs="Times New Roman"/>
          <w:b/>
          <w:bCs/>
        </w:rPr>
      </w:pPr>
      <w:r w:rsidRPr="00B11A02">
        <w:rPr>
          <w:rFonts w:ascii="Times New Roman" w:hAnsi="Times New Roman" w:cs="Times New Roman"/>
          <w:b/>
          <w:bCs/>
        </w:rPr>
        <w:lastRenderedPageBreak/>
        <w:t>Vendor Risk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6341"/>
      </w:tblGrid>
      <w:tr w:rsidR="00B11A02" w:rsidRPr="00B11A02" w14:paraId="1B74FA06" w14:textId="77777777">
        <w:trPr>
          <w:tblHeader/>
          <w:tblCellSpacing w:w="15" w:type="dxa"/>
        </w:trPr>
        <w:tc>
          <w:tcPr>
            <w:tcW w:w="0" w:type="auto"/>
            <w:vAlign w:val="center"/>
            <w:hideMark/>
          </w:tcPr>
          <w:p w14:paraId="605D2015" w14:textId="77777777" w:rsidR="00B11A02" w:rsidRPr="00B11A02" w:rsidRDefault="00B11A02" w:rsidP="00B11A02">
            <w:pPr>
              <w:rPr>
                <w:rFonts w:ascii="Times New Roman" w:hAnsi="Times New Roman" w:cs="Times New Roman"/>
                <w:b/>
                <w:bCs/>
              </w:rPr>
            </w:pPr>
            <w:r w:rsidRPr="00B11A02">
              <w:rPr>
                <w:rFonts w:ascii="Times New Roman" w:hAnsi="Times New Roman" w:cs="Times New Roman"/>
                <w:b/>
                <w:bCs/>
              </w:rPr>
              <w:t>Risk Category</w:t>
            </w:r>
          </w:p>
        </w:tc>
        <w:tc>
          <w:tcPr>
            <w:tcW w:w="0" w:type="auto"/>
            <w:vAlign w:val="center"/>
            <w:hideMark/>
          </w:tcPr>
          <w:p w14:paraId="6FA4AC5A" w14:textId="77777777" w:rsidR="00B11A02" w:rsidRPr="00B11A02" w:rsidRDefault="00B11A02" w:rsidP="00B11A02">
            <w:pPr>
              <w:ind w:firstLine="575"/>
              <w:rPr>
                <w:rFonts w:ascii="Times New Roman" w:hAnsi="Times New Roman" w:cs="Times New Roman"/>
                <w:b/>
                <w:bCs/>
              </w:rPr>
            </w:pPr>
            <w:r w:rsidRPr="00B11A02">
              <w:rPr>
                <w:rFonts w:ascii="Times New Roman" w:hAnsi="Times New Roman" w:cs="Times New Roman"/>
                <w:b/>
                <w:bCs/>
              </w:rPr>
              <w:t>Purpose</w:t>
            </w:r>
          </w:p>
        </w:tc>
      </w:tr>
      <w:tr w:rsidR="00B11A02" w:rsidRPr="00B11A02" w14:paraId="3D814F11" w14:textId="77777777">
        <w:trPr>
          <w:tblCellSpacing w:w="15" w:type="dxa"/>
        </w:trPr>
        <w:tc>
          <w:tcPr>
            <w:tcW w:w="0" w:type="auto"/>
            <w:vAlign w:val="center"/>
            <w:hideMark/>
          </w:tcPr>
          <w:p w14:paraId="71A87F6F"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Delivery Risk</w:t>
            </w:r>
          </w:p>
        </w:tc>
        <w:tc>
          <w:tcPr>
            <w:tcW w:w="0" w:type="auto"/>
            <w:vAlign w:val="center"/>
            <w:hideMark/>
          </w:tcPr>
          <w:p w14:paraId="682DBB8F" w14:textId="77777777" w:rsidR="00B11A02" w:rsidRPr="00B11A02" w:rsidRDefault="00B11A02" w:rsidP="00B11A02">
            <w:pPr>
              <w:ind w:firstLine="575"/>
              <w:rPr>
                <w:rFonts w:ascii="Times New Roman" w:hAnsi="Times New Roman" w:cs="Times New Roman"/>
              </w:rPr>
            </w:pPr>
            <w:r w:rsidRPr="00B11A02">
              <w:rPr>
                <w:rFonts w:ascii="Times New Roman" w:hAnsi="Times New Roman" w:cs="Times New Roman"/>
              </w:rPr>
              <w:t>Delays, missed milestones, or delivery failures</w:t>
            </w:r>
          </w:p>
        </w:tc>
      </w:tr>
      <w:tr w:rsidR="00B11A02" w:rsidRPr="00B11A02" w14:paraId="49949F3E" w14:textId="77777777">
        <w:trPr>
          <w:tblCellSpacing w:w="15" w:type="dxa"/>
        </w:trPr>
        <w:tc>
          <w:tcPr>
            <w:tcW w:w="0" w:type="auto"/>
            <w:vAlign w:val="center"/>
            <w:hideMark/>
          </w:tcPr>
          <w:p w14:paraId="24C30B28"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Operational Risk</w:t>
            </w:r>
          </w:p>
        </w:tc>
        <w:tc>
          <w:tcPr>
            <w:tcW w:w="0" w:type="auto"/>
            <w:vAlign w:val="center"/>
            <w:hideMark/>
          </w:tcPr>
          <w:p w14:paraId="698FB80C" w14:textId="77777777" w:rsidR="00B11A02" w:rsidRPr="00B11A02" w:rsidRDefault="00B11A02" w:rsidP="00B11A02">
            <w:pPr>
              <w:ind w:firstLine="575"/>
              <w:rPr>
                <w:rFonts w:ascii="Times New Roman" w:hAnsi="Times New Roman" w:cs="Times New Roman"/>
              </w:rPr>
            </w:pPr>
            <w:r w:rsidRPr="00B11A02">
              <w:rPr>
                <w:rFonts w:ascii="Times New Roman" w:hAnsi="Times New Roman" w:cs="Times New Roman"/>
              </w:rPr>
              <w:t>Resource shortages, process failures, or service disruptions</w:t>
            </w:r>
          </w:p>
        </w:tc>
      </w:tr>
      <w:tr w:rsidR="00B11A02" w:rsidRPr="00B11A02" w14:paraId="5F2AB404" w14:textId="77777777">
        <w:trPr>
          <w:tblCellSpacing w:w="15" w:type="dxa"/>
        </w:trPr>
        <w:tc>
          <w:tcPr>
            <w:tcW w:w="0" w:type="auto"/>
            <w:vAlign w:val="center"/>
            <w:hideMark/>
          </w:tcPr>
          <w:p w14:paraId="65ADE32A"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Security Risk</w:t>
            </w:r>
          </w:p>
        </w:tc>
        <w:tc>
          <w:tcPr>
            <w:tcW w:w="0" w:type="auto"/>
            <w:vAlign w:val="center"/>
            <w:hideMark/>
          </w:tcPr>
          <w:p w14:paraId="5AF0B3B3" w14:textId="77777777" w:rsidR="00B11A02" w:rsidRPr="00B11A02" w:rsidRDefault="00B11A02" w:rsidP="00B11A02">
            <w:pPr>
              <w:ind w:firstLine="575"/>
              <w:rPr>
                <w:rFonts w:ascii="Times New Roman" w:hAnsi="Times New Roman" w:cs="Times New Roman"/>
              </w:rPr>
            </w:pPr>
            <w:r w:rsidRPr="00B11A02">
              <w:rPr>
                <w:rFonts w:ascii="Times New Roman" w:hAnsi="Times New Roman" w:cs="Times New Roman"/>
              </w:rPr>
              <w:t>Data protection, access control, and cybersecurity concerns</w:t>
            </w:r>
          </w:p>
        </w:tc>
      </w:tr>
      <w:tr w:rsidR="00B11A02" w:rsidRPr="00B11A02" w14:paraId="3D1ACF58" w14:textId="77777777">
        <w:trPr>
          <w:tblCellSpacing w:w="15" w:type="dxa"/>
        </w:trPr>
        <w:tc>
          <w:tcPr>
            <w:tcW w:w="0" w:type="auto"/>
            <w:vAlign w:val="center"/>
            <w:hideMark/>
          </w:tcPr>
          <w:p w14:paraId="0448DD11"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Compliance Risk</w:t>
            </w:r>
          </w:p>
        </w:tc>
        <w:tc>
          <w:tcPr>
            <w:tcW w:w="0" w:type="auto"/>
            <w:vAlign w:val="center"/>
            <w:hideMark/>
          </w:tcPr>
          <w:p w14:paraId="7A557FF5" w14:textId="77777777" w:rsidR="00B11A02" w:rsidRPr="00B11A02" w:rsidRDefault="00B11A02" w:rsidP="00B11A02">
            <w:pPr>
              <w:ind w:firstLine="575"/>
              <w:rPr>
                <w:rFonts w:ascii="Times New Roman" w:hAnsi="Times New Roman" w:cs="Times New Roman"/>
              </w:rPr>
            </w:pPr>
            <w:r w:rsidRPr="00B11A02">
              <w:rPr>
                <w:rFonts w:ascii="Times New Roman" w:hAnsi="Times New Roman" w:cs="Times New Roman"/>
              </w:rPr>
              <w:t>Regulatory, legal, contractual, or policy non-compliance</w:t>
            </w:r>
          </w:p>
        </w:tc>
      </w:tr>
      <w:tr w:rsidR="00B11A02" w:rsidRPr="00B11A02" w14:paraId="562F4D04" w14:textId="77777777">
        <w:trPr>
          <w:tblCellSpacing w:w="15" w:type="dxa"/>
        </w:trPr>
        <w:tc>
          <w:tcPr>
            <w:tcW w:w="0" w:type="auto"/>
            <w:vAlign w:val="center"/>
            <w:hideMark/>
          </w:tcPr>
          <w:p w14:paraId="489127D4"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Financial Risk</w:t>
            </w:r>
          </w:p>
        </w:tc>
        <w:tc>
          <w:tcPr>
            <w:tcW w:w="0" w:type="auto"/>
            <w:vAlign w:val="center"/>
            <w:hideMark/>
          </w:tcPr>
          <w:p w14:paraId="03B1C716" w14:textId="77777777" w:rsidR="00B11A02" w:rsidRPr="00B11A02" w:rsidRDefault="00B11A02" w:rsidP="00B11A02">
            <w:pPr>
              <w:ind w:firstLine="575"/>
              <w:rPr>
                <w:rFonts w:ascii="Times New Roman" w:hAnsi="Times New Roman" w:cs="Times New Roman"/>
              </w:rPr>
            </w:pPr>
            <w:r w:rsidRPr="00B11A02">
              <w:rPr>
                <w:rFonts w:ascii="Times New Roman" w:hAnsi="Times New Roman" w:cs="Times New Roman"/>
              </w:rPr>
              <w:t>Vendor financial instability affecting service continuity</w:t>
            </w:r>
          </w:p>
        </w:tc>
      </w:tr>
      <w:tr w:rsidR="00B11A02" w:rsidRPr="00B11A02" w14:paraId="685216E9" w14:textId="77777777">
        <w:trPr>
          <w:tblCellSpacing w:w="15" w:type="dxa"/>
        </w:trPr>
        <w:tc>
          <w:tcPr>
            <w:tcW w:w="0" w:type="auto"/>
            <w:vAlign w:val="center"/>
            <w:hideMark/>
          </w:tcPr>
          <w:p w14:paraId="6FAA6ADE"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Business Continuity Risk</w:t>
            </w:r>
          </w:p>
        </w:tc>
        <w:tc>
          <w:tcPr>
            <w:tcW w:w="0" w:type="auto"/>
            <w:vAlign w:val="center"/>
            <w:hideMark/>
          </w:tcPr>
          <w:p w14:paraId="77D2AD5F" w14:textId="77777777" w:rsidR="00B11A02" w:rsidRPr="00B11A02" w:rsidRDefault="00B11A02" w:rsidP="00B11A02">
            <w:pPr>
              <w:ind w:firstLine="575"/>
              <w:rPr>
                <w:rFonts w:ascii="Times New Roman" w:hAnsi="Times New Roman" w:cs="Times New Roman"/>
              </w:rPr>
            </w:pPr>
            <w:r w:rsidRPr="00B11A02">
              <w:rPr>
                <w:rFonts w:ascii="Times New Roman" w:hAnsi="Times New Roman" w:cs="Times New Roman"/>
              </w:rPr>
              <w:t>Disaster recovery, resilience, and continuity planning</w:t>
            </w:r>
          </w:p>
        </w:tc>
      </w:tr>
    </w:tbl>
    <w:p w14:paraId="3045DD29"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pict w14:anchorId="4F81A622">
          <v:rect id="_x0000_i1089" style="width:0;height:1.5pt" o:hralign="center" o:hrstd="t" o:hr="t" fillcolor="#a0a0a0" stroked="f"/>
        </w:pict>
      </w:r>
    </w:p>
    <w:p w14:paraId="034232AF" w14:textId="77777777" w:rsidR="00B11A02" w:rsidRPr="00B11A02" w:rsidRDefault="00B11A02" w:rsidP="00B11A02">
      <w:pPr>
        <w:rPr>
          <w:rFonts w:ascii="Times New Roman" w:hAnsi="Times New Roman" w:cs="Times New Roman"/>
          <w:b/>
          <w:bCs/>
        </w:rPr>
      </w:pPr>
      <w:r w:rsidRPr="00B11A02">
        <w:rPr>
          <w:rFonts w:ascii="Times New Roman" w:hAnsi="Times New Roman" w:cs="Times New Roman"/>
          <w:b/>
          <w:bCs/>
        </w:rPr>
        <w:t>Compliance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6379"/>
      </w:tblGrid>
      <w:tr w:rsidR="00B11A02" w:rsidRPr="00B11A02" w14:paraId="7FB3904B" w14:textId="77777777">
        <w:trPr>
          <w:tblHeader/>
          <w:tblCellSpacing w:w="15" w:type="dxa"/>
        </w:trPr>
        <w:tc>
          <w:tcPr>
            <w:tcW w:w="0" w:type="auto"/>
            <w:vAlign w:val="center"/>
            <w:hideMark/>
          </w:tcPr>
          <w:p w14:paraId="1D9F0D50" w14:textId="77777777" w:rsidR="00B11A02" w:rsidRPr="00B11A02" w:rsidRDefault="00B11A02" w:rsidP="00B11A02">
            <w:pPr>
              <w:rPr>
                <w:rFonts w:ascii="Times New Roman" w:hAnsi="Times New Roman" w:cs="Times New Roman"/>
                <w:b/>
                <w:bCs/>
              </w:rPr>
            </w:pPr>
            <w:r w:rsidRPr="00B11A02">
              <w:rPr>
                <w:rFonts w:ascii="Times New Roman" w:hAnsi="Times New Roman" w:cs="Times New Roman"/>
                <w:b/>
                <w:bCs/>
              </w:rPr>
              <w:t>Compliance Area</w:t>
            </w:r>
          </w:p>
        </w:tc>
        <w:tc>
          <w:tcPr>
            <w:tcW w:w="0" w:type="auto"/>
            <w:vAlign w:val="center"/>
            <w:hideMark/>
          </w:tcPr>
          <w:p w14:paraId="79CE7035" w14:textId="77777777" w:rsidR="00B11A02" w:rsidRPr="00B11A02" w:rsidRDefault="00B11A02" w:rsidP="00B11A02">
            <w:pPr>
              <w:ind w:firstLine="731"/>
              <w:rPr>
                <w:rFonts w:ascii="Times New Roman" w:hAnsi="Times New Roman" w:cs="Times New Roman"/>
                <w:b/>
                <w:bCs/>
              </w:rPr>
            </w:pPr>
            <w:r w:rsidRPr="00B11A02">
              <w:rPr>
                <w:rFonts w:ascii="Times New Roman" w:hAnsi="Times New Roman" w:cs="Times New Roman"/>
                <w:b/>
                <w:bCs/>
              </w:rPr>
              <w:t>Purpose</w:t>
            </w:r>
          </w:p>
        </w:tc>
      </w:tr>
      <w:tr w:rsidR="00B11A02" w:rsidRPr="00B11A02" w14:paraId="238DC01B" w14:textId="77777777">
        <w:trPr>
          <w:tblCellSpacing w:w="15" w:type="dxa"/>
        </w:trPr>
        <w:tc>
          <w:tcPr>
            <w:tcW w:w="0" w:type="auto"/>
            <w:vAlign w:val="center"/>
            <w:hideMark/>
          </w:tcPr>
          <w:p w14:paraId="26B394F1"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Contract Compliance</w:t>
            </w:r>
          </w:p>
        </w:tc>
        <w:tc>
          <w:tcPr>
            <w:tcW w:w="0" w:type="auto"/>
            <w:vAlign w:val="center"/>
            <w:hideMark/>
          </w:tcPr>
          <w:p w14:paraId="5265B997" w14:textId="77777777" w:rsidR="00B11A02" w:rsidRPr="00B11A02" w:rsidRDefault="00B11A02" w:rsidP="00B11A02">
            <w:pPr>
              <w:ind w:firstLine="731"/>
              <w:rPr>
                <w:rFonts w:ascii="Times New Roman" w:hAnsi="Times New Roman" w:cs="Times New Roman"/>
              </w:rPr>
            </w:pPr>
            <w:r w:rsidRPr="00B11A02">
              <w:rPr>
                <w:rFonts w:ascii="Times New Roman" w:hAnsi="Times New Roman" w:cs="Times New Roman"/>
              </w:rPr>
              <w:t>Adherence to agreed contractual obligations</w:t>
            </w:r>
          </w:p>
        </w:tc>
      </w:tr>
      <w:tr w:rsidR="00B11A02" w:rsidRPr="00B11A02" w14:paraId="3333567C" w14:textId="77777777">
        <w:trPr>
          <w:tblCellSpacing w:w="15" w:type="dxa"/>
        </w:trPr>
        <w:tc>
          <w:tcPr>
            <w:tcW w:w="0" w:type="auto"/>
            <w:vAlign w:val="center"/>
            <w:hideMark/>
          </w:tcPr>
          <w:p w14:paraId="100F9504"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SLA Compliance</w:t>
            </w:r>
          </w:p>
        </w:tc>
        <w:tc>
          <w:tcPr>
            <w:tcW w:w="0" w:type="auto"/>
            <w:vAlign w:val="center"/>
            <w:hideMark/>
          </w:tcPr>
          <w:p w14:paraId="40D47FB0" w14:textId="77777777" w:rsidR="00B11A02" w:rsidRPr="00B11A02" w:rsidRDefault="00B11A02" w:rsidP="00B11A02">
            <w:pPr>
              <w:ind w:firstLine="731"/>
              <w:rPr>
                <w:rFonts w:ascii="Times New Roman" w:hAnsi="Times New Roman" w:cs="Times New Roman"/>
              </w:rPr>
            </w:pPr>
            <w:r w:rsidRPr="00B11A02">
              <w:rPr>
                <w:rFonts w:ascii="Times New Roman" w:hAnsi="Times New Roman" w:cs="Times New Roman"/>
              </w:rPr>
              <w:t>Achievement of agreed service levels</w:t>
            </w:r>
          </w:p>
        </w:tc>
      </w:tr>
      <w:tr w:rsidR="00B11A02" w:rsidRPr="00B11A02" w14:paraId="2DA43275" w14:textId="77777777">
        <w:trPr>
          <w:tblCellSpacing w:w="15" w:type="dxa"/>
        </w:trPr>
        <w:tc>
          <w:tcPr>
            <w:tcW w:w="0" w:type="auto"/>
            <w:vAlign w:val="center"/>
            <w:hideMark/>
          </w:tcPr>
          <w:p w14:paraId="53899AD4"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Security Compliance</w:t>
            </w:r>
          </w:p>
        </w:tc>
        <w:tc>
          <w:tcPr>
            <w:tcW w:w="0" w:type="auto"/>
            <w:vAlign w:val="center"/>
            <w:hideMark/>
          </w:tcPr>
          <w:p w14:paraId="6105914D" w14:textId="77777777" w:rsidR="00B11A02" w:rsidRPr="00B11A02" w:rsidRDefault="00B11A02" w:rsidP="00B11A02">
            <w:pPr>
              <w:ind w:firstLine="731"/>
              <w:rPr>
                <w:rFonts w:ascii="Times New Roman" w:hAnsi="Times New Roman" w:cs="Times New Roman"/>
              </w:rPr>
            </w:pPr>
            <w:r w:rsidRPr="00B11A02">
              <w:rPr>
                <w:rFonts w:ascii="Times New Roman" w:hAnsi="Times New Roman" w:cs="Times New Roman"/>
              </w:rPr>
              <w:t>Compliance with enterprise security policies</w:t>
            </w:r>
          </w:p>
        </w:tc>
      </w:tr>
      <w:tr w:rsidR="00B11A02" w:rsidRPr="00B11A02" w14:paraId="4BCCBAB4" w14:textId="77777777">
        <w:trPr>
          <w:tblCellSpacing w:w="15" w:type="dxa"/>
        </w:trPr>
        <w:tc>
          <w:tcPr>
            <w:tcW w:w="0" w:type="auto"/>
            <w:vAlign w:val="center"/>
            <w:hideMark/>
          </w:tcPr>
          <w:p w14:paraId="0F30732C"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Regulatory Compliance</w:t>
            </w:r>
          </w:p>
        </w:tc>
        <w:tc>
          <w:tcPr>
            <w:tcW w:w="0" w:type="auto"/>
            <w:vAlign w:val="center"/>
            <w:hideMark/>
          </w:tcPr>
          <w:p w14:paraId="50BF0918" w14:textId="77777777" w:rsidR="00B11A02" w:rsidRPr="00B11A02" w:rsidRDefault="00B11A02" w:rsidP="00B11A02">
            <w:pPr>
              <w:ind w:firstLine="731"/>
              <w:rPr>
                <w:rFonts w:ascii="Times New Roman" w:hAnsi="Times New Roman" w:cs="Times New Roman"/>
              </w:rPr>
            </w:pPr>
            <w:r w:rsidRPr="00B11A02">
              <w:rPr>
                <w:rFonts w:ascii="Times New Roman" w:hAnsi="Times New Roman" w:cs="Times New Roman"/>
              </w:rPr>
              <w:t>Compliance with applicable laws and industry regulations</w:t>
            </w:r>
          </w:p>
        </w:tc>
      </w:tr>
      <w:tr w:rsidR="00B11A02" w:rsidRPr="00B11A02" w14:paraId="49F6B1E9" w14:textId="77777777">
        <w:trPr>
          <w:tblCellSpacing w:w="15" w:type="dxa"/>
        </w:trPr>
        <w:tc>
          <w:tcPr>
            <w:tcW w:w="0" w:type="auto"/>
            <w:vAlign w:val="center"/>
            <w:hideMark/>
          </w:tcPr>
          <w:p w14:paraId="08237531"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Audit Compliance</w:t>
            </w:r>
          </w:p>
        </w:tc>
        <w:tc>
          <w:tcPr>
            <w:tcW w:w="0" w:type="auto"/>
            <w:vAlign w:val="center"/>
            <w:hideMark/>
          </w:tcPr>
          <w:p w14:paraId="53539E8F" w14:textId="77777777" w:rsidR="00B11A02" w:rsidRPr="00B11A02" w:rsidRDefault="00B11A02" w:rsidP="00B11A02">
            <w:pPr>
              <w:ind w:firstLine="731"/>
              <w:rPr>
                <w:rFonts w:ascii="Times New Roman" w:hAnsi="Times New Roman" w:cs="Times New Roman"/>
              </w:rPr>
            </w:pPr>
            <w:r w:rsidRPr="00B11A02">
              <w:rPr>
                <w:rFonts w:ascii="Times New Roman" w:hAnsi="Times New Roman" w:cs="Times New Roman"/>
              </w:rPr>
              <w:t>Support internal and external audit requirements</w:t>
            </w:r>
          </w:p>
        </w:tc>
      </w:tr>
    </w:tbl>
    <w:p w14:paraId="181408F2"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pict w14:anchorId="3BCF52A0">
          <v:rect id="_x0000_i1090" style="width:0;height:1.5pt" o:hralign="center" o:hrstd="t" o:hr="t" fillcolor="#a0a0a0" stroked="f"/>
        </w:pict>
      </w:r>
    </w:p>
    <w:p w14:paraId="53A7E276" w14:textId="77777777" w:rsidR="00B11A02" w:rsidRPr="00B11A02" w:rsidRDefault="00B11A02" w:rsidP="00B11A02">
      <w:pPr>
        <w:rPr>
          <w:rFonts w:ascii="Times New Roman" w:hAnsi="Times New Roman" w:cs="Times New Roman"/>
          <w:b/>
          <w:bCs/>
        </w:rPr>
      </w:pPr>
      <w:r w:rsidRPr="00B11A02">
        <w:rPr>
          <w:rFonts w:ascii="Times New Roman" w:hAnsi="Times New Roman" w:cs="Times New Roman"/>
          <w:b/>
          <w:bCs/>
        </w:rPr>
        <w:t>Risk Management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5491"/>
      </w:tblGrid>
      <w:tr w:rsidR="00B11A02" w:rsidRPr="00B11A02" w14:paraId="759F90DD" w14:textId="77777777">
        <w:trPr>
          <w:tblHeader/>
          <w:tblCellSpacing w:w="15" w:type="dxa"/>
        </w:trPr>
        <w:tc>
          <w:tcPr>
            <w:tcW w:w="0" w:type="auto"/>
            <w:vAlign w:val="center"/>
            <w:hideMark/>
          </w:tcPr>
          <w:p w14:paraId="6AA7ABB2" w14:textId="77777777" w:rsidR="00B11A02" w:rsidRPr="00B11A02" w:rsidRDefault="00B11A02" w:rsidP="00B11A02">
            <w:pPr>
              <w:rPr>
                <w:rFonts w:ascii="Times New Roman" w:hAnsi="Times New Roman" w:cs="Times New Roman"/>
                <w:b/>
                <w:bCs/>
              </w:rPr>
            </w:pPr>
            <w:r w:rsidRPr="00B11A02">
              <w:rPr>
                <w:rFonts w:ascii="Times New Roman" w:hAnsi="Times New Roman" w:cs="Times New Roman"/>
                <w:b/>
                <w:bCs/>
              </w:rPr>
              <w:t>Activity</w:t>
            </w:r>
          </w:p>
        </w:tc>
        <w:tc>
          <w:tcPr>
            <w:tcW w:w="0" w:type="auto"/>
            <w:vAlign w:val="center"/>
            <w:hideMark/>
          </w:tcPr>
          <w:p w14:paraId="3D72BBE8" w14:textId="77777777" w:rsidR="00B11A02" w:rsidRPr="00B11A02" w:rsidRDefault="00B11A02" w:rsidP="00B11A02">
            <w:pPr>
              <w:ind w:firstLine="671"/>
              <w:rPr>
                <w:rFonts w:ascii="Times New Roman" w:hAnsi="Times New Roman" w:cs="Times New Roman"/>
                <w:b/>
                <w:bCs/>
              </w:rPr>
            </w:pPr>
            <w:r w:rsidRPr="00B11A02">
              <w:rPr>
                <w:rFonts w:ascii="Times New Roman" w:hAnsi="Times New Roman" w:cs="Times New Roman"/>
                <w:b/>
                <w:bCs/>
              </w:rPr>
              <w:t>Purpose</w:t>
            </w:r>
          </w:p>
        </w:tc>
      </w:tr>
      <w:tr w:rsidR="00B11A02" w:rsidRPr="00B11A02" w14:paraId="31FFDF58" w14:textId="77777777">
        <w:trPr>
          <w:tblCellSpacing w:w="15" w:type="dxa"/>
        </w:trPr>
        <w:tc>
          <w:tcPr>
            <w:tcW w:w="0" w:type="auto"/>
            <w:vAlign w:val="center"/>
            <w:hideMark/>
          </w:tcPr>
          <w:p w14:paraId="05856979"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Risk Identification</w:t>
            </w:r>
          </w:p>
        </w:tc>
        <w:tc>
          <w:tcPr>
            <w:tcW w:w="0" w:type="auto"/>
            <w:vAlign w:val="center"/>
            <w:hideMark/>
          </w:tcPr>
          <w:p w14:paraId="6A2BEBBF" w14:textId="77777777" w:rsidR="00B11A02" w:rsidRPr="00B11A02" w:rsidRDefault="00B11A02" w:rsidP="00B11A02">
            <w:pPr>
              <w:ind w:firstLine="671"/>
              <w:rPr>
                <w:rFonts w:ascii="Times New Roman" w:hAnsi="Times New Roman" w:cs="Times New Roman"/>
              </w:rPr>
            </w:pPr>
            <w:r w:rsidRPr="00B11A02">
              <w:rPr>
                <w:rFonts w:ascii="Times New Roman" w:hAnsi="Times New Roman" w:cs="Times New Roman"/>
              </w:rPr>
              <w:t>Capture vendor-related risks early</w:t>
            </w:r>
          </w:p>
        </w:tc>
      </w:tr>
      <w:tr w:rsidR="00B11A02" w:rsidRPr="00B11A02" w14:paraId="5A3987FF" w14:textId="77777777">
        <w:trPr>
          <w:tblCellSpacing w:w="15" w:type="dxa"/>
        </w:trPr>
        <w:tc>
          <w:tcPr>
            <w:tcW w:w="0" w:type="auto"/>
            <w:vAlign w:val="center"/>
            <w:hideMark/>
          </w:tcPr>
          <w:p w14:paraId="40280E75"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Risk Assessment</w:t>
            </w:r>
          </w:p>
        </w:tc>
        <w:tc>
          <w:tcPr>
            <w:tcW w:w="0" w:type="auto"/>
            <w:vAlign w:val="center"/>
            <w:hideMark/>
          </w:tcPr>
          <w:p w14:paraId="5BBF7006" w14:textId="77777777" w:rsidR="00B11A02" w:rsidRPr="00B11A02" w:rsidRDefault="00B11A02" w:rsidP="00B11A02">
            <w:pPr>
              <w:ind w:firstLine="671"/>
              <w:rPr>
                <w:rFonts w:ascii="Times New Roman" w:hAnsi="Times New Roman" w:cs="Times New Roman"/>
              </w:rPr>
            </w:pPr>
            <w:r w:rsidRPr="00B11A02">
              <w:rPr>
                <w:rFonts w:ascii="Times New Roman" w:hAnsi="Times New Roman" w:cs="Times New Roman"/>
              </w:rPr>
              <w:t>Evaluate probability and business impact</w:t>
            </w:r>
          </w:p>
        </w:tc>
      </w:tr>
      <w:tr w:rsidR="00B11A02" w:rsidRPr="00B11A02" w14:paraId="285394A9" w14:textId="77777777">
        <w:trPr>
          <w:tblCellSpacing w:w="15" w:type="dxa"/>
        </w:trPr>
        <w:tc>
          <w:tcPr>
            <w:tcW w:w="0" w:type="auto"/>
            <w:vAlign w:val="center"/>
            <w:hideMark/>
          </w:tcPr>
          <w:p w14:paraId="6C23181A"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Mitigation Planning</w:t>
            </w:r>
          </w:p>
        </w:tc>
        <w:tc>
          <w:tcPr>
            <w:tcW w:w="0" w:type="auto"/>
            <w:vAlign w:val="center"/>
            <w:hideMark/>
          </w:tcPr>
          <w:p w14:paraId="19608ED1" w14:textId="77777777" w:rsidR="00B11A02" w:rsidRPr="00B11A02" w:rsidRDefault="00B11A02" w:rsidP="00B11A02">
            <w:pPr>
              <w:ind w:firstLine="671"/>
              <w:rPr>
                <w:rFonts w:ascii="Times New Roman" w:hAnsi="Times New Roman" w:cs="Times New Roman"/>
              </w:rPr>
            </w:pPr>
            <w:r w:rsidRPr="00B11A02">
              <w:rPr>
                <w:rFonts w:ascii="Times New Roman" w:hAnsi="Times New Roman" w:cs="Times New Roman"/>
              </w:rPr>
              <w:t>Define actions to reduce or eliminate risks</w:t>
            </w:r>
          </w:p>
        </w:tc>
      </w:tr>
      <w:tr w:rsidR="00B11A02" w:rsidRPr="00B11A02" w14:paraId="32488A5D" w14:textId="77777777">
        <w:trPr>
          <w:tblCellSpacing w:w="15" w:type="dxa"/>
        </w:trPr>
        <w:tc>
          <w:tcPr>
            <w:tcW w:w="0" w:type="auto"/>
            <w:vAlign w:val="center"/>
            <w:hideMark/>
          </w:tcPr>
          <w:p w14:paraId="297ADBBB"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Compliance Monitoring</w:t>
            </w:r>
          </w:p>
        </w:tc>
        <w:tc>
          <w:tcPr>
            <w:tcW w:w="0" w:type="auto"/>
            <w:vAlign w:val="center"/>
            <w:hideMark/>
          </w:tcPr>
          <w:p w14:paraId="694C6195" w14:textId="77777777" w:rsidR="00B11A02" w:rsidRPr="00B11A02" w:rsidRDefault="00B11A02" w:rsidP="00B11A02">
            <w:pPr>
              <w:ind w:firstLine="671"/>
              <w:rPr>
                <w:rFonts w:ascii="Times New Roman" w:hAnsi="Times New Roman" w:cs="Times New Roman"/>
              </w:rPr>
            </w:pPr>
            <w:r w:rsidRPr="00B11A02">
              <w:rPr>
                <w:rFonts w:ascii="Times New Roman" w:hAnsi="Times New Roman" w:cs="Times New Roman"/>
              </w:rPr>
              <w:t>Verify ongoing compliance with requirements</w:t>
            </w:r>
          </w:p>
        </w:tc>
      </w:tr>
      <w:tr w:rsidR="00B11A02" w:rsidRPr="00B11A02" w14:paraId="15785768" w14:textId="77777777">
        <w:trPr>
          <w:tblCellSpacing w:w="15" w:type="dxa"/>
        </w:trPr>
        <w:tc>
          <w:tcPr>
            <w:tcW w:w="0" w:type="auto"/>
            <w:vAlign w:val="center"/>
            <w:hideMark/>
          </w:tcPr>
          <w:p w14:paraId="23F0E795"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Escalation &amp; Resolution</w:t>
            </w:r>
          </w:p>
        </w:tc>
        <w:tc>
          <w:tcPr>
            <w:tcW w:w="0" w:type="auto"/>
            <w:vAlign w:val="center"/>
            <w:hideMark/>
          </w:tcPr>
          <w:p w14:paraId="6BF0F1C7" w14:textId="77777777" w:rsidR="00B11A02" w:rsidRPr="00B11A02" w:rsidRDefault="00B11A02" w:rsidP="00B11A02">
            <w:pPr>
              <w:ind w:firstLine="671"/>
              <w:rPr>
                <w:rFonts w:ascii="Times New Roman" w:hAnsi="Times New Roman" w:cs="Times New Roman"/>
              </w:rPr>
            </w:pPr>
            <w:r w:rsidRPr="00B11A02">
              <w:rPr>
                <w:rFonts w:ascii="Times New Roman" w:hAnsi="Times New Roman" w:cs="Times New Roman"/>
              </w:rPr>
              <w:t>Escalate critical risks and track corrective actions</w:t>
            </w:r>
          </w:p>
        </w:tc>
      </w:tr>
    </w:tbl>
    <w:p w14:paraId="44BDEADA"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pict w14:anchorId="1BA189A9">
          <v:rect id="_x0000_i1091" style="width:0;height:1.5pt" o:hralign="center" o:hrstd="t" o:hr="t" fillcolor="#a0a0a0" stroked="f"/>
        </w:pict>
      </w:r>
    </w:p>
    <w:p w14:paraId="3EFCE6F1" w14:textId="77777777" w:rsidR="00B11A02" w:rsidRDefault="00B11A02" w:rsidP="00B11A02">
      <w:pPr>
        <w:rPr>
          <w:rFonts w:ascii="Times New Roman" w:hAnsi="Times New Roman" w:cs="Times New Roman"/>
          <w:b/>
          <w:bCs/>
        </w:rPr>
      </w:pPr>
    </w:p>
    <w:p w14:paraId="44E77E45" w14:textId="678045A6" w:rsidR="00B11A02" w:rsidRPr="00B11A02" w:rsidRDefault="00B11A02" w:rsidP="00B11A02">
      <w:pPr>
        <w:rPr>
          <w:rFonts w:ascii="Times New Roman" w:hAnsi="Times New Roman" w:cs="Times New Roman"/>
          <w:b/>
          <w:bCs/>
        </w:rPr>
      </w:pPr>
      <w:r w:rsidRPr="00B11A02">
        <w:rPr>
          <w:rFonts w:ascii="Times New Roman" w:hAnsi="Times New Roman" w:cs="Times New Roman"/>
          <w:b/>
          <w:bCs/>
        </w:rPr>
        <w:lastRenderedPageBreak/>
        <w:t>Governance Controls</w:t>
      </w:r>
    </w:p>
    <w:p w14:paraId="7FE3E512" w14:textId="77777777" w:rsidR="00B11A02" w:rsidRPr="00B11A02" w:rsidRDefault="00B11A02" w:rsidP="00B11A02">
      <w:pPr>
        <w:numPr>
          <w:ilvl w:val="0"/>
          <w:numId w:val="2"/>
        </w:numPr>
        <w:rPr>
          <w:rFonts w:ascii="Times New Roman" w:hAnsi="Times New Roman" w:cs="Times New Roman"/>
        </w:rPr>
      </w:pPr>
      <w:r w:rsidRPr="00B11A02">
        <w:rPr>
          <w:rFonts w:ascii="Times New Roman" w:hAnsi="Times New Roman" w:cs="Times New Roman"/>
        </w:rPr>
        <w:t>Perform vendor risk assessments before engagement.</w:t>
      </w:r>
    </w:p>
    <w:p w14:paraId="64D7D2BB" w14:textId="77777777" w:rsidR="00B11A02" w:rsidRPr="00B11A02" w:rsidRDefault="00B11A02" w:rsidP="00B11A02">
      <w:pPr>
        <w:numPr>
          <w:ilvl w:val="0"/>
          <w:numId w:val="2"/>
        </w:numPr>
        <w:rPr>
          <w:rFonts w:ascii="Times New Roman" w:hAnsi="Times New Roman" w:cs="Times New Roman"/>
        </w:rPr>
      </w:pPr>
      <w:r w:rsidRPr="00B11A02">
        <w:rPr>
          <w:rFonts w:ascii="Times New Roman" w:hAnsi="Times New Roman" w:cs="Times New Roman"/>
        </w:rPr>
        <w:t>Review compliance status during governance meetings.</w:t>
      </w:r>
    </w:p>
    <w:p w14:paraId="46BC3F0D" w14:textId="77777777" w:rsidR="00B11A02" w:rsidRPr="00B11A02" w:rsidRDefault="00B11A02" w:rsidP="00B11A02">
      <w:pPr>
        <w:numPr>
          <w:ilvl w:val="0"/>
          <w:numId w:val="2"/>
        </w:numPr>
        <w:rPr>
          <w:rFonts w:ascii="Times New Roman" w:hAnsi="Times New Roman" w:cs="Times New Roman"/>
        </w:rPr>
      </w:pPr>
      <w:r w:rsidRPr="00B11A02">
        <w:rPr>
          <w:rFonts w:ascii="Times New Roman" w:hAnsi="Times New Roman" w:cs="Times New Roman"/>
        </w:rPr>
        <w:t>Maintain a Vendor Risk Register.</w:t>
      </w:r>
    </w:p>
    <w:p w14:paraId="3ECBBDE0" w14:textId="77777777" w:rsidR="00B11A02" w:rsidRPr="00B11A02" w:rsidRDefault="00B11A02" w:rsidP="00B11A02">
      <w:pPr>
        <w:numPr>
          <w:ilvl w:val="0"/>
          <w:numId w:val="2"/>
        </w:numPr>
        <w:rPr>
          <w:rFonts w:ascii="Times New Roman" w:hAnsi="Times New Roman" w:cs="Times New Roman"/>
        </w:rPr>
      </w:pPr>
      <w:r w:rsidRPr="00B11A02">
        <w:rPr>
          <w:rFonts w:ascii="Times New Roman" w:hAnsi="Times New Roman" w:cs="Times New Roman"/>
        </w:rPr>
        <w:t>Escalate high-impact risks promptly.</w:t>
      </w:r>
    </w:p>
    <w:p w14:paraId="29400049" w14:textId="77777777" w:rsidR="00B11A02" w:rsidRPr="00B11A02" w:rsidRDefault="00B11A02" w:rsidP="00B11A02">
      <w:pPr>
        <w:numPr>
          <w:ilvl w:val="0"/>
          <w:numId w:val="2"/>
        </w:numPr>
        <w:rPr>
          <w:rFonts w:ascii="Times New Roman" w:hAnsi="Times New Roman" w:cs="Times New Roman"/>
        </w:rPr>
      </w:pPr>
      <w:r w:rsidRPr="00B11A02">
        <w:rPr>
          <w:rFonts w:ascii="Times New Roman" w:hAnsi="Times New Roman" w:cs="Times New Roman"/>
        </w:rPr>
        <w:t>Conduct periodic compliance reviews and audits.</w:t>
      </w:r>
    </w:p>
    <w:p w14:paraId="1757B60E" w14:textId="77777777" w:rsidR="00B11A02" w:rsidRPr="00B11A02" w:rsidRDefault="00B11A02" w:rsidP="00B11A02">
      <w:pPr>
        <w:numPr>
          <w:ilvl w:val="0"/>
          <w:numId w:val="2"/>
        </w:numPr>
        <w:rPr>
          <w:rFonts w:ascii="Times New Roman" w:hAnsi="Times New Roman" w:cs="Times New Roman"/>
        </w:rPr>
      </w:pPr>
      <w:r w:rsidRPr="00B11A02">
        <w:rPr>
          <w:rFonts w:ascii="Times New Roman" w:hAnsi="Times New Roman" w:cs="Times New Roman"/>
        </w:rPr>
        <w:t>Track mitigation actions until closure.</w:t>
      </w:r>
    </w:p>
    <w:p w14:paraId="1AF00025"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pict w14:anchorId="1F2AE174">
          <v:rect id="_x0000_i1092" style="width:0;height:1.5pt" o:hralign="center" o:hrstd="t" o:hr="t" fillcolor="#a0a0a0" stroked="f"/>
        </w:pict>
      </w:r>
    </w:p>
    <w:p w14:paraId="044242BE" w14:textId="77777777" w:rsidR="00B11A02" w:rsidRPr="00B11A02" w:rsidRDefault="00B11A02" w:rsidP="00B11A02">
      <w:pPr>
        <w:rPr>
          <w:rFonts w:ascii="Times New Roman" w:hAnsi="Times New Roman" w:cs="Times New Roman"/>
          <w:b/>
          <w:bCs/>
        </w:rPr>
      </w:pPr>
      <w:r w:rsidRPr="00B11A02">
        <w:rPr>
          <w:rFonts w:ascii="Times New Roman" w:hAnsi="Times New Roman" w:cs="Times New Roman"/>
          <w:b/>
          <w:bCs/>
        </w:rPr>
        <w:t>Governance Outputs</w:t>
      </w:r>
    </w:p>
    <w:p w14:paraId="7D072872" w14:textId="77777777" w:rsidR="00B11A02" w:rsidRPr="00B11A02" w:rsidRDefault="00B11A02" w:rsidP="00B11A02">
      <w:pPr>
        <w:numPr>
          <w:ilvl w:val="0"/>
          <w:numId w:val="3"/>
        </w:numPr>
        <w:rPr>
          <w:rFonts w:ascii="Times New Roman" w:hAnsi="Times New Roman" w:cs="Times New Roman"/>
        </w:rPr>
      </w:pPr>
      <w:r w:rsidRPr="00B11A02">
        <w:rPr>
          <w:rFonts w:ascii="Times New Roman" w:hAnsi="Times New Roman" w:cs="Times New Roman"/>
        </w:rPr>
        <w:t>Vendor Risk Register</w:t>
      </w:r>
    </w:p>
    <w:p w14:paraId="16A78AD0" w14:textId="77777777" w:rsidR="00B11A02" w:rsidRPr="00B11A02" w:rsidRDefault="00B11A02" w:rsidP="00B11A02">
      <w:pPr>
        <w:numPr>
          <w:ilvl w:val="0"/>
          <w:numId w:val="3"/>
        </w:numPr>
        <w:rPr>
          <w:rFonts w:ascii="Times New Roman" w:hAnsi="Times New Roman" w:cs="Times New Roman"/>
        </w:rPr>
      </w:pPr>
      <w:r w:rsidRPr="00B11A02">
        <w:rPr>
          <w:rFonts w:ascii="Times New Roman" w:hAnsi="Times New Roman" w:cs="Times New Roman"/>
        </w:rPr>
        <w:t>Compliance Assessment Report</w:t>
      </w:r>
    </w:p>
    <w:p w14:paraId="34850888" w14:textId="77777777" w:rsidR="00B11A02" w:rsidRPr="00B11A02" w:rsidRDefault="00B11A02" w:rsidP="00B11A02">
      <w:pPr>
        <w:numPr>
          <w:ilvl w:val="0"/>
          <w:numId w:val="3"/>
        </w:numPr>
        <w:rPr>
          <w:rFonts w:ascii="Times New Roman" w:hAnsi="Times New Roman" w:cs="Times New Roman"/>
        </w:rPr>
      </w:pPr>
      <w:r w:rsidRPr="00B11A02">
        <w:rPr>
          <w:rFonts w:ascii="Times New Roman" w:hAnsi="Times New Roman" w:cs="Times New Roman"/>
        </w:rPr>
        <w:t>Risk Mitigation Plan</w:t>
      </w:r>
    </w:p>
    <w:p w14:paraId="6EA5215F" w14:textId="77777777" w:rsidR="00B11A02" w:rsidRPr="00B11A02" w:rsidRDefault="00B11A02" w:rsidP="00B11A02">
      <w:pPr>
        <w:numPr>
          <w:ilvl w:val="0"/>
          <w:numId w:val="3"/>
        </w:numPr>
        <w:rPr>
          <w:rFonts w:ascii="Times New Roman" w:hAnsi="Times New Roman" w:cs="Times New Roman"/>
        </w:rPr>
      </w:pPr>
      <w:r w:rsidRPr="00B11A02">
        <w:rPr>
          <w:rFonts w:ascii="Times New Roman" w:hAnsi="Times New Roman" w:cs="Times New Roman"/>
        </w:rPr>
        <w:t>Audit Findings Report</w:t>
      </w:r>
    </w:p>
    <w:p w14:paraId="4FFE1CCB" w14:textId="77777777" w:rsidR="00B11A02" w:rsidRPr="00B11A02" w:rsidRDefault="00B11A02" w:rsidP="00B11A02">
      <w:pPr>
        <w:numPr>
          <w:ilvl w:val="0"/>
          <w:numId w:val="3"/>
        </w:numPr>
        <w:rPr>
          <w:rFonts w:ascii="Times New Roman" w:hAnsi="Times New Roman" w:cs="Times New Roman"/>
        </w:rPr>
      </w:pPr>
      <w:r w:rsidRPr="00B11A02">
        <w:rPr>
          <w:rFonts w:ascii="Times New Roman" w:hAnsi="Times New Roman" w:cs="Times New Roman"/>
        </w:rPr>
        <w:t>Vendor Governance Dashboard</w:t>
      </w:r>
    </w:p>
    <w:p w14:paraId="62A36525"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pict w14:anchorId="4B17D670">
          <v:rect id="_x0000_i1093" style="width:0;height:1.5pt" o:hralign="center" o:hrstd="t" o:hr="t" fillcolor="#a0a0a0" stroked="f"/>
        </w:pict>
      </w:r>
    </w:p>
    <w:p w14:paraId="316C2EA2" w14:textId="77777777" w:rsidR="00B11A02" w:rsidRPr="00B11A02" w:rsidRDefault="00B11A02" w:rsidP="00B11A02">
      <w:pPr>
        <w:rPr>
          <w:rFonts w:ascii="Times New Roman" w:hAnsi="Times New Roman" w:cs="Times New Roman"/>
          <w:b/>
          <w:bCs/>
        </w:rPr>
      </w:pPr>
      <w:r w:rsidRPr="00B11A02">
        <w:rPr>
          <w:rFonts w:ascii="Times New Roman" w:hAnsi="Times New Roman" w:cs="Times New Roman"/>
          <w:b/>
          <w:bCs/>
        </w:rPr>
        <w:t>Expected Outcome</w:t>
      </w:r>
    </w:p>
    <w:p w14:paraId="1E45CFCD"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A structured governance approach that proactively manages vendor risks, ensures regulatory and contractual compliance, and strengthens delivery resilience through continuous monitoring and governance.</w:t>
      </w:r>
    </w:p>
    <w:p w14:paraId="7741A1DE"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pict w14:anchorId="6C8A6279">
          <v:rect id="_x0000_i1094" style="width:0;height:1.5pt" o:hralign="center" o:hrstd="t" o:hr="t" fillcolor="#a0a0a0" stroked="f"/>
        </w:pict>
      </w:r>
    </w:p>
    <w:p w14:paraId="2BEBBCE8" w14:textId="77777777" w:rsidR="00B11A02" w:rsidRPr="00B11A02" w:rsidRDefault="00B11A02" w:rsidP="00B11A02">
      <w:pPr>
        <w:rPr>
          <w:rFonts w:ascii="Times New Roman" w:hAnsi="Times New Roman" w:cs="Times New Roman"/>
          <w:b/>
          <w:bCs/>
        </w:rPr>
      </w:pPr>
      <w:r w:rsidRPr="00B11A02">
        <w:rPr>
          <w:rFonts w:ascii="Times New Roman" w:hAnsi="Times New Roman" w:cs="Times New Roman"/>
          <w:b/>
          <w:bCs/>
        </w:rPr>
        <w:t>Key Insight</w:t>
      </w:r>
    </w:p>
    <w:p w14:paraId="0DBAE27B" w14:textId="77777777" w:rsidR="00B11A02" w:rsidRPr="00B11A02" w:rsidRDefault="00B11A02" w:rsidP="00B11A02">
      <w:pPr>
        <w:rPr>
          <w:rFonts w:ascii="Times New Roman" w:hAnsi="Times New Roman" w:cs="Times New Roman"/>
        </w:rPr>
      </w:pPr>
      <w:r w:rsidRPr="00B11A02">
        <w:rPr>
          <w:rFonts w:ascii="Times New Roman" w:hAnsi="Times New Roman" w:cs="Times New Roman"/>
        </w:rPr>
        <w:t>Vendor governance extends beyond delivery performance. Organizations achieve sustainable delivery success when vendor risks are identified early, compliance is continuously monitored, and mitigation actions are executed before risks become business disruptions.</w:t>
      </w:r>
    </w:p>
    <w:p w14:paraId="499E23B4" w14:textId="77777777" w:rsidR="00090554" w:rsidRPr="00B11A02" w:rsidRDefault="00090554">
      <w:pPr>
        <w:rPr>
          <w:rFonts w:ascii="Times New Roman" w:hAnsi="Times New Roman" w:cs="Times New Roman"/>
        </w:rPr>
      </w:pPr>
    </w:p>
    <w:sectPr w:rsidR="00090554" w:rsidRPr="00B11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B10F0"/>
    <w:multiLevelType w:val="multilevel"/>
    <w:tmpl w:val="FBEE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3729FB"/>
    <w:multiLevelType w:val="multilevel"/>
    <w:tmpl w:val="7D0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8D6AA1"/>
    <w:multiLevelType w:val="multilevel"/>
    <w:tmpl w:val="FCF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160874">
    <w:abstractNumId w:val="0"/>
  </w:num>
  <w:num w:numId="2" w16cid:durableId="808131057">
    <w:abstractNumId w:val="1"/>
  </w:num>
  <w:num w:numId="3" w16cid:durableId="473908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A02"/>
    <w:rsid w:val="00090554"/>
    <w:rsid w:val="008A2E8C"/>
    <w:rsid w:val="00B11A02"/>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4E3F8"/>
  <w15:chartTrackingRefBased/>
  <w15:docId w15:val="{DE55D220-0E6F-496A-BAD4-11B0C198D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A02"/>
    <w:rPr>
      <w:rFonts w:eastAsiaTheme="majorEastAsia" w:cstheme="majorBidi"/>
      <w:color w:val="272727" w:themeColor="text1" w:themeTint="D8"/>
    </w:rPr>
  </w:style>
  <w:style w:type="paragraph" w:styleId="Title">
    <w:name w:val="Title"/>
    <w:basedOn w:val="Normal"/>
    <w:next w:val="Normal"/>
    <w:link w:val="TitleChar"/>
    <w:uiPriority w:val="10"/>
    <w:qFormat/>
    <w:rsid w:val="00B11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A02"/>
    <w:pPr>
      <w:spacing w:before="160"/>
      <w:jc w:val="center"/>
    </w:pPr>
    <w:rPr>
      <w:i/>
      <w:iCs/>
      <w:color w:val="404040" w:themeColor="text1" w:themeTint="BF"/>
    </w:rPr>
  </w:style>
  <w:style w:type="character" w:customStyle="1" w:styleId="QuoteChar">
    <w:name w:val="Quote Char"/>
    <w:basedOn w:val="DefaultParagraphFont"/>
    <w:link w:val="Quote"/>
    <w:uiPriority w:val="29"/>
    <w:rsid w:val="00B11A02"/>
    <w:rPr>
      <w:i/>
      <w:iCs/>
      <w:color w:val="404040" w:themeColor="text1" w:themeTint="BF"/>
    </w:rPr>
  </w:style>
  <w:style w:type="paragraph" w:styleId="ListParagraph">
    <w:name w:val="List Paragraph"/>
    <w:basedOn w:val="Normal"/>
    <w:uiPriority w:val="34"/>
    <w:qFormat/>
    <w:rsid w:val="00B11A02"/>
    <w:pPr>
      <w:ind w:left="720"/>
      <w:contextualSpacing/>
    </w:pPr>
  </w:style>
  <w:style w:type="character" w:styleId="IntenseEmphasis">
    <w:name w:val="Intense Emphasis"/>
    <w:basedOn w:val="DefaultParagraphFont"/>
    <w:uiPriority w:val="21"/>
    <w:qFormat/>
    <w:rsid w:val="00B11A02"/>
    <w:rPr>
      <w:i/>
      <w:iCs/>
      <w:color w:val="0F4761" w:themeColor="accent1" w:themeShade="BF"/>
    </w:rPr>
  </w:style>
  <w:style w:type="paragraph" w:styleId="IntenseQuote">
    <w:name w:val="Intense Quote"/>
    <w:basedOn w:val="Normal"/>
    <w:next w:val="Normal"/>
    <w:link w:val="IntenseQuoteChar"/>
    <w:uiPriority w:val="30"/>
    <w:qFormat/>
    <w:rsid w:val="00B11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A02"/>
    <w:rPr>
      <w:i/>
      <w:iCs/>
      <w:color w:val="0F4761" w:themeColor="accent1" w:themeShade="BF"/>
    </w:rPr>
  </w:style>
  <w:style w:type="character" w:styleId="IntenseReference">
    <w:name w:val="Intense Reference"/>
    <w:basedOn w:val="DefaultParagraphFont"/>
    <w:uiPriority w:val="32"/>
    <w:qFormat/>
    <w:rsid w:val="00B11A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374</Words>
  <Characters>2744</Characters>
  <Application>Microsoft Office Word</Application>
  <DocSecurity>0</DocSecurity>
  <Lines>47</Lines>
  <Paragraphs>31</Paragraphs>
  <ScaleCrop>false</ScaleCrop>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2026-06-29T12:34:00Z</dcterms:created>
  <dcterms:modified xsi:type="dcterms:W3CDTF">2026-06-29T12:35:00Z</dcterms:modified>
</cp:coreProperties>
</file>