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2EC5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1F6C06">
        <w:rPr>
          <w:rFonts w:ascii="Times New Roman" w:hAnsi="Times New Roman" w:cs="Times New Roman"/>
          <w:b/>
          <w:bCs/>
          <w:color w:val="E97132" w:themeColor="accent2"/>
        </w:rPr>
        <w:t>Backlog Governance RACI</w:t>
      </w:r>
    </w:p>
    <w:p w14:paraId="2627F7E3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pict w14:anchorId="26AB0362">
          <v:rect id="_x0000_i1061" style="width:0;height:1.5pt" o:hralign="center" o:hrstd="t" o:hr="t" fillcolor="#a0a0a0" stroked="f"/>
        </w:pict>
      </w:r>
    </w:p>
    <w:p w14:paraId="665D7B68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</w:rPr>
      </w:pPr>
      <w:r w:rsidRPr="001F6C06">
        <w:rPr>
          <w:rFonts w:ascii="Times New Roman" w:hAnsi="Times New Roman" w:cs="Times New Roman"/>
          <w:b/>
          <w:bCs/>
        </w:rPr>
        <w:t>Overview</w:t>
      </w:r>
    </w:p>
    <w:p w14:paraId="2B54361D" w14:textId="52DF3740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 xml:space="preserve">The Backlog Governance RACI defines roles and responsibilities for managing, prioritizing, refining, and governing backlog items within the Delivery Command </w:t>
      </w:r>
      <w:r w:rsidRPr="001F6C06">
        <w:rPr>
          <w:rFonts w:ascii="Times New Roman" w:hAnsi="Times New Roman" w:cs="Times New Roman"/>
        </w:rPr>
        <w:t>Centre</w:t>
      </w:r>
      <w:r w:rsidRPr="001F6C06">
        <w:rPr>
          <w:rFonts w:ascii="Times New Roman" w:hAnsi="Times New Roman" w:cs="Times New Roman"/>
        </w:rPr>
        <w:t>.</w:t>
      </w:r>
    </w:p>
    <w:p w14:paraId="58ACB2ED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The objective is to establish clear ownership, accountability, and decision-making responsibilities across business and delivery stakeholders.</w:t>
      </w:r>
    </w:p>
    <w:p w14:paraId="7459175E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pict w14:anchorId="09AD8698">
          <v:rect id="_x0000_i1062" style="width:0;height:1.5pt" o:hralign="center" o:hrstd="t" o:hr="t" fillcolor="#a0a0a0" stroked="f"/>
        </w:pict>
      </w:r>
    </w:p>
    <w:p w14:paraId="18E27939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</w:rPr>
      </w:pPr>
      <w:r w:rsidRPr="001F6C06">
        <w:rPr>
          <w:rFonts w:ascii="Times New Roman" w:hAnsi="Times New Roman" w:cs="Times New Roman"/>
          <w:b/>
          <w:bCs/>
        </w:rPr>
        <w:t>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248"/>
        <w:gridCol w:w="1204"/>
        <w:gridCol w:w="1749"/>
        <w:gridCol w:w="1223"/>
        <w:gridCol w:w="1681"/>
      </w:tblGrid>
      <w:tr w:rsidR="001F6C06" w:rsidRPr="001F6C06" w14:paraId="25EC2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12DCA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566D0F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AA2A7A6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Delivery Lead</w:t>
            </w:r>
          </w:p>
        </w:tc>
        <w:tc>
          <w:tcPr>
            <w:tcW w:w="0" w:type="auto"/>
            <w:vAlign w:val="center"/>
            <w:hideMark/>
          </w:tcPr>
          <w:p w14:paraId="0D0664EC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495A6E80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Delivery Team</w:t>
            </w:r>
          </w:p>
        </w:tc>
        <w:tc>
          <w:tcPr>
            <w:tcW w:w="0" w:type="auto"/>
            <w:vAlign w:val="center"/>
            <w:hideMark/>
          </w:tcPr>
          <w:p w14:paraId="2D4E0A41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Governance Forum</w:t>
            </w:r>
          </w:p>
        </w:tc>
      </w:tr>
      <w:tr w:rsidR="001F6C06" w:rsidRPr="001F6C06" w14:paraId="5843C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3ECC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Demand Submission</w:t>
            </w:r>
          </w:p>
        </w:tc>
        <w:tc>
          <w:tcPr>
            <w:tcW w:w="0" w:type="auto"/>
            <w:vAlign w:val="center"/>
            <w:hideMark/>
          </w:tcPr>
          <w:p w14:paraId="6981FB89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9BB879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300BD8C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E745131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F5B9A85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7F5EE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E7F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Demand Assessment</w:t>
            </w:r>
          </w:p>
        </w:tc>
        <w:tc>
          <w:tcPr>
            <w:tcW w:w="0" w:type="auto"/>
            <w:vAlign w:val="center"/>
            <w:hideMark/>
          </w:tcPr>
          <w:p w14:paraId="411F3616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6AB78A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10294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90BBA0B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1ED158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1753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D08A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Backlog Ownership</w:t>
            </w:r>
          </w:p>
        </w:tc>
        <w:tc>
          <w:tcPr>
            <w:tcW w:w="0" w:type="auto"/>
            <w:vAlign w:val="center"/>
            <w:hideMark/>
          </w:tcPr>
          <w:p w14:paraId="72BB35CA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130B89BC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AFB4CF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BB835ED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4F99EF0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1E923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874F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5308D649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11A0A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4C5931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C068DAE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764718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</w:tr>
      <w:tr w:rsidR="001F6C06" w:rsidRPr="001F6C06" w14:paraId="4000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6FDC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Backlog Refinement</w:t>
            </w:r>
          </w:p>
        </w:tc>
        <w:tc>
          <w:tcPr>
            <w:tcW w:w="0" w:type="auto"/>
            <w:vAlign w:val="center"/>
            <w:hideMark/>
          </w:tcPr>
          <w:p w14:paraId="67634B46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4B9C09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AADFCC7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C753A1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CE0328F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460A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DEAD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Estimation</w:t>
            </w:r>
          </w:p>
        </w:tc>
        <w:tc>
          <w:tcPr>
            <w:tcW w:w="0" w:type="auto"/>
            <w:vAlign w:val="center"/>
            <w:hideMark/>
          </w:tcPr>
          <w:p w14:paraId="3F6390E1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B9CF4B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525BFF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AA000C2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749D204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42B6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B5DA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Dependency Review</w:t>
            </w:r>
          </w:p>
        </w:tc>
        <w:tc>
          <w:tcPr>
            <w:tcW w:w="0" w:type="auto"/>
            <w:vAlign w:val="center"/>
            <w:hideMark/>
          </w:tcPr>
          <w:p w14:paraId="585F2A0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DB894F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622F7BD5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AE75F1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9EF770B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08B76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755B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Risk Review</w:t>
            </w:r>
          </w:p>
        </w:tc>
        <w:tc>
          <w:tcPr>
            <w:tcW w:w="0" w:type="auto"/>
            <w:vAlign w:val="center"/>
            <w:hideMark/>
          </w:tcPr>
          <w:p w14:paraId="4CF711E7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76AFD9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0D44E50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125B04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3A6167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5A78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A2C2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Readiness Validation</w:t>
            </w:r>
          </w:p>
        </w:tc>
        <w:tc>
          <w:tcPr>
            <w:tcW w:w="0" w:type="auto"/>
            <w:vAlign w:val="center"/>
            <w:hideMark/>
          </w:tcPr>
          <w:p w14:paraId="6B0FD60C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93880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D5CC76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117787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233369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</w:tr>
      <w:tr w:rsidR="001F6C06" w:rsidRPr="001F6C06" w14:paraId="39A5A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F0DE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Governance Review</w:t>
            </w:r>
          </w:p>
        </w:tc>
        <w:tc>
          <w:tcPr>
            <w:tcW w:w="0" w:type="auto"/>
            <w:vAlign w:val="center"/>
            <w:hideMark/>
          </w:tcPr>
          <w:p w14:paraId="78454DF6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5CCC3FD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8790DB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CD1A7E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97E3435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A/R</w:t>
            </w:r>
          </w:p>
        </w:tc>
      </w:tr>
      <w:tr w:rsidR="001F6C06" w:rsidRPr="001F6C06" w14:paraId="4B65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AC86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Priority Change Approval</w:t>
            </w:r>
          </w:p>
        </w:tc>
        <w:tc>
          <w:tcPr>
            <w:tcW w:w="0" w:type="auto"/>
            <w:vAlign w:val="center"/>
            <w:hideMark/>
          </w:tcPr>
          <w:p w14:paraId="1FE95983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1BBF58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1887B20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BE81A2B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240CF85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</w:tr>
    </w:tbl>
    <w:p w14:paraId="2197C842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pict w14:anchorId="61112D57">
          <v:rect id="_x0000_i1063" style="width:0;height:1.5pt" o:hralign="center" o:hrstd="t" o:hr="t" fillcolor="#a0a0a0" stroked="f"/>
        </w:pict>
      </w:r>
    </w:p>
    <w:p w14:paraId="56EA52EF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</w:rPr>
      </w:pPr>
      <w:r w:rsidRPr="001F6C06">
        <w:rPr>
          <w:rFonts w:ascii="Times New Roman" w:hAnsi="Times New Roman" w:cs="Times New Roman"/>
          <w:b/>
          <w:bCs/>
        </w:rPr>
        <w:lastRenderedPageBreak/>
        <w:t>RACI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4801"/>
      </w:tblGrid>
      <w:tr w:rsidR="001F6C06" w:rsidRPr="001F6C06" w14:paraId="20708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C752F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FA88E87" w14:textId="77777777" w:rsidR="001F6C06" w:rsidRPr="001F6C06" w:rsidRDefault="001F6C06" w:rsidP="001F6C06">
            <w:pPr>
              <w:rPr>
                <w:rFonts w:ascii="Times New Roman" w:hAnsi="Times New Roman" w:cs="Times New Roman"/>
                <w:b/>
                <w:bCs/>
              </w:rPr>
            </w:pPr>
            <w:r w:rsidRPr="001F6C0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F6C06" w:rsidRPr="001F6C06" w14:paraId="67E4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6437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5CC40F5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Responsible – Performs the activity</w:t>
            </w:r>
          </w:p>
        </w:tc>
      </w:tr>
      <w:tr w:rsidR="001F6C06" w:rsidRPr="001F6C06" w14:paraId="3F78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A54C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EFA32B8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Accountable – Owns the outcome and decision</w:t>
            </w:r>
          </w:p>
        </w:tc>
      </w:tr>
      <w:tr w:rsidR="001F6C06" w:rsidRPr="001F6C06" w14:paraId="1CF47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7FF0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20D768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Consulted – Provides input and expertise</w:t>
            </w:r>
          </w:p>
        </w:tc>
      </w:tr>
      <w:tr w:rsidR="001F6C06" w:rsidRPr="001F6C06" w14:paraId="33C8F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4F22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55CCA47" w14:textId="77777777" w:rsidR="001F6C06" w:rsidRPr="001F6C06" w:rsidRDefault="001F6C06" w:rsidP="001F6C06">
            <w:pPr>
              <w:rPr>
                <w:rFonts w:ascii="Times New Roman" w:hAnsi="Times New Roman" w:cs="Times New Roman"/>
              </w:rPr>
            </w:pPr>
            <w:r w:rsidRPr="001F6C06">
              <w:rPr>
                <w:rFonts w:ascii="Times New Roman" w:hAnsi="Times New Roman" w:cs="Times New Roman"/>
              </w:rPr>
              <w:t>Informed – Kept aware of progress and decisions</w:t>
            </w:r>
          </w:p>
        </w:tc>
      </w:tr>
    </w:tbl>
    <w:p w14:paraId="403D2D3A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pict w14:anchorId="6B053E51">
          <v:rect id="_x0000_i1064" style="width:0;height:1.5pt" o:hralign="center" o:hrstd="t" o:hr="t" fillcolor="#a0a0a0" stroked="f"/>
        </w:pict>
      </w:r>
    </w:p>
    <w:p w14:paraId="05FCD1EE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</w:rPr>
      </w:pPr>
      <w:r w:rsidRPr="001F6C06">
        <w:rPr>
          <w:rFonts w:ascii="Times New Roman" w:hAnsi="Times New Roman" w:cs="Times New Roman"/>
          <w:b/>
          <w:bCs/>
        </w:rPr>
        <w:t>Governance Principles</w:t>
      </w:r>
    </w:p>
    <w:p w14:paraId="4F0E525B" w14:textId="77777777" w:rsidR="001F6C06" w:rsidRPr="001F6C06" w:rsidRDefault="001F6C06" w:rsidP="001F6C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Every backlog item must have a clearly identified owner.</w:t>
      </w:r>
    </w:p>
    <w:p w14:paraId="737A3E0E" w14:textId="77777777" w:rsidR="001F6C06" w:rsidRPr="001F6C06" w:rsidRDefault="001F6C06" w:rsidP="001F6C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Prioritization decisions should involve both business and delivery stakeholders.</w:t>
      </w:r>
    </w:p>
    <w:p w14:paraId="33AB867D" w14:textId="77777777" w:rsidR="001F6C06" w:rsidRPr="001F6C06" w:rsidRDefault="001F6C06" w:rsidP="001F6C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Governance reviews provide oversight without creating delivery bottlenecks.</w:t>
      </w:r>
    </w:p>
    <w:p w14:paraId="5653365C" w14:textId="77777777" w:rsidR="001F6C06" w:rsidRPr="001F6C06" w:rsidRDefault="001F6C06" w:rsidP="001F6C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Accountability for backlog quality remains with the Product Owner.</w:t>
      </w:r>
    </w:p>
    <w:p w14:paraId="5159562A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pict w14:anchorId="43348FDA">
          <v:rect id="_x0000_i1065" style="width:0;height:1.5pt" o:hralign="center" o:hrstd="t" o:hr="t" fillcolor="#a0a0a0" stroked="f"/>
        </w:pict>
      </w:r>
    </w:p>
    <w:p w14:paraId="6B4B74ED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</w:rPr>
      </w:pPr>
      <w:r w:rsidRPr="001F6C06">
        <w:rPr>
          <w:rFonts w:ascii="Times New Roman" w:hAnsi="Times New Roman" w:cs="Times New Roman"/>
          <w:b/>
          <w:bCs/>
        </w:rPr>
        <w:t>Expected Outcome</w:t>
      </w:r>
    </w:p>
    <w:p w14:paraId="48D1A8F9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Clear ownership, improved decision-making, and consistent governance of backlog activities across the delivery lifecycle.</w:t>
      </w:r>
    </w:p>
    <w:p w14:paraId="2E4C427B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pict w14:anchorId="527F83B9">
          <v:rect id="_x0000_i1066" style="width:0;height:1.5pt" o:hralign="center" o:hrstd="t" o:hr="t" fillcolor="#a0a0a0" stroked="f"/>
        </w:pict>
      </w:r>
    </w:p>
    <w:p w14:paraId="3E9F4359" w14:textId="77777777" w:rsidR="001F6C06" w:rsidRPr="001F6C06" w:rsidRDefault="001F6C06" w:rsidP="001F6C06">
      <w:pPr>
        <w:rPr>
          <w:rFonts w:ascii="Times New Roman" w:hAnsi="Times New Roman" w:cs="Times New Roman"/>
          <w:b/>
          <w:bCs/>
        </w:rPr>
      </w:pPr>
      <w:r w:rsidRPr="001F6C06">
        <w:rPr>
          <w:rFonts w:ascii="Times New Roman" w:hAnsi="Times New Roman" w:cs="Times New Roman"/>
          <w:b/>
          <w:bCs/>
        </w:rPr>
        <w:t>Key Insight</w:t>
      </w:r>
    </w:p>
    <w:p w14:paraId="7EE77EED" w14:textId="77777777" w:rsidR="001F6C06" w:rsidRPr="001F6C06" w:rsidRDefault="001F6C06" w:rsidP="001F6C06">
      <w:pPr>
        <w:rPr>
          <w:rFonts w:ascii="Times New Roman" w:hAnsi="Times New Roman" w:cs="Times New Roman"/>
        </w:rPr>
      </w:pPr>
      <w:r w:rsidRPr="001F6C06">
        <w:rPr>
          <w:rFonts w:ascii="Times New Roman" w:hAnsi="Times New Roman" w:cs="Times New Roman"/>
        </w:rPr>
        <w:t>Strong backlog governance is achieved when responsibilities are clearly defined, decisions are transparent, and accountability is understood by all stakeholders.</w:t>
      </w:r>
    </w:p>
    <w:p w14:paraId="40892A6E" w14:textId="77777777" w:rsidR="00090554" w:rsidRPr="001F6C06" w:rsidRDefault="00090554">
      <w:pPr>
        <w:rPr>
          <w:rFonts w:ascii="Times New Roman" w:hAnsi="Times New Roman" w:cs="Times New Roman"/>
        </w:rPr>
      </w:pPr>
    </w:p>
    <w:sectPr w:rsidR="00090554" w:rsidRPr="001F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07D1B"/>
    <w:multiLevelType w:val="multilevel"/>
    <w:tmpl w:val="7E1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7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06"/>
    <w:rsid w:val="00090554"/>
    <w:rsid w:val="001F6C06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33BF"/>
  <w15:chartTrackingRefBased/>
  <w15:docId w15:val="{7E00284C-B4A8-4833-9697-BA3C66F5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1420</Characters>
  <Application>Microsoft Office Word</Application>
  <DocSecurity>0</DocSecurity>
  <Lines>24</Lines>
  <Paragraphs>15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2026-06-23T11:27:00Z</dcterms:created>
  <dcterms:modified xsi:type="dcterms:W3CDTF">2026-06-23T11:28:00Z</dcterms:modified>
</cp:coreProperties>
</file>