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208B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D97745">
        <w:rPr>
          <w:rFonts w:ascii="Times New Roman" w:hAnsi="Times New Roman" w:cs="Times New Roman"/>
          <w:b/>
          <w:bCs/>
          <w:color w:val="E97132" w:themeColor="accent2"/>
        </w:rPr>
        <w:t>Backlog Roadmap Alignment</w:t>
      </w:r>
    </w:p>
    <w:p w14:paraId="386EA349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t>Overview</w:t>
      </w:r>
    </w:p>
    <w:p w14:paraId="077AF406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The Backlog Roadmap Alignment framework ensures that backlog priorities support strategic objectives, product roadmap commitments, and organizational goals.</w:t>
      </w:r>
    </w:p>
    <w:p w14:paraId="12F04F1E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It provides visibility into how delivery demand contributes to planned business outcomes and prevents backlog growth from becoming disconnected from strategic priorities.</w:t>
      </w:r>
    </w:p>
    <w:p w14:paraId="2817E992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pict w14:anchorId="36E8D0C7">
          <v:rect id="_x0000_i1074" style="width:0;height:1.5pt" o:hralign="center" o:hrstd="t" o:hr="t" fillcolor="#a0a0a0" stroked="f"/>
        </w:pict>
      </w:r>
    </w:p>
    <w:p w14:paraId="38685E4E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t>Alignment Approach</w:t>
      </w:r>
    </w:p>
    <w:p w14:paraId="16F6AF21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Every backlog item should demonstrate a clear connection to at least one of the following:</w:t>
      </w:r>
    </w:p>
    <w:p w14:paraId="10A941D5" w14:textId="77777777" w:rsidR="00D97745" w:rsidRPr="00D97745" w:rsidRDefault="00D97745" w:rsidP="00D97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Strategic Objective</w:t>
      </w:r>
    </w:p>
    <w:p w14:paraId="484F4EBD" w14:textId="77777777" w:rsidR="00D97745" w:rsidRPr="00D97745" w:rsidRDefault="00D97745" w:rsidP="00D97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Product Roadmap Initiative</w:t>
      </w:r>
    </w:p>
    <w:p w14:paraId="258C71A4" w14:textId="77777777" w:rsidR="00D97745" w:rsidRPr="00D97745" w:rsidRDefault="00D97745" w:rsidP="00D97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Customer Value Improvement</w:t>
      </w:r>
    </w:p>
    <w:p w14:paraId="17F07746" w14:textId="77777777" w:rsidR="00D97745" w:rsidRPr="00D97745" w:rsidRDefault="00D97745" w:rsidP="00D97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Operational Efficiency Goal</w:t>
      </w:r>
    </w:p>
    <w:p w14:paraId="7F1C71F9" w14:textId="77777777" w:rsidR="00D97745" w:rsidRPr="00D97745" w:rsidRDefault="00D97745" w:rsidP="00D97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Risk or Compliance Requirement</w:t>
      </w:r>
    </w:p>
    <w:p w14:paraId="014D4A7B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pict w14:anchorId="1C9E407B">
          <v:rect id="_x0000_i1075" style="width:0;height:1.5pt" o:hralign="center" o:hrstd="t" o:hr="t" fillcolor="#a0a0a0" stroked="f"/>
        </w:pict>
      </w:r>
    </w:p>
    <w:p w14:paraId="0D2F0F41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t>Alignment Model</w:t>
      </w:r>
    </w:p>
    <w:p w14:paraId="6168D76D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Business Strategy</w:t>
      </w:r>
    </w:p>
    <w:p w14:paraId="0E1D5963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 xml:space="preserve">        ↓</w:t>
      </w:r>
    </w:p>
    <w:p w14:paraId="16FAF299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Product Roadmap</w:t>
      </w:r>
    </w:p>
    <w:p w14:paraId="3439A3EF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 xml:space="preserve">        ↓</w:t>
      </w:r>
    </w:p>
    <w:p w14:paraId="2252E530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Initiatives &amp; Epics</w:t>
      </w:r>
    </w:p>
    <w:p w14:paraId="612F225A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 xml:space="preserve">        ↓</w:t>
      </w:r>
    </w:p>
    <w:p w14:paraId="6845AE36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Backlog Items</w:t>
      </w:r>
    </w:p>
    <w:p w14:paraId="54392D73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 xml:space="preserve">        ↓</w:t>
      </w:r>
    </w:p>
    <w:p w14:paraId="30917AD5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Delivery Execution</w:t>
      </w:r>
    </w:p>
    <w:p w14:paraId="5821FFFD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pict w14:anchorId="7E1C6E85">
          <v:rect id="_x0000_i1076" style="width:0;height:1.5pt" o:hralign="center" o:hrstd="t" o:hr="t" fillcolor="#a0a0a0" stroked="f"/>
        </w:pict>
      </w:r>
    </w:p>
    <w:p w14:paraId="7E0006E4" w14:textId="77777777" w:rsidR="00D97745" w:rsidRDefault="00D97745" w:rsidP="00D97745">
      <w:pPr>
        <w:rPr>
          <w:rFonts w:ascii="Times New Roman" w:hAnsi="Times New Roman" w:cs="Times New Roman"/>
          <w:b/>
          <w:bCs/>
        </w:rPr>
      </w:pPr>
    </w:p>
    <w:p w14:paraId="68F3EEFE" w14:textId="77777777" w:rsidR="00D97745" w:rsidRDefault="00D97745" w:rsidP="00D97745">
      <w:pPr>
        <w:rPr>
          <w:rFonts w:ascii="Times New Roman" w:hAnsi="Times New Roman" w:cs="Times New Roman"/>
          <w:b/>
          <w:bCs/>
        </w:rPr>
      </w:pPr>
    </w:p>
    <w:p w14:paraId="1E090D5F" w14:textId="77777777" w:rsidR="00D97745" w:rsidRDefault="00D97745" w:rsidP="00D97745">
      <w:pPr>
        <w:rPr>
          <w:rFonts w:ascii="Times New Roman" w:hAnsi="Times New Roman" w:cs="Times New Roman"/>
          <w:b/>
          <w:bCs/>
        </w:rPr>
      </w:pPr>
    </w:p>
    <w:p w14:paraId="6A5D8140" w14:textId="77777777" w:rsidR="00D97745" w:rsidRDefault="00D97745" w:rsidP="00D97745">
      <w:pPr>
        <w:rPr>
          <w:rFonts w:ascii="Times New Roman" w:hAnsi="Times New Roman" w:cs="Times New Roman"/>
          <w:b/>
          <w:bCs/>
        </w:rPr>
      </w:pPr>
    </w:p>
    <w:p w14:paraId="2B66791C" w14:textId="5C52AA56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lastRenderedPageBreak/>
        <w:t>Alignment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4745"/>
      </w:tblGrid>
      <w:tr w:rsidR="00D97745" w:rsidRPr="00D97745" w14:paraId="07BBF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0E5BD" w14:textId="77777777" w:rsidR="00D97745" w:rsidRPr="00D97745" w:rsidRDefault="00D97745" w:rsidP="00D97745">
            <w:pPr>
              <w:rPr>
                <w:rFonts w:ascii="Times New Roman" w:hAnsi="Times New Roman" w:cs="Times New Roman"/>
                <w:b/>
                <w:bCs/>
              </w:rPr>
            </w:pPr>
            <w:r w:rsidRPr="00D97745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BA50D5" w14:textId="77777777" w:rsidR="00D97745" w:rsidRPr="00D97745" w:rsidRDefault="00D97745" w:rsidP="00D97745">
            <w:pPr>
              <w:rPr>
                <w:rFonts w:ascii="Times New Roman" w:hAnsi="Times New Roman" w:cs="Times New Roman"/>
                <w:b/>
                <w:bCs/>
              </w:rPr>
            </w:pPr>
            <w:r w:rsidRPr="00D9774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97745" w:rsidRPr="00D97745" w14:paraId="37316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8EED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Strategic Initiative</w:t>
            </w:r>
          </w:p>
        </w:tc>
        <w:tc>
          <w:tcPr>
            <w:tcW w:w="0" w:type="auto"/>
            <w:vAlign w:val="center"/>
            <w:hideMark/>
          </w:tcPr>
          <w:p w14:paraId="1EFEFCB5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Supports long-term business objectives</w:t>
            </w:r>
          </w:p>
        </w:tc>
      </w:tr>
      <w:tr w:rsidR="00D97745" w:rsidRPr="00D97745" w14:paraId="00217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A984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Roadmap Commitment</w:t>
            </w:r>
          </w:p>
        </w:tc>
        <w:tc>
          <w:tcPr>
            <w:tcW w:w="0" w:type="auto"/>
            <w:vAlign w:val="center"/>
            <w:hideMark/>
          </w:tcPr>
          <w:p w14:paraId="706C2702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Contributes to planned roadmap outcomes</w:t>
            </w:r>
          </w:p>
        </w:tc>
      </w:tr>
      <w:tr w:rsidR="00D97745" w:rsidRPr="00D97745" w14:paraId="39DE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7E32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Customer Value</w:t>
            </w:r>
          </w:p>
        </w:tc>
        <w:tc>
          <w:tcPr>
            <w:tcW w:w="0" w:type="auto"/>
            <w:vAlign w:val="center"/>
            <w:hideMark/>
          </w:tcPr>
          <w:p w14:paraId="0360F685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Improves customer experience or satisfaction</w:t>
            </w:r>
          </w:p>
        </w:tc>
      </w:tr>
      <w:tr w:rsidR="00D97745" w:rsidRPr="00D97745" w14:paraId="2270F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C374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Operational Improvement</w:t>
            </w:r>
          </w:p>
        </w:tc>
        <w:tc>
          <w:tcPr>
            <w:tcW w:w="0" w:type="auto"/>
            <w:vAlign w:val="center"/>
            <w:hideMark/>
          </w:tcPr>
          <w:p w14:paraId="780CE9C4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Enhances efficiency, reliability, or performance</w:t>
            </w:r>
          </w:p>
        </w:tc>
      </w:tr>
      <w:tr w:rsidR="00D97745" w:rsidRPr="00D97745" w14:paraId="0CF5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4315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Compliance &amp; Risk</w:t>
            </w:r>
          </w:p>
        </w:tc>
        <w:tc>
          <w:tcPr>
            <w:tcW w:w="0" w:type="auto"/>
            <w:vAlign w:val="center"/>
            <w:hideMark/>
          </w:tcPr>
          <w:p w14:paraId="382F62FB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Addresses regulatory, audit, or risk requirements</w:t>
            </w:r>
          </w:p>
        </w:tc>
      </w:tr>
    </w:tbl>
    <w:p w14:paraId="314D1CD6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pict w14:anchorId="23C8DB3B">
          <v:rect id="_x0000_i1077" style="width:0;height:1.5pt" o:hralign="center" o:hrstd="t" o:hr="t" fillcolor="#a0a0a0" stroked="f"/>
        </w:pict>
      </w:r>
    </w:p>
    <w:p w14:paraId="7657FDCE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t>Governance Review</w:t>
      </w:r>
    </w:p>
    <w:p w14:paraId="28B0AD4A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Backlog alignment should be reviewed during: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282"/>
      </w:tblGrid>
      <w:tr w:rsidR="00D97745" w:rsidRPr="00D97745" w14:paraId="5947E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4C7A0" w14:textId="77777777" w:rsidR="00D97745" w:rsidRPr="00D97745" w:rsidRDefault="00D97745" w:rsidP="00D97745">
            <w:pPr>
              <w:rPr>
                <w:rFonts w:ascii="Times New Roman" w:hAnsi="Times New Roman" w:cs="Times New Roman"/>
                <w:b/>
                <w:bCs/>
              </w:rPr>
            </w:pPr>
            <w:r w:rsidRPr="00D97745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59B137F" w14:textId="77777777" w:rsidR="00D97745" w:rsidRPr="00D97745" w:rsidRDefault="00D97745" w:rsidP="00D97745">
            <w:pPr>
              <w:rPr>
                <w:rFonts w:ascii="Times New Roman" w:hAnsi="Times New Roman" w:cs="Times New Roman"/>
                <w:b/>
                <w:bCs/>
              </w:rPr>
            </w:pPr>
            <w:r w:rsidRPr="00D97745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D97745" w:rsidRPr="00D97745" w14:paraId="07F3A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EE9D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Roadmap Review</w:t>
            </w:r>
          </w:p>
        </w:tc>
        <w:tc>
          <w:tcPr>
            <w:tcW w:w="0" w:type="auto"/>
            <w:vAlign w:val="center"/>
            <w:hideMark/>
          </w:tcPr>
          <w:p w14:paraId="7361BF45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Quarterly</w:t>
            </w:r>
          </w:p>
        </w:tc>
      </w:tr>
      <w:tr w:rsidR="00D97745" w:rsidRPr="00D97745" w14:paraId="4306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5744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Backlog Review</w:t>
            </w:r>
          </w:p>
        </w:tc>
        <w:tc>
          <w:tcPr>
            <w:tcW w:w="0" w:type="auto"/>
            <w:vAlign w:val="center"/>
            <w:hideMark/>
          </w:tcPr>
          <w:p w14:paraId="12B19DFA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Monthly</w:t>
            </w:r>
          </w:p>
        </w:tc>
      </w:tr>
      <w:tr w:rsidR="00D97745" w:rsidRPr="00D97745" w14:paraId="3E62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5F0D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Planning Cycles</w:t>
            </w:r>
          </w:p>
        </w:tc>
        <w:tc>
          <w:tcPr>
            <w:tcW w:w="0" w:type="auto"/>
            <w:vAlign w:val="center"/>
            <w:hideMark/>
          </w:tcPr>
          <w:p w14:paraId="256F6AD6" w14:textId="77777777" w:rsidR="00D97745" w:rsidRPr="00D97745" w:rsidRDefault="00D97745" w:rsidP="00D97745">
            <w:pPr>
              <w:rPr>
                <w:rFonts w:ascii="Times New Roman" w:hAnsi="Times New Roman" w:cs="Times New Roman"/>
              </w:rPr>
            </w:pPr>
            <w:r w:rsidRPr="00D97745">
              <w:rPr>
                <w:rFonts w:ascii="Times New Roman" w:hAnsi="Times New Roman" w:cs="Times New Roman"/>
              </w:rPr>
              <w:t>As Required</w:t>
            </w:r>
          </w:p>
        </w:tc>
      </w:tr>
    </w:tbl>
    <w:p w14:paraId="6085E523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pict w14:anchorId="6B8F2419">
          <v:rect id="_x0000_i1078" style="width:0;height:1.5pt" o:hralign="center" o:hrstd="t" o:hr="t" fillcolor="#a0a0a0" stroked="f"/>
        </w:pict>
      </w:r>
    </w:p>
    <w:p w14:paraId="0BB45339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t>Governance Controls</w:t>
      </w:r>
    </w:p>
    <w:p w14:paraId="1FE96D94" w14:textId="77777777" w:rsidR="00D97745" w:rsidRPr="00D97745" w:rsidRDefault="00D97745" w:rsidP="00D97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Backlog items should be traceable to a business objective or roadmap initiative.</w:t>
      </w:r>
    </w:p>
    <w:p w14:paraId="591D7F43" w14:textId="77777777" w:rsidR="00D97745" w:rsidRPr="00D97745" w:rsidRDefault="00D97745" w:rsidP="00D97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Unaligned backlog items should be reviewed and challenged.</w:t>
      </w:r>
    </w:p>
    <w:p w14:paraId="5BA80587" w14:textId="77777777" w:rsidR="00D97745" w:rsidRPr="00D97745" w:rsidRDefault="00D97745" w:rsidP="00D97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Roadmap changes should trigger backlog reassessment.</w:t>
      </w:r>
    </w:p>
    <w:p w14:paraId="57E9043A" w14:textId="77777777" w:rsidR="00D97745" w:rsidRPr="00D97745" w:rsidRDefault="00D97745" w:rsidP="00D97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Strategic initiatives should maintain visibility from roadmap to delivery.</w:t>
      </w:r>
    </w:p>
    <w:p w14:paraId="21540C66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pict w14:anchorId="6D68BFBA">
          <v:rect id="_x0000_i1079" style="width:0;height:1.5pt" o:hralign="center" o:hrstd="t" o:hr="t" fillcolor="#a0a0a0" stroked="f"/>
        </w:pict>
      </w:r>
    </w:p>
    <w:p w14:paraId="306C6B0A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t>Expected Outcome</w:t>
      </w:r>
    </w:p>
    <w:p w14:paraId="4A532B22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Improved alignment between strategic planning and delivery execution, ensuring delivery capacity is focused on work that contributes measurable business value.</w:t>
      </w:r>
    </w:p>
    <w:p w14:paraId="73AAA2A5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pict w14:anchorId="66902B18">
          <v:rect id="_x0000_i1080" style="width:0;height:1.5pt" o:hralign="center" o:hrstd="t" o:hr="t" fillcolor="#a0a0a0" stroked="f"/>
        </w:pict>
      </w:r>
    </w:p>
    <w:p w14:paraId="742E9856" w14:textId="77777777" w:rsidR="00D97745" w:rsidRPr="00D97745" w:rsidRDefault="00D97745" w:rsidP="00D97745">
      <w:pPr>
        <w:rPr>
          <w:rFonts w:ascii="Times New Roman" w:hAnsi="Times New Roman" w:cs="Times New Roman"/>
          <w:b/>
          <w:bCs/>
        </w:rPr>
      </w:pPr>
      <w:r w:rsidRPr="00D97745">
        <w:rPr>
          <w:rFonts w:ascii="Times New Roman" w:hAnsi="Times New Roman" w:cs="Times New Roman"/>
          <w:b/>
          <w:bCs/>
        </w:rPr>
        <w:t>Key Insight</w:t>
      </w:r>
    </w:p>
    <w:p w14:paraId="3A9719F2" w14:textId="77777777" w:rsidR="00D97745" w:rsidRPr="00D97745" w:rsidRDefault="00D97745" w:rsidP="00D97745">
      <w:pPr>
        <w:rPr>
          <w:rFonts w:ascii="Times New Roman" w:hAnsi="Times New Roman" w:cs="Times New Roman"/>
        </w:rPr>
      </w:pPr>
      <w:r w:rsidRPr="00D97745">
        <w:rPr>
          <w:rFonts w:ascii="Times New Roman" w:hAnsi="Times New Roman" w:cs="Times New Roman"/>
        </w:rPr>
        <w:t>A backlog should not become a collection of requests. It should represent the work required to achieve strategic objectives and roadmap commitments.</w:t>
      </w:r>
    </w:p>
    <w:p w14:paraId="5615DF33" w14:textId="77777777" w:rsidR="00090554" w:rsidRPr="00D97745" w:rsidRDefault="00090554">
      <w:pPr>
        <w:rPr>
          <w:rFonts w:ascii="Times New Roman" w:hAnsi="Times New Roman" w:cs="Times New Roman"/>
        </w:rPr>
      </w:pPr>
    </w:p>
    <w:p w14:paraId="58E1AC3B" w14:textId="77777777" w:rsidR="00D97745" w:rsidRPr="00D97745" w:rsidRDefault="00D97745">
      <w:pPr>
        <w:rPr>
          <w:rFonts w:ascii="Times New Roman" w:hAnsi="Times New Roman" w:cs="Times New Roman"/>
        </w:rPr>
      </w:pPr>
    </w:p>
    <w:sectPr w:rsidR="00D97745" w:rsidRPr="00D9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516C"/>
    <w:multiLevelType w:val="multilevel"/>
    <w:tmpl w:val="BB9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E3FE4"/>
    <w:multiLevelType w:val="multilevel"/>
    <w:tmpl w:val="B3B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548648">
    <w:abstractNumId w:val="1"/>
  </w:num>
  <w:num w:numId="2" w16cid:durableId="136617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45"/>
    <w:rsid w:val="00090554"/>
    <w:rsid w:val="00BC646E"/>
    <w:rsid w:val="00D97745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5478"/>
  <w15:chartTrackingRefBased/>
  <w15:docId w15:val="{7993CC8A-9FB0-45CC-B29E-C7777842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1692</Characters>
  <Application>Microsoft Office Word</Application>
  <DocSecurity>0</DocSecurity>
  <Lines>29</Lines>
  <Paragraphs>19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2026-06-23T11:11:00Z</dcterms:created>
  <dcterms:modified xsi:type="dcterms:W3CDTF">2026-06-23T11:12:00Z</dcterms:modified>
</cp:coreProperties>
</file>