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22C4" w14:textId="77777777" w:rsidR="002D2227" w:rsidRPr="002D2227" w:rsidRDefault="002D2227" w:rsidP="002D2227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2D2227">
        <w:rPr>
          <w:rFonts w:ascii="Times New Roman" w:hAnsi="Times New Roman" w:cs="Times New Roman"/>
          <w:b/>
          <w:bCs/>
          <w:color w:val="E97132" w:themeColor="accent2"/>
        </w:rPr>
        <w:t>Assumption Risk Assessment</w:t>
      </w:r>
    </w:p>
    <w:p w14:paraId="74B08C25" w14:textId="77777777" w:rsidR="002D2227" w:rsidRPr="002D2227" w:rsidRDefault="002D2227" w:rsidP="002D2227">
      <w:pPr>
        <w:rPr>
          <w:rFonts w:ascii="Times New Roman" w:hAnsi="Times New Roman" w:cs="Times New Roman"/>
          <w:b/>
          <w:bCs/>
        </w:rPr>
      </w:pPr>
      <w:r w:rsidRPr="002D2227">
        <w:rPr>
          <w:rFonts w:ascii="Times New Roman" w:hAnsi="Times New Roman" w:cs="Times New Roman"/>
          <w:b/>
          <w:bCs/>
        </w:rPr>
        <w:t>Overview</w:t>
      </w:r>
    </w:p>
    <w:p w14:paraId="33FD6A91" w14:textId="470873B0" w:rsidR="002D2227" w:rsidRPr="002D2227" w:rsidRDefault="002D2227" w:rsidP="002D2227">
      <w:p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 xml:space="preserve">The Assumption Risk Assessment evaluates the potential impact of assumptions documented in the Assumptions Register for </w:t>
      </w:r>
      <w:r w:rsidRPr="002D2227">
        <w:rPr>
          <w:rFonts w:ascii="Times New Roman" w:hAnsi="Times New Roman" w:cs="Times New Roman"/>
          <w:b/>
          <w:bCs/>
        </w:rPr>
        <w:t>Project Pulse</w:t>
      </w:r>
      <w:r w:rsidRPr="002D2227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2D2227">
        <w:rPr>
          <w:rFonts w:ascii="Times New Roman" w:hAnsi="Times New Roman" w:cs="Times New Roman"/>
        </w:rPr>
        <w:t>.</w:t>
      </w:r>
    </w:p>
    <w:p w14:paraId="1BEE11B9" w14:textId="77777777" w:rsidR="002D2227" w:rsidRPr="002D2227" w:rsidRDefault="002D2227" w:rsidP="002D2227">
      <w:p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Its purpose is to identify which assumptions carry the highest risk if proven incorrect, prioritize monitoring efforts, and define mitigation strategies before assumptions become delivery or business issues.</w:t>
      </w:r>
    </w:p>
    <w:p w14:paraId="172A9FE8" w14:textId="77777777" w:rsidR="002D2227" w:rsidRPr="002D2227" w:rsidRDefault="002D2227" w:rsidP="002D2227">
      <w:pPr>
        <w:rPr>
          <w:rFonts w:ascii="Times New Roman" w:hAnsi="Times New Roman" w:cs="Times New Roman"/>
          <w:b/>
          <w:bCs/>
        </w:rPr>
      </w:pPr>
      <w:r w:rsidRPr="002D2227">
        <w:rPr>
          <w:rFonts w:ascii="Times New Roman" w:hAnsi="Times New Roman" w:cs="Times New Roman"/>
          <w:b/>
          <w:bCs/>
        </w:rPr>
        <w:t>Objectives</w:t>
      </w:r>
    </w:p>
    <w:p w14:paraId="59453583" w14:textId="77777777" w:rsidR="002D2227" w:rsidRPr="002D2227" w:rsidRDefault="002D2227" w:rsidP="002D22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Identify assumptions with the highest potential impact</w:t>
      </w:r>
    </w:p>
    <w:p w14:paraId="4F22BF33" w14:textId="77777777" w:rsidR="002D2227" w:rsidRPr="002D2227" w:rsidRDefault="002D2227" w:rsidP="002D22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Assess likelihood and severity of assumption failure</w:t>
      </w:r>
    </w:p>
    <w:p w14:paraId="030DF4DA" w14:textId="77777777" w:rsidR="002D2227" w:rsidRPr="002D2227" w:rsidRDefault="002D2227" w:rsidP="002D22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Prioritize monitoring and validation efforts</w:t>
      </w:r>
    </w:p>
    <w:p w14:paraId="49770332" w14:textId="77777777" w:rsidR="002D2227" w:rsidRPr="002D2227" w:rsidRDefault="002D2227" w:rsidP="002D22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Define mitigation and contingency actions</w:t>
      </w:r>
    </w:p>
    <w:p w14:paraId="75C27140" w14:textId="77777777" w:rsidR="002D2227" w:rsidRPr="002D2227" w:rsidRDefault="002D2227" w:rsidP="002D22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Improve resilience in product and delivery planning</w:t>
      </w:r>
    </w:p>
    <w:p w14:paraId="4A81F3D9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3F7F9E29" w14:textId="06B78BFC" w:rsidR="002D2227" w:rsidRPr="002D2227" w:rsidRDefault="002D2227" w:rsidP="002D2227">
      <w:pPr>
        <w:rPr>
          <w:rFonts w:ascii="Times New Roman" w:hAnsi="Times New Roman" w:cs="Times New Roman"/>
          <w:b/>
          <w:bCs/>
        </w:rPr>
      </w:pPr>
      <w:r w:rsidRPr="002D2227">
        <w:rPr>
          <w:rFonts w:ascii="Times New Roman" w:hAnsi="Times New Roman" w:cs="Times New Roman"/>
          <w:b/>
          <w:bCs/>
        </w:rPr>
        <w:t>Risk Assessment Method</w:t>
      </w:r>
    </w:p>
    <w:p w14:paraId="51F22DF8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1DE352C1" w14:textId="0238A3D7" w:rsidR="002D2227" w:rsidRPr="002D2227" w:rsidRDefault="002D2227" w:rsidP="002D2227">
      <w:pPr>
        <w:rPr>
          <w:rFonts w:ascii="Times New Roman" w:hAnsi="Times New Roman" w:cs="Times New Roman"/>
          <w:b/>
          <w:bCs/>
        </w:rPr>
      </w:pPr>
      <w:r w:rsidRPr="002D2227">
        <w:rPr>
          <w:rFonts w:ascii="Times New Roman" w:hAnsi="Times New Roman" w:cs="Times New Roman"/>
          <w:b/>
          <w:bCs/>
        </w:rPr>
        <w:t>Likelihood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4941"/>
      </w:tblGrid>
      <w:tr w:rsidR="002D2227" w:rsidRPr="002D2227" w14:paraId="51B9E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A7102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</w:rPr>
            </w:pPr>
            <w:r w:rsidRPr="002D2227">
              <w:rPr>
                <w:rFonts w:ascii="Times New Roman" w:hAnsi="Times New Roman" w:cs="Times New Roman"/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0FE2ABA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</w:rPr>
            </w:pPr>
            <w:r w:rsidRPr="002D222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D2227" w:rsidRPr="002D2227" w14:paraId="1B187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479F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C38D81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Likely to occur or already showing signs of failure</w:t>
            </w:r>
          </w:p>
        </w:tc>
      </w:tr>
      <w:tr w:rsidR="002D2227" w:rsidRPr="002D2227" w14:paraId="68FA7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5749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504F2F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Possible to occur under certain conditions</w:t>
            </w:r>
          </w:p>
        </w:tc>
      </w:tr>
      <w:tr w:rsidR="002D2227" w:rsidRPr="002D2227" w14:paraId="63460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9E78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E865A60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Unlikely to occur based on current evidence</w:t>
            </w:r>
          </w:p>
        </w:tc>
      </w:tr>
    </w:tbl>
    <w:p w14:paraId="770126C1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1183FEE0" w14:textId="7674B999" w:rsidR="002D2227" w:rsidRPr="002D2227" w:rsidRDefault="002D2227" w:rsidP="002D2227">
      <w:pPr>
        <w:rPr>
          <w:rFonts w:ascii="Times New Roman" w:hAnsi="Times New Roman" w:cs="Times New Roman"/>
          <w:b/>
          <w:bCs/>
        </w:rPr>
      </w:pPr>
      <w:r w:rsidRPr="002D2227">
        <w:rPr>
          <w:rFonts w:ascii="Times New Roman" w:hAnsi="Times New Roman" w:cs="Times New Roman"/>
          <w:b/>
          <w:bCs/>
        </w:rPr>
        <w:t>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941"/>
      </w:tblGrid>
      <w:tr w:rsidR="002D2227" w:rsidRPr="002D2227" w14:paraId="54B26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58084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</w:rPr>
            </w:pPr>
            <w:r w:rsidRPr="002D2227">
              <w:rPr>
                <w:rFonts w:ascii="Times New Roman" w:hAnsi="Times New Roman" w:cs="Times New Roman"/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0CAFF0B8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</w:rPr>
            </w:pPr>
            <w:r w:rsidRPr="002D222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D2227" w:rsidRPr="002D2227" w14:paraId="0B118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05E0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1447C1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Significant effect on business goals, delivery, or stakeholders</w:t>
            </w:r>
          </w:p>
        </w:tc>
      </w:tr>
      <w:tr w:rsidR="002D2227" w:rsidRPr="002D2227" w14:paraId="1A352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2238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DA9FE6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Moderate disruption requiring management attention</w:t>
            </w:r>
          </w:p>
        </w:tc>
      </w:tr>
      <w:tr w:rsidR="002D2227" w:rsidRPr="002D2227" w14:paraId="10628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5798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3CB1146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Limited disruption with manageable impact</w:t>
            </w:r>
          </w:p>
        </w:tc>
      </w:tr>
    </w:tbl>
    <w:p w14:paraId="1D4F429A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0D2D8BCE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1EAF3F19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5FA0ECE4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6D84F07F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2EE09815" w14:textId="3BACC16B" w:rsidR="002D2227" w:rsidRPr="002D2227" w:rsidRDefault="002D2227" w:rsidP="002D2227">
      <w:pPr>
        <w:rPr>
          <w:rFonts w:ascii="Times New Roman" w:hAnsi="Times New Roman" w:cs="Times New Roman"/>
          <w:b/>
          <w:bCs/>
        </w:rPr>
      </w:pPr>
      <w:r w:rsidRPr="002D2227">
        <w:rPr>
          <w:rFonts w:ascii="Times New Roman" w:hAnsi="Times New Roman" w:cs="Times New Roman"/>
          <w:b/>
          <w:bCs/>
        </w:rPr>
        <w:t>Assumption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043"/>
        <w:gridCol w:w="983"/>
        <w:gridCol w:w="738"/>
        <w:gridCol w:w="788"/>
        <w:gridCol w:w="2380"/>
        <w:gridCol w:w="935"/>
      </w:tblGrid>
      <w:tr w:rsidR="002D2227" w:rsidRPr="002D2227" w14:paraId="65A80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73C1C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Assumption ID</w:t>
            </w:r>
          </w:p>
        </w:tc>
        <w:tc>
          <w:tcPr>
            <w:tcW w:w="0" w:type="auto"/>
            <w:vAlign w:val="center"/>
            <w:hideMark/>
          </w:tcPr>
          <w:p w14:paraId="570A003F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35B85751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7BFA7D83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3AE088B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68AA35F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1FAA5C6A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Owner</w:t>
            </w:r>
          </w:p>
        </w:tc>
      </w:tr>
      <w:tr w:rsidR="002D2227" w:rsidRPr="002D2227" w14:paraId="128B5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DE8F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A-001</w:t>
            </w:r>
          </w:p>
        </w:tc>
        <w:tc>
          <w:tcPr>
            <w:tcW w:w="0" w:type="auto"/>
            <w:vAlign w:val="center"/>
            <w:hideMark/>
          </w:tcPr>
          <w:p w14:paraId="1108071E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Stakeholders will actively use AI-generated insights</w:t>
            </w:r>
          </w:p>
        </w:tc>
        <w:tc>
          <w:tcPr>
            <w:tcW w:w="0" w:type="auto"/>
            <w:vAlign w:val="center"/>
            <w:hideMark/>
          </w:tcPr>
          <w:p w14:paraId="7C05C46A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4D1165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A0FEF9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62618A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Provide onboarding, demonstrate business value, and monitor adoption metrics</w:t>
            </w:r>
          </w:p>
        </w:tc>
        <w:tc>
          <w:tcPr>
            <w:tcW w:w="0" w:type="auto"/>
            <w:vAlign w:val="center"/>
            <w:hideMark/>
          </w:tcPr>
          <w:p w14:paraId="7B449EC1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Product Manager</w:t>
            </w:r>
          </w:p>
        </w:tc>
      </w:tr>
      <w:tr w:rsidR="002D2227" w:rsidRPr="002D2227" w14:paraId="6CD8D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1525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A-002</w:t>
            </w:r>
          </w:p>
        </w:tc>
        <w:tc>
          <w:tcPr>
            <w:tcW w:w="0" w:type="auto"/>
            <w:vAlign w:val="center"/>
            <w:hideMark/>
          </w:tcPr>
          <w:p w14:paraId="6B9AD50D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Project health dashboards provide sufficient visibility</w:t>
            </w:r>
          </w:p>
        </w:tc>
        <w:tc>
          <w:tcPr>
            <w:tcW w:w="0" w:type="auto"/>
            <w:vAlign w:val="center"/>
            <w:hideMark/>
          </w:tcPr>
          <w:p w14:paraId="2DEC3ECC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31E150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39DA5A9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E917F0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Validate dashboard requirements through UAT and stakeholder reviews</w:t>
            </w:r>
          </w:p>
        </w:tc>
        <w:tc>
          <w:tcPr>
            <w:tcW w:w="0" w:type="auto"/>
            <w:vAlign w:val="center"/>
            <w:hideMark/>
          </w:tcPr>
          <w:p w14:paraId="16484056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Product Manager</w:t>
            </w:r>
          </w:p>
        </w:tc>
      </w:tr>
      <w:tr w:rsidR="002D2227" w:rsidRPr="002D2227" w14:paraId="7E9DB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217B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A-003</w:t>
            </w:r>
          </w:p>
        </w:tc>
        <w:tc>
          <w:tcPr>
            <w:tcW w:w="0" w:type="auto"/>
            <w:vAlign w:val="center"/>
            <w:hideMark/>
          </w:tcPr>
          <w:p w14:paraId="20164A9F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Project data is accurate and complete</w:t>
            </w:r>
          </w:p>
        </w:tc>
        <w:tc>
          <w:tcPr>
            <w:tcW w:w="0" w:type="auto"/>
            <w:vAlign w:val="center"/>
            <w:hideMark/>
          </w:tcPr>
          <w:p w14:paraId="12396E8F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5331A6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A49501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EF53031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Implement data quality checks, validation rules, and monitoring alerts</w:t>
            </w:r>
          </w:p>
        </w:tc>
        <w:tc>
          <w:tcPr>
            <w:tcW w:w="0" w:type="auto"/>
            <w:vAlign w:val="center"/>
            <w:hideMark/>
          </w:tcPr>
          <w:p w14:paraId="6F467FB2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Data Team</w:t>
            </w:r>
          </w:p>
        </w:tc>
      </w:tr>
      <w:tr w:rsidR="002D2227" w:rsidRPr="002D2227" w14:paraId="7A208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2A3F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A-004</w:t>
            </w:r>
          </w:p>
        </w:tc>
        <w:tc>
          <w:tcPr>
            <w:tcW w:w="0" w:type="auto"/>
            <w:vAlign w:val="center"/>
            <w:hideMark/>
          </w:tcPr>
          <w:p w14:paraId="44FB77E5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AI risk predictions achieve acceptable accuracy levels</w:t>
            </w:r>
          </w:p>
        </w:tc>
        <w:tc>
          <w:tcPr>
            <w:tcW w:w="0" w:type="auto"/>
            <w:vAlign w:val="center"/>
            <w:hideMark/>
          </w:tcPr>
          <w:p w14:paraId="7E337131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8A5F50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7732F0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EA07D7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Conduct ongoing model validation and performance monitoring</w:t>
            </w:r>
          </w:p>
        </w:tc>
        <w:tc>
          <w:tcPr>
            <w:tcW w:w="0" w:type="auto"/>
            <w:vAlign w:val="center"/>
            <w:hideMark/>
          </w:tcPr>
          <w:p w14:paraId="253B971A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Product Manager</w:t>
            </w:r>
          </w:p>
        </w:tc>
      </w:tr>
      <w:tr w:rsidR="002D2227" w:rsidRPr="002D2227" w14:paraId="256C1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2D69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A-005</w:t>
            </w:r>
          </w:p>
        </w:tc>
        <w:tc>
          <w:tcPr>
            <w:tcW w:w="0" w:type="auto"/>
            <w:vAlign w:val="center"/>
            <w:hideMark/>
          </w:tcPr>
          <w:p w14:paraId="5529EC96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Core MVP functionality can be delivered within planned timelines</w:t>
            </w:r>
          </w:p>
        </w:tc>
        <w:tc>
          <w:tcPr>
            <w:tcW w:w="0" w:type="auto"/>
            <w:vAlign w:val="center"/>
            <w:hideMark/>
          </w:tcPr>
          <w:p w14:paraId="44660F5B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68003C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DDC009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1CE2A0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Track sprint velocity, manage scope proactively, and review dependencies regularly</w:t>
            </w:r>
          </w:p>
        </w:tc>
        <w:tc>
          <w:tcPr>
            <w:tcW w:w="0" w:type="auto"/>
            <w:vAlign w:val="center"/>
            <w:hideMark/>
          </w:tcPr>
          <w:p w14:paraId="5F2EE74B" w14:textId="77777777" w:rsidR="002D2227" w:rsidRPr="002D2227" w:rsidRDefault="002D2227" w:rsidP="002D22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2227">
              <w:rPr>
                <w:rFonts w:ascii="Times New Roman" w:hAnsi="Times New Roman" w:cs="Times New Roman"/>
                <w:sz w:val="20"/>
                <w:szCs w:val="20"/>
              </w:rPr>
              <w:t>Delivery Lead</w:t>
            </w:r>
          </w:p>
        </w:tc>
      </w:tr>
    </w:tbl>
    <w:p w14:paraId="06950730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3F2AEE8A" w14:textId="3BA01010" w:rsidR="002D2227" w:rsidRPr="002D2227" w:rsidRDefault="002D2227" w:rsidP="002D2227">
      <w:pPr>
        <w:rPr>
          <w:rFonts w:ascii="Times New Roman" w:hAnsi="Times New Roman" w:cs="Times New Roman"/>
          <w:b/>
          <w:bCs/>
        </w:rPr>
      </w:pPr>
      <w:r w:rsidRPr="002D2227">
        <w:rPr>
          <w:rFonts w:ascii="Times New Roman" w:hAnsi="Times New Roman" w:cs="Times New Roman"/>
          <w:b/>
          <w:bCs/>
        </w:rPr>
        <w:t>Risk Level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7932"/>
      </w:tblGrid>
      <w:tr w:rsidR="002D2227" w:rsidRPr="002D2227" w14:paraId="3BE46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3AB40" w14:textId="77777777" w:rsidR="002D2227" w:rsidRDefault="002D2227" w:rsidP="002D222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D0DF760" w14:textId="52DA6C25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</w:rPr>
            </w:pPr>
            <w:r w:rsidRPr="002D2227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35FD59DD" w14:textId="77777777" w:rsidR="002D2227" w:rsidRDefault="002D2227" w:rsidP="002D222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BD81682" w14:textId="107D67A2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</w:rPr>
            </w:pPr>
            <w:r w:rsidRPr="002D222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D2227" w:rsidRPr="002D2227" w14:paraId="15829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E75D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2D2A14A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Immediate attention required; assumption failure could significantly impact product viability or delivery</w:t>
            </w:r>
          </w:p>
        </w:tc>
      </w:tr>
      <w:tr w:rsidR="002D2227" w:rsidRPr="002D2227" w14:paraId="5AED1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C6B5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5EEE69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Strong monitoring and mitigation required</w:t>
            </w:r>
          </w:p>
        </w:tc>
      </w:tr>
      <w:tr w:rsidR="002D2227" w:rsidRPr="002D2227" w14:paraId="152A1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3F44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15F0405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Regular monitoring recommended</w:t>
            </w:r>
          </w:p>
        </w:tc>
      </w:tr>
      <w:tr w:rsidR="002D2227" w:rsidRPr="002D2227" w14:paraId="13C38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C537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19B7426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Minimal monitoring required</w:t>
            </w:r>
          </w:p>
        </w:tc>
      </w:tr>
    </w:tbl>
    <w:p w14:paraId="232ED68F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66581CD1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592355D1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50005A9F" w14:textId="5D567715" w:rsidR="002D2227" w:rsidRPr="002D2227" w:rsidRDefault="002D2227" w:rsidP="002D2227">
      <w:pPr>
        <w:rPr>
          <w:rFonts w:ascii="Times New Roman" w:hAnsi="Times New Roman" w:cs="Times New Roman"/>
          <w:b/>
          <w:bCs/>
        </w:rPr>
      </w:pPr>
      <w:r w:rsidRPr="002D2227">
        <w:rPr>
          <w:rFonts w:ascii="Times New Roman" w:hAnsi="Times New Roman" w:cs="Times New Roman"/>
          <w:b/>
          <w:bCs/>
        </w:rPr>
        <w:t>Mitigation Principles</w:t>
      </w:r>
    </w:p>
    <w:p w14:paraId="38A15928" w14:textId="77777777" w:rsidR="002D2227" w:rsidRPr="002D2227" w:rsidRDefault="002D2227" w:rsidP="002D22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Validate high-risk assumptions early</w:t>
      </w:r>
    </w:p>
    <w:p w14:paraId="20E633BE" w14:textId="77777777" w:rsidR="002D2227" w:rsidRPr="002D2227" w:rsidRDefault="002D2227" w:rsidP="002D22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Use evidence-based monitoring wherever possible</w:t>
      </w:r>
    </w:p>
    <w:p w14:paraId="3A5BBC31" w14:textId="77777777" w:rsidR="002D2227" w:rsidRPr="002D2227" w:rsidRDefault="002D2227" w:rsidP="002D22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Define fallback plans for critical assumptions</w:t>
      </w:r>
    </w:p>
    <w:p w14:paraId="6C4F782B" w14:textId="77777777" w:rsidR="002D2227" w:rsidRPr="002D2227" w:rsidRDefault="002D2227" w:rsidP="002D22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Reassess risk levels when conditions change</w:t>
      </w:r>
    </w:p>
    <w:p w14:paraId="3FC1F7B1" w14:textId="77777777" w:rsidR="002D2227" w:rsidRPr="002D2227" w:rsidRDefault="002D2227" w:rsidP="002D22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Communicate assumption risks transparently to stakeholders</w:t>
      </w:r>
    </w:p>
    <w:p w14:paraId="710F2AC3" w14:textId="77777777" w:rsidR="002D2227" w:rsidRDefault="002D2227" w:rsidP="002D2227">
      <w:pPr>
        <w:rPr>
          <w:rFonts w:ascii="Times New Roman" w:hAnsi="Times New Roman" w:cs="Times New Roman"/>
          <w:b/>
          <w:bCs/>
        </w:rPr>
      </w:pPr>
    </w:p>
    <w:p w14:paraId="0F4814B3" w14:textId="588E95A1" w:rsidR="002D2227" w:rsidRPr="002D2227" w:rsidRDefault="002D2227" w:rsidP="002D2227">
      <w:pPr>
        <w:rPr>
          <w:rFonts w:ascii="Times New Roman" w:hAnsi="Times New Roman" w:cs="Times New Roman"/>
          <w:b/>
          <w:bCs/>
        </w:rPr>
      </w:pPr>
      <w:r w:rsidRPr="002D2227">
        <w:rPr>
          <w:rFonts w:ascii="Times New Roman" w:hAnsi="Times New Roman" w:cs="Times New Roman"/>
          <w:b/>
          <w:bCs/>
        </w:rPr>
        <w:t>Review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971"/>
      </w:tblGrid>
      <w:tr w:rsidR="002D2227" w:rsidRPr="002D2227" w14:paraId="6AD2F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ED0DF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</w:rPr>
            </w:pPr>
            <w:r w:rsidRPr="002D2227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79AFDD8A" w14:textId="77777777" w:rsidR="002D2227" w:rsidRPr="002D2227" w:rsidRDefault="002D2227" w:rsidP="002D2227">
            <w:pPr>
              <w:rPr>
                <w:rFonts w:ascii="Times New Roman" w:hAnsi="Times New Roman" w:cs="Times New Roman"/>
                <w:b/>
                <w:bCs/>
              </w:rPr>
            </w:pPr>
            <w:r w:rsidRPr="002D2227">
              <w:rPr>
                <w:rFonts w:ascii="Times New Roman" w:hAnsi="Times New Roman" w:cs="Times New Roman"/>
                <w:b/>
                <w:bCs/>
              </w:rPr>
              <w:t>Review Frequency</w:t>
            </w:r>
          </w:p>
        </w:tc>
      </w:tr>
      <w:tr w:rsidR="002D2227" w:rsidRPr="002D2227" w14:paraId="0D36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9981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B2ECB32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Bi-weekly</w:t>
            </w:r>
          </w:p>
        </w:tc>
      </w:tr>
      <w:tr w:rsidR="002D2227" w:rsidRPr="002D2227" w14:paraId="0993A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7644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270265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Monthly</w:t>
            </w:r>
          </w:p>
        </w:tc>
      </w:tr>
      <w:tr w:rsidR="002D2227" w:rsidRPr="002D2227" w14:paraId="234A5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7549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3057446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Quarterly</w:t>
            </w:r>
          </w:p>
        </w:tc>
      </w:tr>
      <w:tr w:rsidR="002D2227" w:rsidRPr="002D2227" w14:paraId="38D08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5C47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C050D00" w14:textId="77777777" w:rsidR="002D2227" w:rsidRPr="002D2227" w:rsidRDefault="002D2227" w:rsidP="002D2227">
            <w:pPr>
              <w:rPr>
                <w:rFonts w:ascii="Times New Roman" w:hAnsi="Times New Roman" w:cs="Times New Roman"/>
              </w:rPr>
            </w:pPr>
            <w:r w:rsidRPr="002D2227">
              <w:rPr>
                <w:rFonts w:ascii="Times New Roman" w:hAnsi="Times New Roman" w:cs="Times New Roman"/>
              </w:rPr>
              <w:t>As needed</w:t>
            </w:r>
          </w:p>
        </w:tc>
      </w:tr>
    </w:tbl>
    <w:p w14:paraId="31E0B356" w14:textId="77777777" w:rsidR="002D2227" w:rsidRPr="002D2227" w:rsidRDefault="002D2227" w:rsidP="002D2227">
      <w:pPr>
        <w:rPr>
          <w:rFonts w:ascii="Times New Roman" w:hAnsi="Times New Roman" w:cs="Times New Roman"/>
          <w:b/>
          <w:bCs/>
        </w:rPr>
      </w:pPr>
      <w:r w:rsidRPr="002D2227">
        <w:rPr>
          <w:rFonts w:ascii="Times New Roman" w:hAnsi="Times New Roman" w:cs="Times New Roman"/>
          <w:b/>
          <w:bCs/>
        </w:rPr>
        <w:t>Success Measures</w:t>
      </w:r>
    </w:p>
    <w:p w14:paraId="144CA55D" w14:textId="77777777" w:rsidR="002D2227" w:rsidRPr="002D2227" w:rsidRDefault="002D2227" w:rsidP="002D22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High-risk assumptions identified early</w:t>
      </w:r>
    </w:p>
    <w:p w14:paraId="5B70A053" w14:textId="77777777" w:rsidR="002D2227" w:rsidRPr="002D2227" w:rsidRDefault="002D2227" w:rsidP="002D22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Mitigation plans defined for critical assumptions</w:t>
      </w:r>
    </w:p>
    <w:p w14:paraId="0AC36B32" w14:textId="77777777" w:rsidR="002D2227" w:rsidRPr="002D2227" w:rsidRDefault="002D2227" w:rsidP="002D22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Reduced impact from failed assumptions</w:t>
      </w:r>
    </w:p>
    <w:p w14:paraId="05F404E1" w14:textId="77777777" w:rsidR="002D2227" w:rsidRPr="002D2227" w:rsidRDefault="002D2227" w:rsidP="002D22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Improved resilience in planning and execution</w:t>
      </w:r>
    </w:p>
    <w:p w14:paraId="7D6BE98D" w14:textId="77777777" w:rsidR="002D2227" w:rsidRPr="002D2227" w:rsidRDefault="002D2227" w:rsidP="002D2227">
      <w:pPr>
        <w:rPr>
          <w:rFonts w:ascii="Times New Roman" w:hAnsi="Times New Roman" w:cs="Times New Roman"/>
          <w:b/>
          <w:bCs/>
        </w:rPr>
      </w:pPr>
      <w:r w:rsidRPr="002D2227">
        <w:rPr>
          <w:rFonts w:ascii="Times New Roman" w:hAnsi="Times New Roman" w:cs="Times New Roman"/>
          <w:b/>
          <w:bCs/>
        </w:rPr>
        <w:t>Expected Outcome</w:t>
      </w:r>
    </w:p>
    <w:p w14:paraId="2FEBC0CF" w14:textId="77777777" w:rsidR="002D2227" w:rsidRPr="002D2227" w:rsidRDefault="002D2227" w:rsidP="002D2227">
      <w:pPr>
        <w:rPr>
          <w:rFonts w:ascii="Times New Roman" w:hAnsi="Times New Roman" w:cs="Times New Roman"/>
        </w:rPr>
      </w:pPr>
      <w:r w:rsidRPr="002D2227">
        <w:rPr>
          <w:rFonts w:ascii="Times New Roman" w:hAnsi="Times New Roman" w:cs="Times New Roman"/>
        </w:rPr>
        <w:t>Provide a proactive approach to managing uncertainty by identifying assumption-related risks early, prioritizing mitigation efforts, and improving the ability to adapt when assumptions change or fail.</w:t>
      </w:r>
    </w:p>
    <w:p w14:paraId="607CFC1E" w14:textId="77777777" w:rsidR="00090554" w:rsidRPr="002D2227" w:rsidRDefault="00090554">
      <w:pPr>
        <w:rPr>
          <w:rFonts w:ascii="Times New Roman" w:hAnsi="Times New Roman" w:cs="Times New Roman"/>
        </w:rPr>
      </w:pPr>
    </w:p>
    <w:sectPr w:rsidR="00090554" w:rsidRPr="002D2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329"/>
    <w:multiLevelType w:val="multilevel"/>
    <w:tmpl w:val="9B00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25098"/>
    <w:multiLevelType w:val="multilevel"/>
    <w:tmpl w:val="3000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4B3B9B"/>
    <w:multiLevelType w:val="multilevel"/>
    <w:tmpl w:val="F20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856134">
    <w:abstractNumId w:val="0"/>
  </w:num>
  <w:num w:numId="2" w16cid:durableId="1265116669">
    <w:abstractNumId w:val="1"/>
  </w:num>
  <w:num w:numId="3" w16cid:durableId="1825780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27"/>
    <w:rsid w:val="00090554"/>
    <w:rsid w:val="002D2227"/>
    <w:rsid w:val="00B76CFB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9408"/>
  <w15:chartTrackingRefBased/>
  <w15:docId w15:val="{6CC193C1-7E72-4E36-BB5D-454EDEABF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2026-06-09T06:18:00Z</dcterms:created>
  <dcterms:modified xsi:type="dcterms:W3CDTF">2026-06-09T06:34:00Z</dcterms:modified>
</cp:coreProperties>
</file>