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DCA2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33933">
        <w:rPr>
          <w:rFonts w:ascii="Times New Roman" w:hAnsi="Times New Roman" w:cs="Times New Roman"/>
          <w:b/>
          <w:bCs/>
          <w:color w:val="E97132" w:themeColor="accent2"/>
        </w:rPr>
        <w:t>Lessons Learned Register</w:t>
      </w:r>
    </w:p>
    <w:p w14:paraId="233C20C6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Overview</w:t>
      </w:r>
    </w:p>
    <w:p w14:paraId="54C21163" w14:textId="7C2C520E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 xml:space="preserve">The Lessons Learned Register captures key insights, observations, and improvement opportunities identified throughout the lifecycle of </w:t>
      </w:r>
      <w:r w:rsidRPr="00233933">
        <w:rPr>
          <w:rFonts w:ascii="Times New Roman" w:hAnsi="Times New Roman" w:cs="Times New Roman"/>
          <w:b/>
          <w:bCs/>
        </w:rPr>
        <w:t>Project Pulse</w:t>
      </w:r>
      <w:r w:rsidRPr="00233933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233933">
        <w:rPr>
          <w:rFonts w:ascii="Times New Roman" w:hAnsi="Times New Roman" w:cs="Times New Roman"/>
        </w:rPr>
        <w:t>.</w:t>
      </w:r>
    </w:p>
    <w:p w14:paraId="3421EB6A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Its purpose is to transform project experiences into actionable knowledge that improves future product planning, decision-making, governance, delivery execution, and stakeholder management.</w:t>
      </w:r>
    </w:p>
    <w:p w14:paraId="1451234B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Unlike incident or crisis reviews, this register focuses on broader organizational and product management learnings gathered across the entire project lifecycle.</w:t>
      </w:r>
    </w:p>
    <w:p w14:paraId="07C3A94D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67F3AB08">
          <v:rect id="_x0000_i1067" style="width:0;height:1.5pt" o:hralign="center" o:hrstd="t" o:hr="t" fillcolor="#a0a0a0" stroked="f"/>
        </w:pict>
      </w:r>
    </w:p>
    <w:p w14:paraId="78429329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Objectives</w:t>
      </w:r>
    </w:p>
    <w:p w14:paraId="2D1481D5" w14:textId="77777777" w:rsidR="00233933" w:rsidRPr="00233933" w:rsidRDefault="00233933" w:rsidP="0023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Capture meaningful project insights</w:t>
      </w:r>
    </w:p>
    <w:p w14:paraId="06C59EA0" w14:textId="77777777" w:rsidR="00233933" w:rsidRPr="00233933" w:rsidRDefault="00233933" w:rsidP="0023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Identify recurring patterns and challenges</w:t>
      </w:r>
    </w:p>
    <w:p w14:paraId="66631639" w14:textId="77777777" w:rsidR="00233933" w:rsidRPr="00233933" w:rsidRDefault="00233933" w:rsidP="0023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Improve future decision-making</w:t>
      </w:r>
    </w:p>
    <w:p w14:paraId="02586818" w14:textId="77777777" w:rsidR="00233933" w:rsidRPr="00233933" w:rsidRDefault="00233933" w:rsidP="0023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Strengthen governance and planning practices</w:t>
      </w:r>
    </w:p>
    <w:p w14:paraId="149E1CF7" w14:textId="77777777" w:rsidR="00233933" w:rsidRPr="00233933" w:rsidRDefault="00233933" w:rsidP="002339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Promote continuous improvement</w:t>
      </w:r>
    </w:p>
    <w:p w14:paraId="10C9E4B6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09F53AA9">
          <v:rect id="_x0000_i1068" style="width:0;height:1.5pt" o:hralign="center" o:hrstd="t" o:hr="t" fillcolor="#a0a0a0" stroked="f"/>
        </w:pict>
      </w:r>
    </w:p>
    <w:p w14:paraId="2C57CE58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Lessons Learned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176"/>
        <w:gridCol w:w="1960"/>
        <w:gridCol w:w="1838"/>
        <w:gridCol w:w="1898"/>
        <w:gridCol w:w="670"/>
        <w:gridCol w:w="832"/>
      </w:tblGrid>
      <w:tr w:rsidR="00233933" w:rsidRPr="00233933" w14:paraId="7AA54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3D099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Lesson ID</w:t>
            </w:r>
          </w:p>
        </w:tc>
        <w:tc>
          <w:tcPr>
            <w:tcW w:w="0" w:type="auto"/>
            <w:vAlign w:val="center"/>
            <w:hideMark/>
          </w:tcPr>
          <w:p w14:paraId="24B65420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C6219A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903B97C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Lesson Learned</w:t>
            </w:r>
          </w:p>
        </w:tc>
        <w:tc>
          <w:tcPr>
            <w:tcW w:w="0" w:type="auto"/>
            <w:vAlign w:val="center"/>
            <w:hideMark/>
          </w:tcPr>
          <w:p w14:paraId="0EEF87CB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63934A4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A52C67" w14:textId="77777777" w:rsidR="00233933" w:rsidRPr="00233933" w:rsidRDefault="00233933" w:rsidP="0023393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</w:tr>
      <w:tr w:rsidR="00233933" w:rsidRPr="00233933" w14:paraId="51F7C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22E6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LL-001</w:t>
            </w:r>
          </w:p>
        </w:tc>
        <w:tc>
          <w:tcPr>
            <w:tcW w:w="0" w:type="auto"/>
            <w:vAlign w:val="center"/>
            <w:hideMark/>
          </w:tcPr>
          <w:p w14:paraId="19F1A69A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66911BA3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Decisions made with clear evaluation criteria produced better outcomes</w:t>
            </w:r>
          </w:p>
        </w:tc>
        <w:tc>
          <w:tcPr>
            <w:tcW w:w="0" w:type="auto"/>
            <w:vAlign w:val="center"/>
            <w:hideMark/>
          </w:tcPr>
          <w:p w14:paraId="67DE372C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Structured decision frameworks improve consistency and transparency</w:t>
            </w:r>
          </w:p>
        </w:tc>
        <w:tc>
          <w:tcPr>
            <w:tcW w:w="0" w:type="auto"/>
            <w:vAlign w:val="center"/>
            <w:hideMark/>
          </w:tcPr>
          <w:p w14:paraId="52F76F98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Continue using documented decision frameworks</w:t>
            </w:r>
          </w:p>
        </w:tc>
        <w:tc>
          <w:tcPr>
            <w:tcW w:w="0" w:type="auto"/>
            <w:vAlign w:val="center"/>
            <w:hideMark/>
          </w:tcPr>
          <w:p w14:paraId="79810789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0B137F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3933" w:rsidRPr="00233933" w14:paraId="3CF9D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EC5B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LL-002</w:t>
            </w:r>
          </w:p>
        </w:tc>
        <w:tc>
          <w:tcPr>
            <w:tcW w:w="0" w:type="auto"/>
            <w:vAlign w:val="center"/>
            <w:hideMark/>
          </w:tcPr>
          <w:p w14:paraId="3E1527AA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C9F7EF9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Several assumptions required validation earlier than expected</w:t>
            </w:r>
          </w:p>
        </w:tc>
        <w:tc>
          <w:tcPr>
            <w:tcW w:w="0" w:type="auto"/>
            <w:vAlign w:val="center"/>
            <w:hideMark/>
          </w:tcPr>
          <w:p w14:paraId="1DD6E49C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High-risk assumptions should be validated as early as possible</w:t>
            </w:r>
          </w:p>
        </w:tc>
        <w:tc>
          <w:tcPr>
            <w:tcW w:w="0" w:type="auto"/>
            <w:vAlign w:val="center"/>
            <w:hideMark/>
          </w:tcPr>
          <w:p w14:paraId="580CF974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Introduce assumption reviews during planning phases</w:t>
            </w:r>
          </w:p>
        </w:tc>
        <w:tc>
          <w:tcPr>
            <w:tcW w:w="0" w:type="auto"/>
            <w:vAlign w:val="center"/>
            <w:hideMark/>
          </w:tcPr>
          <w:p w14:paraId="04CACD9B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3E6D73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3933" w:rsidRPr="00233933" w14:paraId="73C1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7608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LL-003</w:t>
            </w:r>
          </w:p>
        </w:tc>
        <w:tc>
          <w:tcPr>
            <w:tcW w:w="0" w:type="auto"/>
            <w:vAlign w:val="center"/>
            <w:hideMark/>
          </w:tcPr>
          <w:p w14:paraId="1FE80772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Trade-offs</w:t>
            </w:r>
          </w:p>
        </w:tc>
        <w:tc>
          <w:tcPr>
            <w:tcW w:w="0" w:type="auto"/>
            <w:vAlign w:val="center"/>
            <w:hideMark/>
          </w:tcPr>
          <w:p w14:paraId="23726187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Early prioritization accelerated MVP delivery</w:t>
            </w:r>
          </w:p>
        </w:tc>
        <w:tc>
          <w:tcPr>
            <w:tcW w:w="0" w:type="auto"/>
            <w:vAlign w:val="center"/>
            <w:hideMark/>
          </w:tcPr>
          <w:p w14:paraId="76144BF6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Delivering core value is more important than maximizing feature count</w:t>
            </w:r>
          </w:p>
        </w:tc>
        <w:tc>
          <w:tcPr>
            <w:tcW w:w="0" w:type="auto"/>
            <w:vAlign w:val="center"/>
            <w:hideMark/>
          </w:tcPr>
          <w:p w14:paraId="03B306FF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Focus on value-driven prioritization</w:t>
            </w:r>
          </w:p>
        </w:tc>
        <w:tc>
          <w:tcPr>
            <w:tcW w:w="0" w:type="auto"/>
            <w:vAlign w:val="center"/>
            <w:hideMark/>
          </w:tcPr>
          <w:p w14:paraId="06200409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4784DF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3933" w:rsidRPr="00233933" w14:paraId="59278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65D3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LL-004</w:t>
            </w:r>
          </w:p>
        </w:tc>
        <w:tc>
          <w:tcPr>
            <w:tcW w:w="0" w:type="auto"/>
            <w:vAlign w:val="center"/>
            <w:hideMark/>
          </w:tcPr>
          <w:p w14:paraId="63FA327B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Scenario Planning</w:t>
            </w:r>
          </w:p>
        </w:tc>
        <w:tc>
          <w:tcPr>
            <w:tcW w:w="0" w:type="auto"/>
            <w:vAlign w:val="center"/>
            <w:hideMark/>
          </w:tcPr>
          <w:p w14:paraId="106F88EE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Teams responded faster when response strategies were predefined</w:t>
            </w:r>
          </w:p>
        </w:tc>
        <w:tc>
          <w:tcPr>
            <w:tcW w:w="0" w:type="auto"/>
            <w:vAlign w:val="center"/>
            <w:hideMark/>
          </w:tcPr>
          <w:p w14:paraId="21E4C9AF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Preparing for uncertainty improves execution resilience</w:t>
            </w:r>
          </w:p>
        </w:tc>
        <w:tc>
          <w:tcPr>
            <w:tcW w:w="0" w:type="auto"/>
            <w:vAlign w:val="center"/>
            <w:hideMark/>
          </w:tcPr>
          <w:p w14:paraId="611A1364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Expand scenario planning for future initiatives</w:t>
            </w:r>
          </w:p>
        </w:tc>
        <w:tc>
          <w:tcPr>
            <w:tcW w:w="0" w:type="auto"/>
            <w:vAlign w:val="center"/>
            <w:hideMark/>
          </w:tcPr>
          <w:p w14:paraId="4066D4D8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00436D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3933" w:rsidRPr="00233933" w14:paraId="4B85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8583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LL-005</w:t>
            </w:r>
          </w:p>
        </w:tc>
        <w:tc>
          <w:tcPr>
            <w:tcW w:w="0" w:type="auto"/>
            <w:vAlign w:val="center"/>
            <w:hideMark/>
          </w:tcPr>
          <w:p w14:paraId="7BBAE467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Stakeholder Management</w:t>
            </w:r>
          </w:p>
        </w:tc>
        <w:tc>
          <w:tcPr>
            <w:tcW w:w="0" w:type="auto"/>
            <w:vAlign w:val="center"/>
            <w:hideMark/>
          </w:tcPr>
          <w:p w14:paraId="4BD94040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Frequent communication reduced escalations and alignment issues</w:t>
            </w:r>
          </w:p>
        </w:tc>
        <w:tc>
          <w:tcPr>
            <w:tcW w:w="0" w:type="auto"/>
            <w:vAlign w:val="center"/>
            <w:hideMark/>
          </w:tcPr>
          <w:p w14:paraId="6882A267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Transparency improves stakeholder confidence</w:t>
            </w:r>
          </w:p>
        </w:tc>
        <w:tc>
          <w:tcPr>
            <w:tcW w:w="0" w:type="auto"/>
            <w:vAlign w:val="center"/>
            <w:hideMark/>
          </w:tcPr>
          <w:p w14:paraId="769D2A5F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Maintain regular governance reviews</w:t>
            </w:r>
          </w:p>
        </w:tc>
        <w:tc>
          <w:tcPr>
            <w:tcW w:w="0" w:type="auto"/>
            <w:vAlign w:val="center"/>
            <w:hideMark/>
          </w:tcPr>
          <w:p w14:paraId="066F805E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9C4161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233933" w:rsidRPr="00233933" w14:paraId="6593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FB87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LL-006</w:t>
            </w:r>
          </w:p>
        </w:tc>
        <w:tc>
          <w:tcPr>
            <w:tcW w:w="0" w:type="auto"/>
            <w:vAlign w:val="center"/>
            <w:hideMark/>
          </w:tcPr>
          <w:p w14:paraId="2CD5356C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0A6F3FBD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Trust in AI insights depended on visibility into model performance</w:t>
            </w:r>
          </w:p>
        </w:tc>
        <w:tc>
          <w:tcPr>
            <w:tcW w:w="0" w:type="auto"/>
            <w:vAlign w:val="center"/>
            <w:hideMark/>
          </w:tcPr>
          <w:p w14:paraId="68ECDE6B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AI monitoring and validation are critical for adoption</w:t>
            </w:r>
          </w:p>
        </w:tc>
        <w:tc>
          <w:tcPr>
            <w:tcW w:w="0" w:type="auto"/>
            <w:vAlign w:val="center"/>
            <w:hideMark/>
          </w:tcPr>
          <w:p w14:paraId="621DA7E1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Continue model performance reviews and reporting</w:t>
            </w:r>
          </w:p>
        </w:tc>
        <w:tc>
          <w:tcPr>
            <w:tcW w:w="0" w:type="auto"/>
            <w:vAlign w:val="center"/>
            <w:hideMark/>
          </w:tcPr>
          <w:p w14:paraId="26BE49FE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295449" w14:textId="77777777" w:rsidR="00233933" w:rsidRPr="00233933" w:rsidRDefault="00233933" w:rsidP="002339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33933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</w:tbl>
    <w:p w14:paraId="63901EC9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1FD81653">
          <v:rect id="_x0000_i1069" style="width:0;height:1.5pt" o:hralign="center" o:hrstd="t" o:hr="t" fillcolor="#a0a0a0" stroked="f"/>
        </w:pict>
      </w:r>
    </w:p>
    <w:p w14:paraId="2AF9E694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Learning Categories</w:t>
      </w:r>
    </w:p>
    <w:p w14:paraId="500F8246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Product Strategy</w:t>
      </w:r>
    </w:p>
    <w:p w14:paraId="7E058E58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Insights related to vision, prioritization, roadmap planning, and business value.</w:t>
      </w:r>
    </w:p>
    <w:p w14:paraId="3632BAC8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Decision Making</w:t>
      </w:r>
    </w:p>
    <w:p w14:paraId="53346B63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Insights related to governance, trade-offs, and prioritization.</w:t>
      </w:r>
    </w:p>
    <w:p w14:paraId="1D08A1EA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Delivery Execution</w:t>
      </w:r>
    </w:p>
    <w:p w14:paraId="6F384587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Insights related to planning, timelines, dependencies, and resource management.</w:t>
      </w:r>
    </w:p>
    <w:p w14:paraId="5CD03CBC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Stakeholder Management</w:t>
      </w:r>
    </w:p>
    <w:p w14:paraId="3BB6D954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Insights related to communication, engagement, and expectation management.</w:t>
      </w:r>
    </w:p>
    <w:p w14:paraId="70BC4DF8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AI &amp; Data</w:t>
      </w:r>
    </w:p>
    <w:p w14:paraId="030816DD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Insights related to forecasting, model performance, monitoring, and data quality.</w:t>
      </w:r>
    </w:p>
    <w:p w14:paraId="6861C1D2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Risk &amp; Governance</w:t>
      </w:r>
    </w:p>
    <w:p w14:paraId="09559593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Insights related to assumptions, risk management, crisis response, and operational controls.</w:t>
      </w:r>
    </w:p>
    <w:p w14:paraId="3357CB52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3FDD3915">
          <v:rect id="_x0000_i1070" style="width:0;height:1.5pt" o:hralign="center" o:hrstd="t" o:hr="t" fillcolor="#a0a0a0" stroked="f"/>
        </w:pict>
      </w:r>
    </w:p>
    <w:p w14:paraId="4A1FD4FE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Knowledge Capture Guidelines</w:t>
      </w:r>
    </w:p>
    <w:p w14:paraId="423AE3B3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When documenting lessons:</w:t>
      </w:r>
    </w:p>
    <w:p w14:paraId="683E122E" w14:textId="77777777" w:rsidR="00233933" w:rsidRPr="00233933" w:rsidRDefault="00233933" w:rsidP="002339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Focus on actionable insights</w:t>
      </w:r>
    </w:p>
    <w:p w14:paraId="304C6BD8" w14:textId="77777777" w:rsidR="00233933" w:rsidRPr="00233933" w:rsidRDefault="00233933" w:rsidP="002339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Identify root causes where possible</w:t>
      </w:r>
    </w:p>
    <w:p w14:paraId="7ED1FDFA" w14:textId="77777777" w:rsidR="00233933" w:rsidRPr="00233933" w:rsidRDefault="00233933" w:rsidP="002339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Avoid assigning blame</w:t>
      </w:r>
    </w:p>
    <w:p w14:paraId="59096F15" w14:textId="77777777" w:rsidR="00233933" w:rsidRPr="00233933" w:rsidRDefault="00233933" w:rsidP="002339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Capture both successes and failures</w:t>
      </w:r>
    </w:p>
    <w:p w14:paraId="59F75DDB" w14:textId="77777777" w:rsidR="00233933" w:rsidRPr="00233933" w:rsidRDefault="00233933" w:rsidP="002339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Link recommendations to future improvements</w:t>
      </w:r>
    </w:p>
    <w:p w14:paraId="01D8839D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24E3A6AF">
          <v:rect id="_x0000_i1071" style="width:0;height:1.5pt" o:hralign="center" o:hrstd="t" o:hr="t" fillcolor="#a0a0a0" stroked="f"/>
        </w:pict>
      </w:r>
    </w:p>
    <w:p w14:paraId="145B0BB7" w14:textId="77777777" w:rsidR="00233933" w:rsidRDefault="00233933" w:rsidP="00233933">
      <w:pPr>
        <w:rPr>
          <w:rFonts w:ascii="Times New Roman" w:hAnsi="Times New Roman" w:cs="Times New Roman"/>
          <w:b/>
          <w:bCs/>
        </w:rPr>
      </w:pPr>
    </w:p>
    <w:p w14:paraId="6A3DC479" w14:textId="4B54EED4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lastRenderedPageBreak/>
        <w:t>Success Measures</w:t>
      </w:r>
    </w:p>
    <w:p w14:paraId="5EA736C4" w14:textId="77777777" w:rsidR="00233933" w:rsidRPr="00233933" w:rsidRDefault="00233933" w:rsidP="002339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Lessons documented consistently</w:t>
      </w:r>
    </w:p>
    <w:p w14:paraId="4FECE1C2" w14:textId="77777777" w:rsidR="00233933" w:rsidRPr="00233933" w:rsidRDefault="00233933" w:rsidP="002339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Recommendations assigned and tracked</w:t>
      </w:r>
    </w:p>
    <w:p w14:paraId="4D9DA02D" w14:textId="77777777" w:rsidR="00233933" w:rsidRPr="00233933" w:rsidRDefault="00233933" w:rsidP="002339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Repeat issues reduced over time</w:t>
      </w:r>
    </w:p>
    <w:p w14:paraId="3316A9E0" w14:textId="77777777" w:rsidR="00233933" w:rsidRPr="00233933" w:rsidRDefault="00233933" w:rsidP="002339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Governance practices strengthened</w:t>
      </w:r>
    </w:p>
    <w:p w14:paraId="077FD3D0" w14:textId="77777777" w:rsidR="00233933" w:rsidRPr="00233933" w:rsidRDefault="00233933" w:rsidP="002339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Improved decision quality across future initiatives</w:t>
      </w:r>
    </w:p>
    <w:p w14:paraId="4DED9972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4C7E4910">
          <v:rect id="_x0000_i1072" style="width:0;height:1.5pt" o:hralign="center" o:hrstd="t" o:hr="t" fillcolor="#a0a0a0" stroked="f"/>
        </w:pict>
      </w:r>
    </w:p>
    <w:p w14:paraId="2F247DD0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Key Themes Identified</w:t>
      </w:r>
    </w:p>
    <w:p w14:paraId="25FB4E69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Validate Early</w:t>
      </w:r>
    </w:p>
    <w:p w14:paraId="34FBCE50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Assumptions, risks, and dependencies should be validated as early as possible.</w:t>
      </w:r>
    </w:p>
    <w:p w14:paraId="3B26A76F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Prioritize Value</w:t>
      </w:r>
    </w:p>
    <w:p w14:paraId="54F21508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Business value should drive prioritization decisions over feature volume.</w:t>
      </w:r>
    </w:p>
    <w:p w14:paraId="661DA739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Communicate Frequently</w:t>
      </w:r>
    </w:p>
    <w:p w14:paraId="1AA53550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Regular stakeholder communication reduces uncertainty and escalation.</w:t>
      </w:r>
    </w:p>
    <w:p w14:paraId="4EFAFE5A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Prepare for Change</w:t>
      </w:r>
    </w:p>
    <w:p w14:paraId="0DFC96B1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Scenario planning and crisis readiness improve resilience.</w:t>
      </w:r>
    </w:p>
    <w:p w14:paraId="2E2DCF88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Learn Continuously</w:t>
      </w:r>
    </w:p>
    <w:p w14:paraId="2E7F55F8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Every decision, success, and challenge provides opportunities for improvement.</w:t>
      </w:r>
    </w:p>
    <w:p w14:paraId="6611E275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pict w14:anchorId="23C5BB36">
          <v:rect id="_x0000_i1073" style="width:0;height:1.5pt" o:hralign="center" o:hrstd="t" o:hr="t" fillcolor="#a0a0a0" stroked="f"/>
        </w:pict>
      </w:r>
    </w:p>
    <w:p w14:paraId="57299AC3" w14:textId="77777777" w:rsidR="00233933" w:rsidRPr="00233933" w:rsidRDefault="00233933" w:rsidP="00233933">
      <w:pPr>
        <w:rPr>
          <w:rFonts w:ascii="Times New Roman" w:hAnsi="Times New Roman" w:cs="Times New Roman"/>
          <w:b/>
          <w:bCs/>
        </w:rPr>
      </w:pPr>
      <w:r w:rsidRPr="00233933">
        <w:rPr>
          <w:rFonts w:ascii="Times New Roman" w:hAnsi="Times New Roman" w:cs="Times New Roman"/>
          <w:b/>
          <w:bCs/>
        </w:rPr>
        <w:t>Expected Outcome</w:t>
      </w:r>
    </w:p>
    <w:p w14:paraId="72231922" w14:textId="77777777" w:rsidR="00233933" w:rsidRPr="00233933" w:rsidRDefault="00233933" w:rsidP="00233933">
      <w:pPr>
        <w:rPr>
          <w:rFonts w:ascii="Times New Roman" w:hAnsi="Times New Roman" w:cs="Times New Roman"/>
        </w:rPr>
      </w:pPr>
      <w:r w:rsidRPr="00233933">
        <w:rPr>
          <w:rFonts w:ascii="Times New Roman" w:hAnsi="Times New Roman" w:cs="Times New Roman"/>
        </w:rPr>
        <w:t>Create a centralized repository of project knowledge that enables Product Managers and stakeholders to learn from experience, improve future decision-making, and continuously strengthen product delivery and governance practices.</w:t>
      </w:r>
    </w:p>
    <w:p w14:paraId="1645A9B2" w14:textId="77777777" w:rsidR="00090554" w:rsidRPr="00233933" w:rsidRDefault="00090554">
      <w:pPr>
        <w:rPr>
          <w:rFonts w:ascii="Times New Roman" w:hAnsi="Times New Roman" w:cs="Times New Roman"/>
        </w:rPr>
      </w:pPr>
    </w:p>
    <w:sectPr w:rsidR="00090554" w:rsidRPr="00233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7130"/>
    <w:multiLevelType w:val="multilevel"/>
    <w:tmpl w:val="FC9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93EC4"/>
    <w:multiLevelType w:val="multilevel"/>
    <w:tmpl w:val="48F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C4603"/>
    <w:multiLevelType w:val="multilevel"/>
    <w:tmpl w:val="379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643467">
    <w:abstractNumId w:val="0"/>
  </w:num>
  <w:num w:numId="2" w16cid:durableId="1296371344">
    <w:abstractNumId w:val="2"/>
  </w:num>
  <w:num w:numId="3" w16cid:durableId="52803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33"/>
    <w:rsid w:val="00090554"/>
    <w:rsid w:val="00233933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9DCC"/>
  <w15:chartTrackingRefBased/>
  <w15:docId w15:val="{E5DF44FB-A757-4251-85F6-1190561C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517</Words>
  <Characters>3388</Characters>
  <Application>Microsoft Office Word</Application>
  <DocSecurity>0</DocSecurity>
  <Lines>63</Lines>
  <Paragraphs>36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2026-06-09T11:51:00Z</dcterms:created>
  <dcterms:modified xsi:type="dcterms:W3CDTF">2026-06-09T11:54:00Z</dcterms:modified>
</cp:coreProperties>
</file>