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773AF" w14:textId="27CDB5EF" w:rsidR="007350E4" w:rsidRDefault="007350E4" w:rsidP="00D01C05">
      <w:pPr>
        <w:tabs>
          <w:tab w:val="left" w:pos="1335"/>
        </w:tabs>
        <w:spacing w:before="2600"/>
      </w:pPr>
    </w:p>
    <w:p w14:paraId="4E8DED38" w14:textId="77777777" w:rsidR="007350E4" w:rsidRDefault="00000000">
      <w:pPr>
        <w:spacing w:after="200"/>
        <w:jc w:val="center"/>
      </w:pPr>
      <w:r>
        <w:rPr>
          <w:b/>
          <w:bCs/>
          <w:color w:val="1F4E79"/>
          <w:sz w:val="44"/>
          <w:szCs w:val="44"/>
        </w:rPr>
        <w:t>HEALTHCARE DATA VISUALISATION,</w:t>
      </w:r>
    </w:p>
    <w:p w14:paraId="35D265B8" w14:textId="77777777" w:rsidR="007350E4" w:rsidRDefault="00000000">
      <w:pPr>
        <w:spacing w:after="200"/>
        <w:jc w:val="center"/>
      </w:pPr>
      <w:r>
        <w:rPr>
          <w:b/>
          <w:bCs/>
          <w:color w:val="1F4E79"/>
          <w:sz w:val="44"/>
          <w:szCs w:val="44"/>
        </w:rPr>
        <w:t>PAST RELATIONSHIP AND POLICY INSIGHTS</w:t>
      </w:r>
    </w:p>
    <w:p w14:paraId="63951EA8" w14:textId="3523AA38" w:rsidR="007350E4" w:rsidRDefault="007350E4" w:rsidP="00D01C05">
      <w:pPr>
        <w:pBdr>
          <w:bottom w:val="single" w:sz="18" w:space="10" w:color="2E86AB"/>
        </w:pBdr>
        <w:spacing w:after="900"/>
      </w:pPr>
    </w:p>
    <w:tbl>
      <w:tblPr>
        <w:tblStyle w:val="a"/>
        <w:tblW w:w="86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200"/>
      </w:tblGrid>
      <w:tr w:rsidR="007350E4" w14:paraId="1D649ACE" w14:textId="77777777">
        <w:trPr>
          <w:jc w:val="center"/>
        </w:trPr>
        <w:tc>
          <w:tcPr>
            <w:tcW w:w="2400" w:type="dxa"/>
            <w:tcBorders>
              <w:top w:val="nil"/>
              <w:left w:val="nil"/>
              <w:bottom w:val="nil"/>
              <w:right w:val="nil"/>
            </w:tcBorders>
            <w:tcMar>
              <w:top w:w="70" w:type="dxa"/>
              <w:left w:w="120" w:type="dxa"/>
              <w:bottom w:w="70" w:type="dxa"/>
              <w:right w:w="120" w:type="dxa"/>
            </w:tcMar>
            <w:vAlign w:val="center"/>
          </w:tcPr>
          <w:p w14:paraId="6AC5F290" w14:textId="19C96C7D" w:rsidR="007350E4" w:rsidRDefault="00000000">
            <w:r>
              <w:rPr>
                <w:b/>
                <w:bCs/>
                <w:color w:val="1F4E79"/>
                <w:sz w:val="24"/>
                <w:szCs w:val="24"/>
              </w:rPr>
              <w:t>Name</w:t>
            </w:r>
            <w:r w:rsidR="00D01C05">
              <w:rPr>
                <w:b/>
                <w:bCs/>
                <w:color w:val="1F4E79"/>
                <w:sz w:val="24"/>
                <w:szCs w:val="24"/>
              </w:rPr>
              <w:t>:</w:t>
            </w:r>
          </w:p>
        </w:tc>
        <w:tc>
          <w:tcPr>
            <w:tcW w:w="6200" w:type="dxa"/>
            <w:tcBorders>
              <w:top w:val="nil"/>
              <w:left w:val="nil"/>
              <w:bottom w:val="nil"/>
              <w:right w:val="nil"/>
            </w:tcBorders>
            <w:tcMar>
              <w:top w:w="70" w:type="dxa"/>
              <w:left w:w="120" w:type="dxa"/>
              <w:bottom w:w="70" w:type="dxa"/>
              <w:right w:w="120" w:type="dxa"/>
            </w:tcMar>
            <w:vAlign w:val="center"/>
          </w:tcPr>
          <w:p w14:paraId="46F76EDB" w14:textId="1CE3DCB4" w:rsidR="007350E4" w:rsidRPr="00D01C05" w:rsidRDefault="00D01C05">
            <w:pPr>
              <w:rPr>
                <w:b/>
                <w:bCs/>
              </w:rPr>
            </w:pPr>
            <w:r w:rsidRPr="00D01C05">
              <w:rPr>
                <w:b/>
                <w:bCs/>
                <w:sz w:val="24"/>
                <w:szCs w:val="24"/>
              </w:rPr>
              <w:t>DHANALAKSHMI.C</w:t>
            </w:r>
          </w:p>
        </w:tc>
      </w:tr>
      <w:tr w:rsidR="007350E4" w14:paraId="341280C0" w14:textId="77777777">
        <w:trPr>
          <w:jc w:val="center"/>
        </w:trPr>
        <w:tc>
          <w:tcPr>
            <w:tcW w:w="2400" w:type="dxa"/>
            <w:tcBorders>
              <w:top w:val="nil"/>
              <w:left w:val="nil"/>
              <w:bottom w:val="nil"/>
              <w:right w:val="nil"/>
            </w:tcBorders>
            <w:tcMar>
              <w:top w:w="70" w:type="dxa"/>
              <w:left w:w="120" w:type="dxa"/>
              <w:bottom w:w="70" w:type="dxa"/>
              <w:right w:w="120" w:type="dxa"/>
            </w:tcMar>
            <w:vAlign w:val="center"/>
          </w:tcPr>
          <w:p w14:paraId="3B3FDB8C" w14:textId="77777777" w:rsidR="007350E4" w:rsidRDefault="00000000">
            <w:pPr>
              <w:rPr>
                <w:b/>
                <w:bCs/>
                <w:color w:val="1F4E79"/>
                <w:sz w:val="24"/>
                <w:szCs w:val="24"/>
              </w:rPr>
            </w:pPr>
            <w:r>
              <w:rPr>
                <w:b/>
                <w:bCs/>
                <w:color w:val="1F4E79"/>
                <w:sz w:val="24"/>
                <w:szCs w:val="24"/>
              </w:rPr>
              <w:t>Reg. No</w:t>
            </w:r>
            <w:r w:rsidR="00D01C05">
              <w:rPr>
                <w:b/>
                <w:bCs/>
                <w:color w:val="1F4E79"/>
                <w:sz w:val="24"/>
                <w:szCs w:val="24"/>
              </w:rPr>
              <w:t>:</w:t>
            </w:r>
          </w:p>
          <w:p w14:paraId="3793A31C" w14:textId="2C532426" w:rsidR="00D01C05" w:rsidRDefault="00D01C05"/>
        </w:tc>
        <w:tc>
          <w:tcPr>
            <w:tcW w:w="6200" w:type="dxa"/>
            <w:tcBorders>
              <w:top w:val="nil"/>
              <w:left w:val="nil"/>
              <w:bottom w:val="nil"/>
              <w:right w:val="nil"/>
            </w:tcBorders>
            <w:tcMar>
              <w:top w:w="70" w:type="dxa"/>
              <w:left w:w="120" w:type="dxa"/>
              <w:bottom w:w="70" w:type="dxa"/>
              <w:right w:w="120" w:type="dxa"/>
            </w:tcMar>
            <w:vAlign w:val="center"/>
          </w:tcPr>
          <w:p w14:paraId="35E52D95" w14:textId="4AC5A169" w:rsidR="007350E4" w:rsidRPr="00D01C05" w:rsidRDefault="00D01C05">
            <w:pPr>
              <w:rPr>
                <w:b/>
                <w:bCs/>
              </w:rPr>
            </w:pPr>
            <w:r w:rsidRPr="00D01C05">
              <w:rPr>
                <w:b/>
                <w:bCs/>
                <w:sz w:val="24"/>
                <w:szCs w:val="24"/>
              </w:rPr>
              <w:t>26BSC080</w:t>
            </w:r>
          </w:p>
        </w:tc>
      </w:tr>
      <w:tr w:rsidR="007350E4" w14:paraId="20A59D9E" w14:textId="77777777">
        <w:trPr>
          <w:jc w:val="center"/>
        </w:trPr>
        <w:tc>
          <w:tcPr>
            <w:tcW w:w="2400" w:type="dxa"/>
            <w:tcBorders>
              <w:top w:val="nil"/>
              <w:left w:val="nil"/>
              <w:bottom w:val="nil"/>
              <w:right w:val="nil"/>
            </w:tcBorders>
            <w:tcMar>
              <w:top w:w="70" w:type="dxa"/>
              <w:left w:w="120" w:type="dxa"/>
              <w:bottom w:w="70" w:type="dxa"/>
              <w:right w:w="120" w:type="dxa"/>
            </w:tcMar>
            <w:vAlign w:val="center"/>
          </w:tcPr>
          <w:p w14:paraId="44E21480" w14:textId="1BD6595C" w:rsidR="007350E4" w:rsidRDefault="00000000">
            <w:r>
              <w:rPr>
                <w:b/>
                <w:bCs/>
                <w:color w:val="1F4E79"/>
                <w:sz w:val="24"/>
                <w:szCs w:val="24"/>
              </w:rPr>
              <w:t>Course</w:t>
            </w:r>
            <w:r w:rsidR="00D01C05">
              <w:rPr>
                <w:b/>
                <w:bCs/>
                <w:color w:val="1F4E79"/>
                <w:sz w:val="24"/>
                <w:szCs w:val="24"/>
              </w:rPr>
              <w:t>:</w:t>
            </w:r>
          </w:p>
        </w:tc>
        <w:tc>
          <w:tcPr>
            <w:tcW w:w="6200" w:type="dxa"/>
            <w:tcBorders>
              <w:top w:val="nil"/>
              <w:left w:val="nil"/>
              <w:bottom w:val="nil"/>
              <w:right w:val="nil"/>
            </w:tcBorders>
            <w:tcMar>
              <w:top w:w="70" w:type="dxa"/>
              <w:left w:w="120" w:type="dxa"/>
              <w:bottom w:w="70" w:type="dxa"/>
              <w:right w:w="120" w:type="dxa"/>
            </w:tcMar>
            <w:vAlign w:val="center"/>
          </w:tcPr>
          <w:p w14:paraId="303948AB" w14:textId="2A52FCF0" w:rsidR="007350E4" w:rsidRPr="00D01C05" w:rsidRDefault="00D01C05">
            <w:pPr>
              <w:rPr>
                <w:b/>
                <w:bCs/>
              </w:rPr>
            </w:pPr>
            <w:r w:rsidRPr="00D01C05">
              <w:rPr>
                <w:b/>
                <w:bCs/>
                <w:sz w:val="24"/>
                <w:szCs w:val="24"/>
              </w:rPr>
              <w:t>BSC.CS(AI&amp;DS)</w:t>
            </w:r>
          </w:p>
        </w:tc>
      </w:tr>
      <w:tr w:rsidR="007350E4" w14:paraId="266969A5" w14:textId="77777777">
        <w:trPr>
          <w:jc w:val="center"/>
        </w:trPr>
        <w:tc>
          <w:tcPr>
            <w:tcW w:w="2400" w:type="dxa"/>
            <w:tcBorders>
              <w:top w:val="nil"/>
              <w:left w:val="nil"/>
              <w:bottom w:val="nil"/>
              <w:right w:val="nil"/>
            </w:tcBorders>
            <w:tcMar>
              <w:top w:w="70" w:type="dxa"/>
              <w:left w:w="120" w:type="dxa"/>
              <w:bottom w:w="70" w:type="dxa"/>
              <w:right w:w="120" w:type="dxa"/>
            </w:tcMar>
            <w:vAlign w:val="center"/>
          </w:tcPr>
          <w:p w14:paraId="0C9C738B" w14:textId="092EED8D" w:rsidR="007350E4" w:rsidRDefault="00000000">
            <w:r>
              <w:rPr>
                <w:b/>
                <w:bCs/>
                <w:color w:val="1F4E79"/>
                <w:sz w:val="24"/>
                <w:szCs w:val="24"/>
              </w:rPr>
              <w:t>Data Set</w:t>
            </w:r>
            <w:r w:rsidR="00D01C05">
              <w:rPr>
                <w:b/>
                <w:bCs/>
                <w:color w:val="1F4E79"/>
                <w:sz w:val="24"/>
                <w:szCs w:val="24"/>
              </w:rPr>
              <w:t>:</w:t>
            </w:r>
          </w:p>
        </w:tc>
        <w:tc>
          <w:tcPr>
            <w:tcW w:w="6200" w:type="dxa"/>
            <w:tcBorders>
              <w:top w:val="nil"/>
              <w:left w:val="nil"/>
              <w:bottom w:val="nil"/>
              <w:right w:val="nil"/>
            </w:tcBorders>
            <w:tcMar>
              <w:top w:w="70" w:type="dxa"/>
              <w:left w:w="120" w:type="dxa"/>
              <w:bottom w:w="70" w:type="dxa"/>
              <w:right w:w="120" w:type="dxa"/>
            </w:tcMar>
            <w:vAlign w:val="center"/>
          </w:tcPr>
          <w:p w14:paraId="6909575D" w14:textId="77777777" w:rsidR="007350E4" w:rsidRPr="00D01C05" w:rsidRDefault="00000000">
            <w:pPr>
              <w:rPr>
                <w:b/>
                <w:bCs/>
              </w:rPr>
            </w:pPr>
            <w:r w:rsidRPr="00D01C05">
              <w:rPr>
                <w:b/>
                <w:bCs/>
                <w:sz w:val="24"/>
                <w:szCs w:val="24"/>
              </w:rPr>
              <w:t>Healthcare Dataset (sample data, 3,790 patient records, 2024–2025)</w:t>
            </w:r>
          </w:p>
        </w:tc>
      </w:tr>
      <w:tr w:rsidR="007350E4" w14:paraId="39B23050" w14:textId="77777777" w:rsidTr="00D01C05">
        <w:trPr>
          <w:trHeight w:val="25"/>
          <w:jc w:val="center"/>
        </w:trPr>
        <w:tc>
          <w:tcPr>
            <w:tcW w:w="2400" w:type="dxa"/>
            <w:tcBorders>
              <w:top w:val="nil"/>
              <w:left w:val="nil"/>
              <w:bottom w:val="nil"/>
              <w:right w:val="nil"/>
            </w:tcBorders>
            <w:tcMar>
              <w:top w:w="70" w:type="dxa"/>
              <w:left w:w="120" w:type="dxa"/>
              <w:bottom w:w="70" w:type="dxa"/>
              <w:right w:w="120" w:type="dxa"/>
            </w:tcMar>
            <w:vAlign w:val="center"/>
          </w:tcPr>
          <w:p w14:paraId="3506B722" w14:textId="685BE681" w:rsidR="007350E4" w:rsidRDefault="00000000">
            <w:r>
              <w:rPr>
                <w:b/>
                <w:bCs/>
                <w:color w:val="1F4E79"/>
                <w:sz w:val="24"/>
                <w:szCs w:val="24"/>
              </w:rPr>
              <w:t>Tools Used</w:t>
            </w:r>
            <w:r w:rsidR="00D01C05">
              <w:rPr>
                <w:b/>
                <w:bCs/>
                <w:color w:val="1F4E79"/>
                <w:sz w:val="24"/>
                <w:szCs w:val="24"/>
              </w:rPr>
              <w:t>:</w:t>
            </w:r>
          </w:p>
        </w:tc>
        <w:tc>
          <w:tcPr>
            <w:tcW w:w="6200" w:type="dxa"/>
            <w:tcBorders>
              <w:top w:val="nil"/>
              <w:left w:val="nil"/>
              <w:bottom w:val="nil"/>
              <w:right w:val="nil"/>
            </w:tcBorders>
            <w:tcMar>
              <w:top w:w="70" w:type="dxa"/>
              <w:left w:w="120" w:type="dxa"/>
              <w:bottom w:w="70" w:type="dxa"/>
              <w:right w:w="120" w:type="dxa"/>
            </w:tcMar>
            <w:vAlign w:val="center"/>
          </w:tcPr>
          <w:p w14:paraId="5DAC652C" w14:textId="77777777" w:rsidR="007350E4" w:rsidRPr="00D01C05" w:rsidRDefault="00000000">
            <w:pPr>
              <w:rPr>
                <w:b/>
                <w:bCs/>
              </w:rPr>
            </w:pPr>
            <w:r w:rsidRPr="00D01C05">
              <w:rPr>
                <w:b/>
                <w:bCs/>
                <w:sz w:val="24"/>
                <w:szCs w:val="24"/>
              </w:rPr>
              <w:t>Python, Pandas, NumPy, Matplotlib, Seaborn, Microsoft Word</w:t>
            </w:r>
          </w:p>
        </w:tc>
      </w:tr>
    </w:tbl>
    <w:p w14:paraId="03F4330D" w14:textId="77777777" w:rsidR="007350E4" w:rsidRDefault="00000000">
      <w:r>
        <w:br w:type="page"/>
      </w:r>
    </w:p>
    <w:p w14:paraId="4A571FDC" w14:textId="77777777" w:rsidR="007350E4" w:rsidRPr="00D01C05" w:rsidRDefault="00000000">
      <w:pPr>
        <w:pStyle w:val="Heading1"/>
        <w:keepNext/>
        <w:pBdr>
          <w:bottom w:val="single" w:sz="8" w:space="2" w:color="1F4E79"/>
        </w:pBdr>
        <w:rPr>
          <w:sz w:val="28"/>
          <w:szCs w:val="28"/>
        </w:rPr>
      </w:pPr>
      <w:r w:rsidRPr="00D01C05">
        <w:rPr>
          <w:sz w:val="28"/>
          <w:szCs w:val="28"/>
        </w:rPr>
        <w:lastRenderedPageBreak/>
        <w:t>1. Objective</w:t>
      </w:r>
    </w:p>
    <w:p w14:paraId="0B6E2639" w14:textId="77777777" w:rsidR="007350E4" w:rsidRDefault="00000000">
      <w:pPr>
        <w:spacing w:after="120" w:line="300" w:lineRule="auto"/>
        <w:jc w:val="both"/>
      </w:pPr>
      <w:r>
        <w:t>The objective of this report is to explore a healthcare dataset through data visualisation and to turn the patterns found into practical insights for hospital management. The analysis aims to:</w:t>
      </w:r>
    </w:p>
    <w:p w14:paraId="1BBD1062" w14:textId="77777777" w:rsidR="007350E4" w:rsidRDefault="00000000">
      <w:pPr>
        <w:numPr>
          <w:ilvl w:val="0"/>
          <w:numId w:val="1"/>
        </w:numPr>
        <w:pBdr>
          <w:top w:val="nil"/>
          <w:left w:val="nil"/>
          <w:bottom w:val="nil"/>
          <w:right w:val="nil"/>
          <w:between w:val="nil"/>
        </w:pBdr>
        <w:spacing w:after="70" w:line="290" w:lineRule="auto"/>
      </w:pPr>
      <w:r>
        <w:rPr>
          <w:color w:val="000000"/>
        </w:rPr>
        <w:t>Understand who the patients are by studying age, gender and medical condition.</w:t>
      </w:r>
    </w:p>
    <w:p w14:paraId="3F2A3181" w14:textId="77777777" w:rsidR="007350E4" w:rsidRDefault="00000000">
      <w:pPr>
        <w:numPr>
          <w:ilvl w:val="0"/>
          <w:numId w:val="1"/>
        </w:numPr>
        <w:pBdr>
          <w:top w:val="nil"/>
          <w:left w:val="nil"/>
          <w:bottom w:val="nil"/>
          <w:right w:val="nil"/>
          <w:between w:val="nil"/>
        </w:pBdr>
        <w:spacing w:after="70" w:line="290" w:lineRule="auto"/>
      </w:pPr>
      <w:r>
        <w:rPr>
          <w:color w:val="000000"/>
        </w:rPr>
        <w:t>Analyse how hospital billing varies across medical conditions and admission types.</w:t>
      </w:r>
    </w:p>
    <w:p w14:paraId="50B9FAA7" w14:textId="77777777" w:rsidR="007350E4" w:rsidRDefault="00000000">
      <w:pPr>
        <w:numPr>
          <w:ilvl w:val="0"/>
          <w:numId w:val="1"/>
        </w:numPr>
        <w:pBdr>
          <w:top w:val="nil"/>
          <w:left w:val="nil"/>
          <w:bottom w:val="nil"/>
          <w:right w:val="nil"/>
          <w:between w:val="nil"/>
        </w:pBdr>
        <w:spacing w:after="70" w:line="290" w:lineRule="auto"/>
      </w:pPr>
      <w:r>
        <w:rPr>
          <w:color w:val="000000"/>
        </w:rPr>
        <w:t>Identify monthly trends in patient admissions to support capacity planning.</w:t>
      </w:r>
    </w:p>
    <w:p w14:paraId="09D1BBE0" w14:textId="77777777" w:rsidR="007350E4" w:rsidRDefault="00000000">
      <w:pPr>
        <w:numPr>
          <w:ilvl w:val="0"/>
          <w:numId w:val="1"/>
        </w:numPr>
        <w:pBdr>
          <w:top w:val="nil"/>
          <w:left w:val="nil"/>
          <w:bottom w:val="nil"/>
          <w:right w:val="nil"/>
          <w:between w:val="nil"/>
        </w:pBdr>
        <w:spacing w:after="70" w:line="290" w:lineRule="auto"/>
      </w:pPr>
      <w:r>
        <w:rPr>
          <w:color w:val="000000"/>
        </w:rPr>
        <w:t>Measure the relationship of billing amount with age and length of stay using correlation analysis.</w:t>
      </w:r>
    </w:p>
    <w:p w14:paraId="4E2146BB" w14:textId="77777777" w:rsidR="007350E4" w:rsidRDefault="00000000">
      <w:pPr>
        <w:numPr>
          <w:ilvl w:val="0"/>
          <w:numId w:val="1"/>
        </w:numPr>
        <w:pBdr>
          <w:top w:val="nil"/>
          <w:left w:val="nil"/>
          <w:bottom w:val="nil"/>
          <w:right w:val="nil"/>
          <w:between w:val="nil"/>
        </w:pBdr>
        <w:spacing w:after="70" w:line="290" w:lineRule="auto"/>
      </w:pPr>
      <w:r>
        <w:rPr>
          <w:color w:val="000000"/>
        </w:rPr>
        <w:t>Provide evidence-based recommendations for resource planning, billing control and further study.</w:t>
      </w:r>
    </w:p>
    <w:p w14:paraId="6DA36346" w14:textId="77777777" w:rsidR="007350E4" w:rsidRDefault="00000000">
      <w:pPr>
        <w:pStyle w:val="Heading1"/>
        <w:keepNext/>
        <w:pBdr>
          <w:bottom w:val="single" w:sz="8" w:space="2" w:color="1F4E79"/>
        </w:pBdr>
      </w:pPr>
      <w:r>
        <w:t>2</w:t>
      </w:r>
      <w:r w:rsidRPr="00D01C05">
        <w:rPr>
          <w:sz w:val="28"/>
          <w:szCs w:val="28"/>
        </w:rPr>
        <w:t>. Data Set Overview</w:t>
      </w:r>
    </w:p>
    <w:p w14:paraId="3024717C" w14:textId="77777777" w:rsidR="007350E4" w:rsidRDefault="00000000">
      <w:pPr>
        <w:spacing w:after="120" w:line="300" w:lineRule="auto"/>
        <w:jc w:val="both"/>
      </w:pPr>
      <w:r>
        <w:t>The dataset contains 3,790 patient admission records from January 2024 to December 2025. Each record describes one hospital admission. The main fields used in the analysis are listed below.</w:t>
      </w:r>
    </w:p>
    <w:tbl>
      <w:tblPr>
        <w:tblStyle w:val="a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900"/>
        <w:gridCol w:w="5338"/>
      </w:tblGrid>
      <w:tr w:rsidR="007350E4" w14:paraId="1B2DBB2A" w14:textId="77777777">
        <w:trPr>
          <w:tblHeader/>
        </w:trPr>
        <w:tc>
          <w:tcPr>
            <w:tcW w:w="2400" w:type="dxa"/>
            <w:tcBorders>
              <w:top w:val="single" w:sz="4" w:space="0" w:color="B7C4D3"/>
              <w:left w:val="single" w:sz="4" w:space="0" w:color="B7C4D3"/>
              <w:bottom w:val="single" w:sz="4" w:space="0" w:color="B7C4D3"/>
              <w:right w:val="single" w:sz="4" w:space="0" w:color="B7C4D3"/>
            </w:tcBorders>
            <w:shd w:val="clear" w:color="auto" w:fill="1F4E79"/>
            <w:tcMar>
              <w:top w:w="70" w:type="dxa"/>
              <w:left w:w="120" w:type="dxa"/>
              <w:bottom w:w="70" w:type="dxa"/>
              <w:right w:w="120" w:type="dxa"/>
            </w:tcMar>
            <w:vAlign w:val="center"/>
          </w:tcPr>
          <w:p w14:paraId="01228209" w14:textId="77777777" w:rsidR="007350E4" w:rsidRDefault="00000000">
            <w:r>
              <w:rPr>
                <w:b/>
                <w:bCs/>
                <w:color w:val="FFFFFF"/>
              </w:rPr>
              <w:t>Field</w:t>
            </w:r>
          </w:p>
        </w:tc>
        <w:tc>
          <w:tcPr>
            <w:tcW w:w="1900" w:type="dxa"/>
            <w:tcBorders>
              <w:top w:val="single" w:sz="4" w:space="0" w:color="B7C4D3"/>
              <w:left w:val="single" w:sz="4" w:space="0" w:color="B7C4D3"/>
              <w:bottom w:val="single" w:sz="4" w:space="0" w:color="B7C4D3"/>
              <w:right w:val="single" w:sz="4" w:space="0" w:color="B7C4D3"/>
            </w:tcBorders>
            <w:shd w:val="clear" w:color="auto" w:fill="1F4E79"/>
            <w:tcMar>
              <w:top w:w="70" w:type="dxa"/>
              <w:left w:w="120" w:type="dxa"/>
              <w:bottom w:w="70" w:type="dxa"/>
              <w:right w:w="120" w:type="dxa"/>
            </w:tcMar>
            <w:vAlign w:val="center"/>
          </w:tcPr>
          <w:p w14:paraId="23E33A89" w14:textId="77777777" w:rsidR="007350E4" w:rsidRDefault="00000000">
            <w:r>
              <w:rPr>
                <w:b/>
                <w:bCs/>
                <w:color w:val="FFFFFF"/>
              </w:rPr>
              <w:t>Type</w:t>
            </w:r>
          </w:p>
        </w:tc>
        <w:tc>
          <w:tcPr>
            <w:tcW w:w="5338" w:type="dxa"/>
            <w:tcBorders>
              <w:top w:val="single" w:sz="4" w:space="0" w:color="B7C4D3"/>
              <w:left w:val="single" w:sz="4" w:space="0" w:color="B7C4D3"/>
              <w:bottom w:val="single" w:sz="4" w:space="0" w:color="B7C4D3"/>
              <w:right w:val="single" w:sz="4" w:space="0" w:color="B7C4D3"/>
            </w:tcBorders>
            <w:shd w:val="clear" w:color="auto" w:fill="1F4E79"/>
            <w:tcMar>
              <w:top w:w="70" w:type="dxa"/>
              <w:left w:w="120" w:type="dxa"/>
              <w:bottom w:w="70" w:type="dxa"/>
              <w:right w:w="120" w:type="dxa"/>
            </w:tcMar>
            <w:vAlign w:val="center"/>
          </w:tcPr>
          <w:p w14:paraId="5F495423" w14:textId="77777777" w:rsidR="007350E4" w:rsidRDefault="00000000">
            <w:r>
              <w:rPr>
                <w:b/>
                <w:bCs/>
                <w:color w:val="FFFFFF"/>
              </w:rPr>
              <w:t>Description</w:t>
            </w:r>
          </w:p>
        </w:tc>
      </w:tr>
      <w:tr w:rsidR="007350E4" w14:paraId="254FC2C3" w14:textId="77777777">
        <w:tc>
          <w:tcPr>
            <w:tcW w:w="2400" w:type="dxa"/>
            <w:tcBorders>
              <w:top w:val="single" w:sz="4" w:space="0" w:color="B7C4D3"/>
              <w:left w:val="single" w:sz="4" w:space="0" w:color="B7C4D3"/>
              <w:bottom w:val="single" w:sz="4" w:space="0" w:color="B7C4D3"/>
              <w:right w:val="single" w:sz="4" w:space="0" w:color="B7C4D3"/>
            </w:tcBorders>
            <w:tcMar>
              <w:top w:w="70" w:type="dxa"/>
              <w:left w:w="120" w:type="dxa"/>
              <w:bottom w:w="70" w:type="dxa"/>
              <w:right w:w="120" w:type="dxa"/>
            </w:tcMar>
            <w:vAlign w:val="center"/>
          </w:tcPr>
          <w:p w14:paraId="44720064" w14:textId="77777777" w:rsidR="007350E4" w:rsidRDefault="00000000">
            <w:r>
              <w:t>Age</w:t>
            </w:r>
          </w:p>
        </w:tc>
        <w:tc>
          <w:tcPr>
            <w:tcW w:w="1900" w:type="dxa"/>
            <w:tcBorders>
              <w:top w:val="single" w:sz="4" w:space="0" w:color="B7C4D3"/>
              <w:left w:val="single" w:sz="4" w:space="0" w:color="B7C4D3"/>
              <w:bottom w:val="single" w:sz="4" w:space="0" w:color="B7C4D3"/>
              <w:right w:val="single" w:sz="4" w:space="0" w:color="B7C4D3"/>
            </w:tcBorders>
            <w:tcMar>
              <w:top w:w="70" w:type="dxa"/>
              <w:left w:w="120" w:type="dxa"/>
              <w:bottom w:w="70" w:type="dxa"/>
              <w:right w:w="120" w:type="dxa"/>
            </w:tcMar>
            <w:vAlign w:val="center"/>
          </w:tcPr>
          <w:p w14:paraId="6485D6C4" w14:textId="77777777" w:rsidR="007350E4" w:rsidRDefault="00000000">
            <w:r>
              <w:t>Numeric</w:t>
            </w:r>
          </w:p>
        </w:tc>
        <w:tc>
          <w:tcPr>
            <w:tcW w:w="5338" w:type="dxa"/>
            <w:tcBorders>
              <w:top w:val="single" w:sz="4" w:space="0" w:color="B7C4D3"/>
              <w:left w:val="single" w:sz="4" w:space="0" w:color="B7C4D3"/>
              <w:bottom w:val="single" w:sz="4" w:space="0" w:color="B7C4D3"/>
              <w:right w:val="single" w:sz="4" w:space="0" w:color="B7C4D3"/>
            </w:tcBorders>
            <w:tcMar>
              <w:top w:w="70" w:type="dxa"/>
              <w:left w:w="120" w:type="dxa"/>
              <w:bottom w:w="70" w:type="dxa"/>
              <w:right w:w="120" w:type="dxa"/>
            </w:tcMar>
            <w:vAlign w:val="center"/>
          </w:tcPr>
          <w:p w14:paraId="7D8D0041" w14:textId="77777777" w:rsidR="007350E4" w:rsidRDefault="00000000">
            <w:r>
              <w:t>Age of the patient in years</w:t>
            </w:r>
          </w:p>
        </w:tc>
      </w:tr>
      <w:tr w:rsidR="007350E4" w14:paraId="1F3133E3" w14:textId="77777777">
        <w:tc>
          <w:tcPr>
            <w:tcW w:w="2400" w:type="dxa"/>
            <w:tcBorders>
              <w:top w:val="single" w:sz="4" w:space="0" w:color="B7C4D3"/>
              <w:left w:val="single" w:sz="4" w:space="0" w:color="B7C4D3"/>
              <w:bottom w:val="single" w:sz="4" w:space="0" w:color="B7C4D3"/>
              <w:right w:val="single" w:sz="4" w:space="0" w:color="B7C4D3"/>
            </w:tcBorders>
            <w:shd w:val="clear" w:color="auto" w:fill="F3F7FB"/>
            <w:tcMar>
              <w:top w:w="70" w:type="dxa"/>
              <w:left w:w="120" w:type="dxa"/>
              <w:bottom w:w="70" w:type="dxa"/>
              <w:right w:w="120" w:type="dxa"/>
            </w:tcMar>
            <w:vAlign w:val="center"/>
          </w:tcPr>
          <w:p w14:paraId="7FEF8422" w14:textId="77777777" w:rsidR="007350E4" w:rsidRDefault="00000000">
            <w:r>
              <w:t>Gender</w:t>
            </w:r>
          </w:p>
        </w:tc>
        <w:tc>
          <w:tcPr>
            <w:tcW w:w="1900" w:type="dxa"/>
            <w:tcBorders>
              <w:top w:val="single" w:sz="4" w:space="0" w:color="B7C4D3"/>
              <w:left w:val="single" w:sz="4" w:space="0" w:color="B7C4D3"/>
              <w:bottom w:val="single" w:sz="4" w:space="0" w:color="B7C4D3"/>
              <w:right w:val="single" w:sz="4" w:space="0" w:color="B7C4D3"/>
            </w:tcBorders>
            <w:shd w:val="clear" w:color="auto" w:fill="F3F7FB"/>
            <w:tcMar>
              <w:top w:w="70" w:type="dxa"/>
              <w:left w:w="120" w:type="dxa"/>
              <w:bottom w:w="70" w:type="dxa"/>
              <w:right w:w="120" w:type="dxa"/>
            </w:tcMar>
            <w:vAlign w:val="center"/>
          </w:tcPr>
          <w:p w14:paraId="22AD0FA1" w14:textId="77777777" w:rsidR="007350E4" w:rsidRDefault="00000000">
            <w:r>
              <w:t>Categorical</w:t>
            </w:r>
          </w:p>
        </w:tc>
        <w:tc>
          <w:tcPr>
            <w:tcW w:w="5338" w:type="dxa"/>
            <w:tcBorders>
              <w:top w:val="single" w:sz="4" w:space="0" w:color="B7C4D3"/>
              <w:left w:val="single" w:sz="4" w:space="0" w:color="B7C4D3"/>
              <w:bottom w:val="single" w:sz="4" w:space="0" w:color="B7C4D3"/>
              <w:right w:val="single" w:sz="4" w:space="0" w:color="B7C4D3"/>
            </w:tcBorders>
            <w:shd w:val="clear" w:color="auto" w:fill="F3F7FB"/>
            <w:tcMar>
              <w:top w:w="70" w:type="dxa"/>
              <w:left w:w="120" w:type="dxa"/>
              <w:bottom w:w="70" w:type="dxa"/>
              <w:right w:w="120" w:type="dxa"/>
            </w:tcMar>
            <w:vAlign w:val="center"/>
          </w:tcPr>
          <w:p w14:paraId="643D4FF4" w14:textId="77777777" w:rsidR="007350E4" w:rsidRDefault="00000000">
            <w:r>
              <w:t>Male or Female</w:t>
            </w:r>
          </w:p>
        </w:tc>
      </w:tr>
      <w:tr w:rsidR="007350E4" w14:paraId="0D056873" w14:textId="77777777">
        <w:tc>
          <w:tcPr>
            <w:tcW w:w="2400" w:type="dxa"/>
            <w:tcBorders>
              <w:top w:val="single" w:sz="4" w:space="0" w:color="B7C4D3"/>
              <w:left w:val="single" w:sz="4" w:space="0" w:color="B7C4D3"/>
              <w:bottom w:val="single" w:sz="4" w:space="0" w:color="B7C4D3"/>
              <w:right w:val="single" w:sz="4" w:space="0" w:color="B7C4D3"/>
            </w:tcBorders>
            <w:tcMar>
              <w:top w:w="70" w:type="dxa"/>
              <w:left w:w="120" w:type="dxa"/>
              <w:bottom w:w="70" w:type="dxa"/>
              <w:right w:w="120" w:type="dxa"/>
            </w:tcMar>
            <w:vAlign w:val="center"/>
          </w:tcPr>
          <w:p w14:paraId="3DA042B0" w14:textId="77777777" w:rsidR="007350E4" w:rsidRDefault="00000000">
            <w:r>
              <w:t>Medical_Condition</w:t>
            </w:r>
          </w:p>
        </w:tc>
        <w:tc>
          <w:tcPr>
            <w:tcW w:w="1900" w:type="dxa"/>
            <w:tcBorders>
              <w:top w:val="single" w:sz="4" w:space="0" w:color="B7C4D3"/>
              <w:left w:val="single" w:sz="4" w:space="0" w:color="B7C4D3"/>
              <w:bottom w:val="single" w:sz="4" w:space="0" w:color="B7C4D3"/>
              <w:right w:val="single" w:sz="4" w:space="0" w:color="B7C4D3"/>
            </w:tcBorders>
            <w:tcMar>
              <w:top w:w="70" w:type="dxa"/>
              <w:left w:w="120" w:type="dxa"/>
              <w:bottom w:w="70" w:type="dxa"/>
              <w:right w:w="120" w:type="dxa"/>
            </w:tcMar>
            <w:vAlign w:val="center"/>
          </w:tcPr>
          <w:p w14:paraId="482B2EC2" w14:textId="77777777" w:rsidR="007350E4" w:rsidRDefault="00000000">
            <w:r>
              <w:t>Categorical</w:t>
            </w:r>
          </w:p>
        </w:tc>
        <w:tc>
          <w:tcPr>
            <w:tcW w:w="5338" w:type="dxa"/>
            <w:tcBorders>
              <w:top w:val="single" w:sz="4" w:space="0" w:color="B7C4D3"/>
              <w:left w:val="single" w:sz="4" w:space="0" w:color="B7C4D3"/>
              <w:bottom w:val="single" w:sz="4" w:space="0" w:color="B7C4D3"/>
              <w:right w:val="single" w:sz="4" w:space="0" w:color="B7C4D3"/>
            </w:tcBorders>
            <w:tcMar>
              <w:top w:w="70" w:type="dxa"/>
              <w:left w:w="120" w:type="dxa"/>
              <w:bottom w:w="70" w:type="dxa"/>
              <w:right w:w="120" w:type="dxa"/>
            </w:tcMar>
            <w:vAlign w:val="center"/>
          </w:tcPr>
          <w:p w14:paraId="3BAD93A1" w14:textId="77777777" w:rsidR="007350E4" w:rsidRDefault="00000000">
            <w:r>
              <w:t>Diabetes, Hypertension, Asthma, Cancer, Arthritis, Obesity</w:t>
            </w:r>
          </w:p>
        </w:tc>
      </w:tr>
      <w:tr w:rsidR="007350E4" w14:paraId="16117C55" w14:textId="77777777">
        <w:tc>
          <w:tcPr>
            <w:tcW w:w="2400" w:type="dxa"/>
            <w:tcBorders>
              <w:top w:val="single" w:sz="4" w:space="0" w:color="B7C4D3"/>
              <w:left w:val="single" w:sz="4" w:space="0" w:color="B7C4D3"/>
              <w:bottom w:val="single" w:sz="4" w:space="0" w:color="B7C4D3"/>
              <w:right w:val="single" w:sz="4" w:space="0" w:color="B7C4D3"/>
            </w:tcBorders>
            <w:shd w:val="clear" w:color="auto" w:fill="F3F7FB"/>
            <w:tcMar>
              <w:top w:w="70" w:type="dxa"/>
              <w:left w:w="120" w:type="dxa"/>
              <w:bottom w:w="70" w:type="dxa"/>
              <w:right w:w="120" w:type="dxa"/>
            </w:tcMar>
            <w:vAlign w:val="center"/>
          </w:tcPr>
          <w:p w14:paraId="2384B8E7" w14:textId="77777777" w:rsidR="007350E4" w:rsidRDefault="00000000">
            <w:r>
              <w:t>Admission_Type</w:t>
            </w:r>
          </w:p>
        </w:tc>
        <w:tc>
          <w:tcPr>
            <w:tcW w:w="1900" w:type="dxa"/>
            <w:tcBorders>
              <w:top w:val="single" w:sz="4" w:space="0" w:color="B7C4D3"/>
              <w:left w:val="single" w:sz="4" w:space="0" w:color="B7C4D3"/>
              <w:bottom w:val="single" w:sz="4" w:space="0" w:color="B7C4D3"/>
              <w:right w:val="single" w:sz="4" w:space="0" w:color="B7C4D3"/>
            </w:tcBorders>
            <w:shd w:val="clear" w:color="auto" w:fill="F3F7FB"/>
            <w:tcMar>
              <w:top w:w="70" w:type="dxa"/>
              <w:left w:w="120" w:type="dxa"/>
              <w:bottom w:w="70" w:type="dxa"/>
              <w:right w:w="120" w:type="dxa"/>
            </w:tcMar>
            <w:vAlign w:val="center"/>
          </w:tcPr>
          <w:p w14:paraId="35B64771" w14:textId="77777777" w:rsidR="007350E4" w:rsidRDefault="00000000">
            <w:r>
              <w:t>Categorical</w:t>
            </w:r>
          </w:p>
        </w:tc>
        <w:tc>
          <w:tcPr>
            <w:tcW w:w="5338" w:type="dxa"/>
            <w:tcBorders>
              <w:top w:val="single" w:sz="4" w:space="0" w:color="B7C4D3"/>
              <w:left w:val="single" w:sz="4" w:space="0" w:color="B7C4D3"/>
              <w:bottom w:val="single" w:sz="4" w:space="0" w:color="B7C4D3"/>
              <w:right w:val="single" w:sz="4" w:space="0" w:color="B7C4D3"/>
            </w:tcBorders>
            <w:shd w:val="clear" w:color="auto" w:fill="F3F7FB"/>
            <w:tcMar>
              <w:top w:w="70" w:type="dxa"/>
              <w:left w:w="120" w:type="dxa"/>
              <w:bottom w:w="70" w:type="dxa"/>
              <w:right w:w="120" w:type="dxa"/>
            </w:tcMar>
            <w:vAlign w:val="center"/>
          </w:tcPr>
          <w:p w14:paraId="2CDF8581" w14:textId="77777777" w:rsidR="007350E4" w:rsidRDefault="00000000">
            <w:r>
              <w:t>Emergency, Urgent or Elective</w:t>
            </w:r>
          </w:p>
        </w:tc>
      </w:tr>
      <w:tr w:rsidR="007350E4" w14:paraId="3539211F" w14:textId="77777777">
        <w:tc>
          <w:tcPr>
            <w:tcW w:w="2400" w:type="dxa"/>
            <w:tcBorders>
              <w:top w:val="single" w:sz="4" w:space="0" w:color="B7C4D3"/>
              <w:left w:val="single" w:sz="4" w:space="0" w:color="B7C4D3"/>
              <w:bottom w:val="single" w:sz="4" w:space="0" w:color="B7C4D3"/>
              <w:right w:val="single" w:sz="4" w:space="0" w:color="B7C4D3"/>
            </w:tcBorders>
            <w:tcMar>
              <w:top w:w="70" w:type="dxa"/>
              <w:left w:w="120" w:type="dxa"/>
              <w:bottom w:w="70" w:type="dxa"/>
              <w:right w:w="120" w:type="dxa"/>
            </w:tcMar>
            <w:vAlign w:val="center"/>
          </w:tcPr>
          <w:p w14:paraId="37DB93E2" w14:textId="77777777" w:rsidR="007350E4" w:rsidRDefault="00000000">
            <w:r>
              <w:t>Insurance</w:t>
            </w:r>
          </w:p>
        </w:tc>
        <w:tc>
          <w:tcPr>
            <w:tcW w:w="1900" w:type="dxa"/>
            <w:tcBorders>
              <w:top w:val="single" w:sz="4" w:space="0" w:color="B7C4D3"/>
              <w:left w:val="single" w:sz="4" w:space="0" w:color="B7C4D3"/>
              <w:bottom w:val="single" w:sz="4" w:space="0" w:color="B7C4D3"/>
              <w:right w:val="single" w:sz="4" w:space="0" w:color="B7C4D3"/>
            </w:tcBorders>
            <w:tcMar>
              <w:top w:w="70" w:type="dxa"/>
              <w:left w:w="120" w:type="dxa"/>
              <w:bottom w:w="70" w:type="dxa"/>
              <w:right w:w="120" w:type="dxa"/>
            </w:tcMar>
            <w:vAlign w:val="center"/>
          </w:tcPr>
          <w:p w14:paraId="7DC5181E" w14:textId="77777777" w:rsidR="007350E4" w:rsidRDefault="00000000">
            <w:r>
              <w:t>Categorical</w:t>
            </w:r>
          </w:p>
        </w:tc>
        <w:tc>
          <w:tcPr>
            <w:tcW w:w="5338" w:type="dxa"/>
            <w:tcBorders>
              <w:top w:val="single" w:sz="4" w:space="0" w:color="B7C4D3"/>
              <w:left w:val="single" w:sz="4" w:space="0" w:color="B7C4D3"/>
              <w:bottom w:val="single" w:sz="4" w:space="0" w:color="B7C4D3"/>
              <w:right w:val="single" w:sz="4" w:space="0" w:color="B7C4D3"/>
            </w:tcBorders>
            <w:tcMar>
              <w:top w:w="70" w:type="dxa"/>
              <w:left w:w="120" w:type="dxa"/>
              <w:bottom w:w="70" w:type="dxa"/>
              <w:right w:w="120" w:type="dxa"/>
            </w:tcMar>
            <w:vAlign w:val="center"/>
          </w:tcPr>
          <w:p w14:paraId="0D3B40FF" w14:textId="77777777" w:rsidR="007350E4" w:rsidRDefault="00000000">
            <w:r>
              <w:t>Insurance provider of the patient</w:t>
            </w:r>
          </w:p>
        </w:tc>
      </w:tr>
      <w:tr w:rsidR="007350E4" w14:paraId="02AF46F8" w14:textId="77777777">
        <w:tc>
          <w:tcPr>
            <w:tcW w:w="2400" w:type="dxa"/>
            <w:tcBorders>
              <w:top w:val="single" w:sz="4" w:space="0" w:color="B7C4D3"/>
              <w:left w:val="single" w:sz="4" w:space="0" w:color="B7C4D3"/>
              <w:bottom w:val="single" w:sz="4" w:space="0" w:color="B7C4D3"/>
              <w:right w:val="single" w:sz="4" w:space="0" w:color="B7C4D3"/>
            </w:tcBorders>
            <w:shd w:val="clear" w:color="auto" w:fill="F3F7FB"/>
            <w:tcMar>
              <w:top w:w="70" w:type="dxa"/>
              <w:left w:w="120" w:type="dxa"/>
              <w:bottom w:w="70" w:type="dxa"/>
              <w:right w:w="120" w:type="dxa"/>
            </w:tcMar>
            <w:vAlign w:val="center"/>
          </w:tcPr>
          <w:p w14:paraId="6BB87BB9" w14:textId="77777777" w:rsidR="007350E4" w:rsidRDefault="00000000">
            <w:r>
              <w:t>Date_of_Admission</w:t>
            </w:r>
          </w:p>
        </w:tc>
        <w:tc>
          <w:tcPr>
            <w:tcW w:w="1900" w:type="dxa"/>
            <w:tcBorders>
              <w:top w:val="single" w:sz="4" w:space="0" w:color="B7C4D3"/>
              <w:left w:val="single" w:sz="4" w:space="0" w:color="B7C4D3"/>
              <w:bottom w:val="single" w:sz="4" w:space="0" w:color="B7C4D3"/>
              <w:right w:val="single" w:sz="4" w:space="0" w:color="B7C4D3"/>
            </w:tcBorders>
            <w:shd w:val="clear" w:color="auto" w:fill="F3F7FB"/>
            <w:tcMar>
              <w:top w:w="70" w:type="dxa"/>
              <w:left w:w="120" w:type="dxa"/>
              <w:bottom w:w="70" w:type="dxa"/>
              <w:right w:w="120" w:type="dxa"/>
            </w:tcMar>
            <w:vAlign w:val="center"/>
          </w:tcPr>
          <w:p w14:paraId="1F6F63C4" w14:textId="77777777" w:rsidR="007350E4" w:rsidRDefault="00000000">
            <w:r>
              <w:t>Date</w:t>
            </w:r>
          </w:p>
        </w:tc>
        <w:tc>
          <w:tcPr>
            <w:tcW w:w="5338" w:type="dxa"/>
            <w:tcBorders>
              <w:top w:val="single" w:sz="4" w:space="0" w:color="B7C4D3"/>
              <w:left w:val="single" w:sz="4" w:space="0" w:color="B7C4D3"/>
              <w:bottom w:val="single" w:sz="4" w:space="0" w:color="B7C4D3"/>
              <w:right w:val="single" w:sz="4" w:space="0" w:color="B7C4D3"/>
            </w:tcBorders>
            <w:shd w:val="clear" w:color="auto" w:fill="F3F7FB"/>
            <w:tcMar>
              <w:top w:w="70" w:type="dxa"/>
              <w:left w:w="120" w:type="dxa"/>
              <w:bottom w:w="70" w:type="dxa"/>
              <w:right w:w="120" w:type="dxa"/>
            </w:tcMar>
            <w:vAlign w:val="center"/>
          </w:tcPr>
          <w:p w14:paraId="0F531DEA" w14:textId="77777777" w:rsidR="007350E4" w:rsidRDefault="00000000">
            <w:r>
              <w:t>Date on which the patient was admitted</w:t>
            </w:r>
          </w:p>
        </w:tc>
      </w:tr>
      <w:tr w:rsidR="007350E4" w14:paraId="29E8BC21" w14:textId="77777777">
        <w:tc>
          <w:tcPr>
            <w:tcW w:w="2400" w:type="dxa"/>
            <w:tcBorders>
              <w:top w:val="single" w:sz="4" w:space="0" w:color="B7C4D3"/>
              <w:left w:val="single" w:sz="4" w:space="0" w:color="B7C4D3"/>
              <w:bottom w:val="single" w:sz="4" w:space="0" w:color="B7C4D3"/>
              <w:right w:val="single" w:sz="4" w:space="0" w:color="B7C4D3"/>
            </w:tcBorders>
            <w:tcMar>
              <w:top w:w="70" w:type="dxa"/>
              <w:left w:w="120" w:type="dxa"/>
              <w:bottom w:w="70" w:type="dxa"/>
              <w:right w:w="120" w:type="dxa"/>
            </w:tcMar>
            <w:vAlign w:val="center"/>
          </w:tcPr>
          <w:p w14:paraId="19424AF9" w14:textId="77777777" w:rsidR="007350E4" w:rsidRDefault="00000000">
            <w:r>
              <w:t>Length_of_Stay</w:t>
            </w:r>
          </w:p>
        </w:tc>
        <w:tc>
          <w:tcPr>
            <w:tcW w:w="1900" w:type="dxa"/>
            <w:tcBorders>
              <w:top w:val="single" w:sz="4" w:space="0" w:color="B7C4D3"/>
              <w:left w:val="single" w:sz="4" w:space="0" w:color="B7C4D3"/>
              <w:bottom w:val="single" w:sz="4" w:space="0" w:color="B7C4D3"/>
              <w:right w:val="single" w:sz="4" w:space="0" w:color="B7C4D3"/>
            </w:tcBorders>
            <w:tcMar>
              <w:top w:w="70" w:type="dxa"/>
              <w:left w:w="120" w:type="dxa"/>
              <w:bottom w:w="70" w:type="dxa"/>
              <w:right w:w="120" w:type="dxa"/>
            </w:tcMar>
            <w:vAlign w:val="center"/>
          </w:tcPr>
          <w:p w14:paraId="1F42F2C0" w14:textId="77777777" w:rsidR="007350E4" w:rsidRDefault="00000000">
            <w:r>
              <w:t>Numeric</w:t>
            </w:r>
          </w:p>
        </w:tc>
        <w:tc>
          <w:tcPr>
            <w:tcW w:w="5338" w:type="dxa"/>
            <w:tcBorders>
              <w:top w:val="single" w:sz="4" w:space="0" w:color="B7C4D3"/>
              <w:left w:val="single" w:sz="4" w:space="0" w:color="B7C4D3"/>
              <w:bottom w:val="single" w:sz="4" w:space="0" w:color="B7C4D3"/>
              <w:right w:val="single" w:sz="4" w:space="0" w:color="B7C4D3"/>
            </w:tcBorders>
            <w:tcMar>
              <w:top w:w="70" w:type="dxa"/>
              <w:left w:w="120" w:type="dxa"/>
              <w:bottom w:w="70" w:type="dxa"/>
              <w:right w:w="120" w:type="dxa"/>
            </w:tcMar>
            <w:vAlign w:val="center"/>
          </w:tcPr>
          <w:p w14:paraId="66677462" w14:textId="77777777" w:rsidR="007350E4" w:rsidRDefault="00000000">
            <w:r>
              <w:t>Number of days spent in hospital</w:t>
            </w:r>
          </w:p>
        </w:tc>
      </w:tr>
      <w:tr w:rsidR="007350E4" w14:paraId="06D74347" w14:textId="77777777">
        <w:tc>
          <w:tcPr>
            <w:tcW w:w="2400" w:type="dxa"/>
            <w:tcBorders>
              <w:top w:val="single" w:sz="4" w:space="0" w:color="B7C4D3"/>
              <w:left w:val="single" w:sz="4" w:space="0" w:color="B7C4D3"/>
              <w:bottom w:val="single" w:sz="4" w:space="0" w:color="B7C4D3"/>
              <w:right w:val="single" w:sz="4" w:space="0" w:color="B7C4D3"/>
            </w:tcBorders>
            <w:shd w:val="clear" w:color="auto" w:fill="F3F7FB"/>
            <w:tcMar>
              <w:top w:w="70" w:type="dxa"/>
              <w:left w:w="120" w:type="dxa"/>
              <w:bottom w:w="70" w:type="dxa"/>
              <w:right w:w="120" w:type="dxa"/>
            </w:tcMar>
            <w:vAlign w:val="center"/>
          </w:tcPr>
          <w:p w14:paraId="60860060" w14:textId="77777777" w:rsidR="007350E4" w:rsidRDefault="00000000">
            <w:r>
              <w:t>Billing_Amount</w:t>
            </w:r>
          </w:p>
        </w:tc>
        <w:tc>
          <w:tcPr>
            <w:tcW w:w="1900" w:type="dxa"/>
            <w:tcBorders>
              <w:top w:val="single" w:sz="4" w:space="0" w:color="B7C4D3"/>
              <w:left w:val="single" w:sz="4" w:space="0" w:color="B7C4D3"/>
              <w:bottom w:val="single" w:sz="4" w:space="0" w:color="B7C4D3"/>
              <w:right w:val="single" w:sz="4" w:space="0" w:color="B7C4D3"/>
            </w:tcBorders>
            <w:shd w:val="clear" w:color="auto" w:fill="F3F7FB"/>
            <w:tcMar>
              <w:top w:w="70" w:type="dxa"/>
              <w:left w:w="120" w:type="dxa"/>
              <w:bottom w:w="70" w:type="dxa"/>
              <w:right w:w="120" w:type="dxa"/>
            </w:tcMar>
            <w:vAlign w:val="center"/>
          </w:tcPr>
          <w:p w14:paraId="0FC93A2B" w14:textId="77777777" w:rsidR="007350E4" w:rsidRDefault="00000000">
            <w:r>
              <w:t>Numeric</w:t>
            </w:r>
          </w:p>
        </w:tc>
        <w:tc>
          <w:tcPr>
            <w:tcW w:w="5338" w:type="dxa"/>
            <w:tcBorders>
              <w:top w:val="single" w:sz="4" w:space="0" w:color="B7C4D3"/>
              <w:left w:val="single" w:sz="4" w:space="0" w:color="B7C4D3"/>
              <w:bottom w:val="single" w:sz="4" w:space="0" w:color="B7C4D3"/>
              <w:right w:val="single" w:sz="4" w:space="0" w:color="B7C4D3"/>
            </w:tcBorders>
            <w:shd w:val="clear" w:color="auto" w:fill="F3F7FB"/>
            <w:tcMar>
              <w:top w:w="70" w:type="dxa"/>
              <w:left w:w="120" w:type="dxa"/>
              <w:bottom w:w="70" w:type="dxa"/>
              <w:right w:w="120" w:type="dxa"/>
            </w:tcMar>
            <w:vAlign w:val="center"/>
          </w:tcPr>
          <w:p w14:paraId="35C94E8D" w14:textId="77777777" w:rsidR="007350E4" w:rsidRDefault="00000000">
            <w:r>
              <w:t>Total bill in USD</w:t>
            </w:r>
          </w:p>
        </w:tc>
      </w:tr>
    </w:tbl>
    <w:p w14:paraId="0B3CBC49" w14:textId="77777777" w:rsidR="007350E4" w:rsidRDefault="007350E4">
      <w:pPr>
        <w:spacing w:after="160"/>
      </w:pPr>
    </w:p>
    <w:tbl>
      <w:tblPr>
        <w:tblStyle w:val="a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9"/>
        <w:gridCol w:w="4819"/>
      </w:tblGrid>
      <w:tr w:rsidR="007350E4" w14:paraId="3E2020DE" w14:textId="77777777">
        <w:trPr>
          <w:tblHeader/>
        </w:trPr>
        <w:tc>
          <w:tcPr>
            <w:tcW w:w="4819" w:type="dxa"/>
            <w:tcBorders>
              <w:top w:val="single" w:sz="4" w:space="0" w:color="B7C4D3"/>
              <w:left w:val="single" w:sz="4" w:space="0" w:color="B7C4D3"/>
              <w:bottom w:val="single" w:sz="4" w:space="0" w:color="B7C4D3"/>
              <w:right w:val="single" w:sz="4" w:space="0" w:color="B7C4D3"/>
            </w:tcBorders>
            <w:shd w:val="clear" w:color="auto" w:fill="1F4E79"/>
            <w:tcMar>
              <w:top w:w="70" w:type="dxa"/>
              <w:left w:w="120" w:type="dxa"/>
              <w:bottom w:w="70" w:type="dxa"/>
              <w:right w:w="120" w:type="dxa"/>
            </w:tcMar>
            <w:vAlign w:val="center"/>
          </w:tcPr>
          <w:p w14:paraId="340FE68E" w14:textId="77777777" w:rsidR="007350E4" w:rsidRDefault="00000000">
            <w:r>
              <w:rPr>
                <w:b/>
                <w:bCs/>
                <w:color w:val="FFFFFF"/>
              </w:rPr>
              <w:t>Summary Measure</w:t>
            </w:r>
          </w:p>
        </w:tc>
        <w:tc>
          <w:tcPr>
            <w:tcW w:w="4819" w:type="dxa"/>
            <w:tcBorders>
              <w:top w:val="single" w:sz="4" w:space="0" w:color="B7C4D3"/>
              <w:left w:val="single" w:sz="4" w:space="0" w:color="B7C4D3"/>
              <w:bottom w:val="single" w:sz="4" w:space="0" w:color="B7C4D3"/>
              <w:right w:val="single" w:sz="4" w:space="0" w:color="B7C4D3"/>
            </w:tcBorders>
            <w:shd w:val="clear" w:color="auto" w:fill="1F4E79"/>
            <w:tcMar>
              <w:top w:w="70" w:type="dxa"/>
              <w:left w:w="120" w:type="dxa"/>
              <w:bottom w:w="70" w:type="dxa"/>
              <w:right w:w="120" w:type="dxa"/>
            </w:tcMar>
            <w:vAlign w:val="center"/>
          </w:tcPr>
          <w:p w14:paraId="610CAB9A" w14:textId="77777777" w:rsidR="007350E4" w:rsidRDefault="00000000">
            <w:r>
              <w:rPr>
                <w:b/>
                <w:bCs/>
                <w:color w:val="FFFFFF"/>
              </w:rPr>
              <w:t>Value</w:t>
            </w:r>
          </w:p>
        </w:tc>
      </w:tr>
      <w:tr w:rsidR="007350E4" w14:paraId="005979F2" w14:textId="77777777">
        <w:tc>
          <w:tcPr>
            <w:tcW w:w="4819" w:type="dxa"/>
            <w:tcBorders>
              <w:top w:val="single" w:sz="4" w:space="0" w:color="B7C4D3"/>
              <w:left w:val="single" w:sz="4" w:space="0" w:color="B7C4D3"/>
              <w:bottom w:val="single" w:sz="4" w:space="0" w:color="B7C4D3"/>
              <w:right w:val="single" w:sz="4" w:space="0" w:color="B7C4D3"/>
            </w:tcBorders>
            <w:tcMar>
              <w:top w:w="70" w:type="dxa"/>
              <w:left w:w="120" w:type="dxa"/>
              <w:bottom w:w="70" w:type="dxa"/>
              <w:right w:w="120" w:type="dxa"/>
            </w:tcMar>
            <w:vAlign w:val="center"/>
          </w:tcPr>
          <w:p w14:paraId="7199AA08" w14:textId="77777777" w:rsidR="007350E4" w:rsidRDefault="00000000">
            <w:r>
              <w:t>Total records</w:t>
            </w:r>
          </w:p>
        </w:tc>
        <w:tc>
          <w:tcPr>
            <w:tcW w:w="4819" w:type="dxa"/>
            <w:tcBorders>
              <w:top w:val="single" w:sz="4" w:space="0" w:color="B7C4D3"/>
              <w:left w:val="single" w:sz="4" w:space="0" w:color="B7C4D3"/>
              <w:bottom w:val="single" w:sz="4" w:space="0" w:color="B7C4D3"/>
              <w:right w:val="single" w:sz="4" w:space="0" w:color="B7C4D3"/>
            </w:tcBorders>
            <w:tcMar>
              <w:top w:w="70" w:type="dxa"/>
              <w:left w:w="120" w:type="dxa"/>
              <w:bottom w:w="70" w:type="dxa"/>
              <w:right w:w="120" w:type="dxa"/>
            </w:tcMar>
            <w:vAlign w:val="center"/>
          </w:tcPr>
          <w:p w14:paraId="2F1CD664" w14:textId="77777777" w:rsidR="007350E4" w:rsidRDefault="00000000">
            <w:r>
              <w:t>3,790</w:t>
            </w:r>
          </w:p>
        </w:tc>
      </w:tr>
      <w:tr w:rsidR="007350E4" w14:paraId="74CA1FD7" w14:textId="77777777">
        <w:tc>
          <w:tcPr>
            <w:tcW w:w="4819" w:type="dxa"/>
            <w:tcBorders>
              <w:top w:val="single" w:sz="4" w:space="0" w:color="B7C4D3"/>
              <w:left w:val="single" w:sz="4" w:space="0" w:color="B7C4D3"/>
              <w:bottom w:val="single" w:sz="4" w:space="0" w:color="B7C4D3"/>
              <w:right w:val="single" w:sz="4" w:space="0" w:color="B7C4D3"/>
            </w:tcBorders>
            <w:shd w:val="clear" w:color="auto" w:fill="F3F7FB"/>
            <w:tcMar>
              <w:top w:w="70" w:type="dxa"/>
              <w:left w:w="120" w:type="dxa"/>
              <w:bottom w:w="70" w:type="dxa"/>
              <w:right w:w="120" w:type="dxa"/>
            </w:tcMar>
            <w:vAlign w:val="center"/>
          </w:tcPr>
          <w:p w14:paraId="03A7F490" w14:textId="77777777" w:rsidR="007350E4" w:rsidRDefault="00000000">
            <w:r>
              <w:t>Period covered</w:t>
            </w:r>
          </w:p>
        </w:tc>
        <w:tc>
          <w:tcPr>
            <w:tcW w:w="4819" w:type="dxa"/>
            <w:tcBorders>
              <w:top w:val="single" w:sz="4" w:space="0" w:color="B7C4D3"/>
              <w:left w:val="single" w:sz="4" w:space="0" w:color="B7C4D3"/>
              <w:bottom w:val="single" w:sz="4" w:space="0" w:color="B7C4D3"/>
              <w:right w:val="single" w:sz="4" w:space="0" w:color="B7C4D3"/>
            </w:tcBorders>
            <w:shd w:val="clear" w:color="auto" w:fill="F3F7FB"/>
            <w:tcMar>
              <w:top w:w="70" w:type="dxa"/>
              <w:left w:w="120" w:type="dxa"/>
              <w:bottom w:w="70" w:type="dxa"/>
              <w:right w:w="120" w:type="dxa"/>
            </w:tcMar>
            <w:vAlign w:val="center"/>
          </w:tcPr>
          <w:p w14:paraId="5D5DDBE7" w14:textId="77777777" w:rsidR="007350E4" w:rsidRDefault="00000000">
            <w:r>
              <w:t>Jan 2024 – Dec 2025</w:t>
            </w:r>
          </w:p>
        </w:tc>
      </w:tr>
      <w:tr w:rsidR="007350E4" w14:paraId="65CA609A" w14:textId="77777777">
        <w:tc>
          <w:tcPr>
            <w:tcW w:w="4819" w:type="dxa"/>
            <w:tcBorders>
              <w:top w:val="single" w:sz="4" w:space="0" w:color="B7C4D3"/>
              <w:left w:val="single" w:sz="4" w:space="0" w:color="B7C4D3"/>
              <w:bottom w:val="single" w:sz="4" w:space="0" w:color="B7C4D3"/>
              <w:right w:val="single" w:sz="4" w:space="0" w:color="B7C4D3"/>
            </w:tcBorders>
            <w:tcMar>
              <w:top w:w="70" w:type="dxa"/>
              <w:left w:w="120" w:type="dxa"/>
              <w:bottom w:w="70" w:type="dxa"/>
              <w:right w:w="120" w:type="dxa"/>
            </w:tcMar>
            <w:vAlign w:val="center"/>
          </w:tcPr>
          <w:p w14:paraId="09347CE3" w14:textId="77777777" w:rsidR="007350E4" w:rsidRDefault="00000000">
            <w:r>
              <w:t>Average age</w:t>
            </w:r>
          </w:p>
        </w:tc>
        <w:tc>
          <w:tcPr>
            <w:tcW w:w="4819" w:type="dxa"/>
            <w:tcBorders>
              <w:top w:val="single" w:sz="4" w:space="0" w:color="B7C4D3"/>
              <w:left w:val="single" w:sz="4" w:space="0" w:color="B7C4D3"/>
              <w:bottom w:val="single" w:sz="4" w:space="0" w:color="B7C4D3"/>
              <w:right w:val="single" w:sz="4" w:space="0" w:color="B7C4D3"/>
            </w:tcBorders>
            <w:tcMar>
              <w:top w:w="70" w:type="dxa"/>
              <w:left w:w="120" w:type="dxa"/>
              <w:bottom w:w="70" w:type="dxa"/>
              <w:right w:w="120" w:type="dxa"/>
            </w:tcMar>
            <w:vAlign w:val="center"/>
          </w:tcPr>
          <w:p w14:paraId="3DA7B4A8" w14:textId="77777777" w:rsidR="007350E4" w:rsidRDefault="00000000">
            <w:r>
              <w:t>50.7 years</w:t>
            </w:r>
          </w:p>
        </w:tc>
      </w:tr>
      <w:tr w:rsidR="007350E4" w14:paraId="3C959E2D" w14:textId="77777777">
        <w:tc>
          <w:tcPr>
            <w:tcW w:w="4819" w:type="dxa"/>
            <w:tcBorders>
              <w:top w:val="single" w:sz="4" w:space="0" w:color="B7C4D3"/>
              <w:left w:val="single" w:sz="4" w:space="0" w:color="B7C4D3"/>
              <w:bottom w:val="single" w:sz="4" w:space="0" w:color="B7C4D3"/>
              <w:right w:val="single" w:sz="4" w:space="0" w:color="B7C4D3"/>
            </w:tcBorders>
            <w:shd w:val="clear" w:color="auto" w:fill="F3F7FB"/>
            <w:tcMar>
              <w:top w:w="70" w:type="dxa"/>
              <w:left w:w="120" w:type="dxa"/>
              <w:bottom w:w="70" w:type="dxa"/>
              <w:right w:w="120" w:type="dxa"/>
            </w:tcMar>
            <w:vAlign w:val="center"/>
          </w:tcPr>
          <w:p w14:paraId="1FE8F067" w14:textId="77777777" w:rsidR="007350E4" w:rsidRDefault="00000000">
            <w:r>
              <w:t>Average length of stay</w:t>
            </w:r>
          </w:p>
        </w:tc>
        <w:tc>
          <w:tcPr>
            <w:tcW w:w="4819" w:type="dxa"/>
            <w:tcBorders>
              <w:top w:val="single" w:sz="4" w:space="0" w:color="B7C4D3"/>
              <w:left w:val="single" w:sz="4" w:space="0" w:color="B7C4D3"/>
              <w:bottom w:val="single" w:sz="4" w:space="0" w:color="B7C4D3"/>
              <w:right w:val="single" w:sz="4" w:space="0" w:color="B7C4D3"/>
            </w:tcBorders>
            <w:shd w:val="clear" w:color="auto" w:fill="F3F7FB"/>
            <w:tcMar>
              <w:top w:w="70" w:type="dxa"/>
              <w:left w:w="120" w:type="dxa"/>
              <w:bottom w:w="70" w:type="dxa"/>
              <w:right w:w="120" w:type="dxa"/>
            </w:tcMar>
            <w:vAlign w:val="center"/>
          </w:tcPr>
          <w:p w14:paraId="465B6DF1" w14:textId="77777777" w:rsidR="007350E4" w:rsidRDefault="00000000">
            <w:r>
              <w:t>6.1 days</w:t>
            </w:r>
          </w:p>
        </w:tc>
      </w:tr>
      <w:tr w:rsidR="007350E4" w14:paraId="6F2CD2DC" w14:textId="77777777">
        <w:tc>
          <w:tcPr>
            <w:tcW w:w="4819" w:type="dxa"/>
            <w:tcBorders>
              <w:top w:val="single" w:sz="4" w:space="0" w:color="B7C4D3"/>
              <w:left w:val="single" w:sz="4" w:space="0" w:color="B7C4D3"/>
              <w:bottom w:val="single" w:sz="4" w:space="0" w:color="B7C4D3"/>
              <w:right w:val="single" w:sz="4" w:space="0" w:color="B7C4D3"/>
            </w:tcBorders>
            <w:tcMar>
              <w:top w:w="70" w:type="dxa"/>
              <w:left w:w="120" w:type="dxa"/>
              <w:bottom w:w="70" w:type="dxa"/>
              <w:right w:w="120" w:type="dxa"/>
            </w:tcMar>
            <w:vAlign w:val="center"/>
          </w:tcPr>
          <w:p w14:paraId="52E20634" w14:textId="77777777" w:rsidR="007350E4" w:rsidRDefault="00000000">
            <w:r>
              <w:t>Average billing amount</w:t>
            </w:r>
          </w:p>
        </w:tc>
        <w:tc>
          <w:tcPr>
            <w:tcW w:w="4819" w:type="dxa"/>
            <w:tcBorders>
              <w:top w:val="single" w:sz="4" w:space="0" w:color="B7C4D3"/>
              <w:left w:val="single" w:sz="4" w:space="0" w:color="B7C4D3"/>
              <w:bottom w:val="single" w:sz="4" w:space="0" w:color="B7C4D3"/>
              <w:right w:val="single" w:sz="4" w:space="0" w:color="B7C4D3"/>
            </w:tcBorders>
            <w:tcMar>
              <w:top w:w="70" w:type="dxa"/>
              <w:left w:w="120" w:type="dxa"/>
              <w:bottom w:w="70" w:type="dxa"/>
              <w:right w:w="120" w:type="dxa"/>
            </w:tcMar>
            <w:vAlign w:val="center"/>
          </w:tcPr>
          <w:p w14:paraId="4414DB46" w14:textId="77777777" w:rsidR="007350E4" w:rsidRDefault="00000000">
            <w:r>
              <w:t>USD 15,987</w:t>
            </w:r>
          </w:p>
        </w:tc>
      </w:tr>
      <w:tr w:rsidR="007350E4" w14:paraId="46A05E4D" w14:textId="77777777">
        <w:tc>
          <w:tcPr>
            <w:tcW w:w="4819" w:type="dxa"/>
            <w:tcBorders>
              <w:top w:val="single" w:sz="4" w:space="0" w:color="B7C4D3"/>
              <w:left w:val="single" w:sz="4" w:space="0" w:color="B7C4D3"/>
              <w:bottom w:val="single" w:sz="4" w:space="0" w:color="B7C4D3"/>
              <w:right w:val="single" w:sz="4" w:space="0" w:color="B7C4D3"/>
            </w:tcBorders>
            <w:shd w:val="clear" w:color="auto" w:fill="F3F7FB"/>
            <w:tcMar>
              <w:top w:w="70" w:type="dxa"/>
              <w:left w:w="120" w:type="dxa"/>
              <w:bottom w:w="70" w:type="dxa"/>
              <w:right w:w="120" w:type="dxa"/>
            </w:tcMar>
            <w:vAlign w:val="center"/>
          </w:tcPr>
          <w:p w14:paraId="25A2383C" w14:textId="77777777" w:rsidR="007350E4" w:rsidRDefault="00000000">
            <w:r>
              <w:t>Total billing</w:t>
            </w:r>
          </w:p>
        </w:tc>
        <w:tc>
          <w:tcPr>
            <w:tcW w:w="4819" w:type="dxa"/>
            <w:tcBorders>
              <w:top w:val="single" w:sz="4" w:space="0" w:color="B7C4D3"/>
              <w:left w:val="single" w:sz="4" w:space="0" w:color="B7C4D3"/>
              <w:bottom w:val="single" w:sz="4" w:space="0" w:color="B7C4D3"/>
              <w:right w:val="single" w:sz="4" w:space="0" w:color="B7C4D3"/>
            </w:tcBorders>
            <w:shd w:val="clear" w:color="auto" w:fill="F3F7FB"/>
            <w:tcMar>
              <w:top w:w="70" w:type="dxa"/>
              <w:left w:w="120" w:type="dxa"/>
              <w:bottom w:w="70" w:type="dxa"/>
              <w:right w:w="120" w:type="dxa"/>
            </w:tcMar>
            <w:vAlign w:val="center"/>
          </w:tcPr>
          <w:p w14:paraId="5B542871" w14:textId="77777777" w:rsidR="007350E4" w:rsidRDefault="00000000">
            <w:r>
              <w:t>USD 60.6 million</w:t>
            </w:r>
          </w:p>
        </w:tc>
      </w:tr>
    </w:tbl>
    <w:p w14:paraId="0EC46E52" w14:textId="15B1F6C3" w:rsidR="007350E4" w:rsidRDefault="007350E4">
      <w:pPr>
        <w:pBdr>
          <w:left w:val="single" w:sz="24" w:space="8" w:color="E07A5F"/>
        </w:pBdr>
        <w:shd w:val="clear" w:color="auto" w:fill="FFF4E5"/>
        <w:spacing w:after="120"/>
      </w:pPr>
    </w:p>
    <w:p w14:paraId="20C9045A" w14:textId="77777777" w:rsidR="007350E4" w:rsidRDefault="00000000">
      <w:pPr>
        <w:pStyle w:val="Heading1"/>
        <w:keepNext/>
        <w:pageBreakBefore/>
        <w:pBdr>
          <w:bottom w:val="single" w:sz="8" w:space="2" w:color="1F4E79"/>
        </w:pBdr>
      </w:pPr>
      <w:r>
        <w:lastRenderedPageBreak/>
        <w:t>3. Patient Demographic Visualisation</w:t>
      </w:r>
    </w:p>
    <w:p w14:paraId="5AB8ABE3" w14:textId="77777777" w:rsidR="007350E4" w:rsidRDefault="00000000">
      <w:pPr>
        <w:spacing w:after="120" w:line="300" w:lineRule="auto"/>
        <w:jc w:val="both"/>
      </w:pPr>
      <w:r>
        <w:t>This section shows the age profile, gender balance and the medical conditions of admitted patients.</w:t>
      </w: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838"/>
      </w:tblGrid>
      <w:tr w:rsidR="007350E4" w14:paraId="55E92D1A" w14:textId="77777777">
        <w:trPr>
          <w:cantSplit/>
        </w:trPr>
        <w:tc>
          <w:tcPr>
            <w:tcW w:w="5800" w:type="dxa"/>
            <w:tcBorders>
              <w:top w:val="nil"/>
              <w:left w:val="nil"/>
              <w:bottom w:val="nil"/>
              <w:right w:val="nil"/>
            </w:tcBorders>
            <w:vAlign w:val="center"/>
          </w:tcPr>
          <w:p w14:paraId="79A71055" w14:textId="77777777" w:rsidR="007350E4" w:rsidRDefault="00000000">
            <w:pPr>
              <w:spacing w:before="60" w:after="40"/>
              <w:jc w:val="center"/>
            </w:pPr>
            <w:r>
              <w:rPr>
                <w:noProof/>
              </w:rPr>
              <w:drawing>
                <wp:inline distT="0" distB="0" distL="0" distR="0" wp14:anchorId="558E3002" wp14:editId="4AD49F2F">
                  <wp:extent cx="3143250" cy="1724025"/>
                  <wp:effectExtent l="0" t="0" r="0" b="0"/>
                  <wp:docPr id="1" name="image1.png" descr="Age distribution of patients"/>
                  <wp:cNvGraphicFramePr/>
                  <a:graphic xmlns:a="http://schemas.openxmlformats.org/drawingml/2006/main">
                    <a:graphicData uri="http://schemas.openxmlformats.org/drawingml/2006/picture">
                      <pic:pic xmlns:pic="http://schemas.openxmlformats.org/drawingml/2006/picture">
                        <pic:nvPicPr>
                          <pic:cNvPr id="0" name="image1.png" descr="Age distribution of patients"/>
                          <pic:cNvPicPr preferRelativeResize="0"/>
                        </pic:nvPicPr>
                        <pic:blipFill>
                          <a:blip r:embed="rId7"/>
                          <a:srcRect/>
                          <a:stretch>
                            <a:fillRect/>
                          </a:stretch>
                        </pic:blipFill>
                        <pic:spPr>
                          <a:xfrm>
                            <a:off x="0" y="0"/>
                            <a:ext cx="3143250" cy="1724025"/>
                          </a:xfrm>
                          <a:prstGeom prst="rect">
                            <a:avLst/>
                          </a:prstGeom>
                          <a:ln/>
                        </pic:spPr>
                      </pic:pic>
                    </a:graphicData>
                  </a:graphic>
                </wp:inline>
              </w:drawing>
            </w:r>
          </w:p>
          <w:p w14:paraId="192A8A29" w14:textId="77777777" w:rsidR="007350E4" w:rsidRDefault="00000000">
            <w:pPr>
              <w:spacing w:after="100"/>
              <w:jc w:val="center"/>
            </w:pPr>
            <w:r>
              <w:rPr>
                <w:i/>
                <w:iCs/>
                <w:color w:val="6B7280"/>
                <w:sz w:val="19"/>
                <w:szCs w:val="19"/>
              </w:rPr>
              <w:t>Figure 1: Age distribution of patients</w:t>
            </w:r>
          </w:p>
        </w:tc>
        <w:tc>
          <w:tcPr>
            <w:tcW w:w="3838" w:type="dxa"/>
            <w:tcBorders>
              <w:top w:val="nil"/>
              <w:left w:val="nil"/>
              <w:bottom w:val="nil"/>
              <w:right w:val="nil"/>
            </w:tcBorders>
            <w:vAlign w:val="center"/>
          </w:tcPr>
          <w:p w14:paraId="10031559" w14:textId="77777777" w:rsidR="007350E4" w:rsidRDefault="00000000">
            <w:pPr>
              <w:spacing w:before="60" w:after="40"/>
              <w:jc w:val="center"/>
            </w:pPr>
            <w:r>
              <w:rPr>
                <w:noProof/>
              </w:rPr>
              <w:drawing>
                <wp:inline distT="0" distB="0" distL="0" distR="0" wp14:anchorId="59EB9B79" wp14:editId="3EB86326">
                  <wp:extent cx="1762125" cy="1666875"/>
                  <wp:effectExtent l="0" t="0" r="0" b="0"/>
                  <wp:docPr id="3" name="image3.png" descr="Gender split of patients"/>
                  <wp:cNvGraphicFramePr/>
                  <a:graphic xmlns:a="http://schemas.openxmlformats.org/drawingml/2006/main">
                    <a:graphicData uri="http://schemas.openxmlformats.org/drawingml/2006/picture">
                      <pic:pic xmlns:pic="http://schemas.openxmlformats.org/drawingml/2006/picture">
                        <pic:nvPicPr>
                          <pic:cNvPr id="0" name="image3.png" descr="Gender split of patients"/>
                          <pic:cNvPicPr preferRelativeResize="0"/>
                        </pic:nvPicPr>
                        <pic:blipFill>
                          <a:blip r:embed="rId8"/>
                          <a:srcRect/>
                          <a:stretch>
                            <a:fillRect/>
                          </a:stretch>
                        </pic:blipFill>
                        <pic:spPr>
                          <a:xfrm>
                            <a:off x="0" y="0"/>
                            <a:ext cx="1762125" cy="1666875"/>
                          </a:xfrm>
                          <a:prstGeom prst="rect">
                            <a:avLst/>
                          </a:prstGeom>
                          <a:ln/>
                        </pic:spPr>
                      </pic:pic>
                    </a:graphicData>
                  </a:graphic>
                </wp:inline>
              </w:drawing>
            </w:r>
          </w:p>
          <w:p w14:paraId="6156B1A0" w14:textId="77777777" w:rsidR="007350E4" w:rsidRDefault="00000000">
            <w:pPr>
              <w:spacing w:after="100"/>
              <w:jc w:val="center"/>
            </w:pPr>
            <w:r>
              <w:rPr>
                <w:i/>
                <w:iCs/>
                <w:color w:val="6B7280"/>
                <w:sz w:val="19"/>
                <w:szCs w:val="19"/>
              </w:rPr>
              <w:t>Figure 2: Gender split of patients</w:t>
            </w:r>
          </w:p>
        </w:tc>
      </w:tr>
    </w:tbl>
    <w:p w14:paraId="6D742073" w14:textId="77777777" w:rsidR="007350E4" w:rsidRDefault="00000000">
      <w:pPr>
        <w:keepNext/>
        <w:spacing w:before="100" w:after="40"/>
        <w:jc w:val="center"/>
      </w:pPr>
      <w:r>
        <w:rPr>
          <w:noProof/>
        </w:rPr>
        <w:drawing>
          <wp:inline distT="0" distB="0" distL="0" distR="0" wp14:anchorId="42C07BC0" wp14:editId="6D585182">
            <wp:extent cx="4000500" cy="2190750"/>
            <wp:effectExtent l="0" t="0" r="0" b="0"/>
            <wp:docPr id="2" name="image2.png" descr="Number of patients by medical condition"/>
            <wp:cNvGraphicFramePr/>
            <a:graphic xmlns:a="http://schemas.openxmlformats.org/drawingml/2006/main">
              <a:graphicData uri="http://schemas.openxmlformats.org/drawingml/2006/picture">
                <pic:pic xmlns:pic="http://schemas.openxmlformats.org/drawingml/2006/picture">
                  <pic:nvPicPr>
                    <pic:cNvPr id="0" name="image2.png" descr="Number of patients by medical condition"/>
                    <pic:cNvPicPr preferRelativeResize="0"/>
                  </pic:nvPicPr>
                  <pic:blipFill>
                    <a:blip r:embed="rId9"/>
                    <a:srcRect/>
                    <a:stretch>
                      <a:fillRect/>
                    </a:stretch>
                  </pic:blipFill>
                  <pic:spPr>
                    <a:xfrm>
                      <a:off x="0" y="0"/>
                      <a:ext cx="4000500" cy="2190750"/>
                    </a:xfrm>
                    <a:prstGeom prst="rect">
                      <a:avLst/>
                    </a:prstGeom>
                    <a:ln/>
                  </pic:spPr>
                </pic:pic>
              </a:graphicData>
            </a:graphic>
          </wp:inline>
        </w:drawing>
      </w:r>
    </w:p>
    <w:p w14:paraId="1B0DCC19" w14:textId="77777777" w:rsidR="007350E4" w:rsidRDefault="00000000">
      <w:pPr>
        <w:spacing w:after="140"/>
        <w:jc w:val="center"/>
      </w:pPr>
      <w:r>
        <w:rPr>
          <w:i/>
          <w:iCs/>
          <w:color w:val="6B7280"/>
          <w:sz w:val="19"/>
          <w:szCs w:val="19"/>
        </w:rPr>
        <w:t>Figure 3: Number of patients by medical condition</w:t>
      </w:r>
    </w:p>
    <w:p w14:paraId="7B5B9958" w14:textId="77777777" w:rsidR="007350E4" w:rsidRDefault="00000000">
      <w:pPr>
        <w:pStyle w:val="Heading2"/>
        <w:keepNext/>
      </w:pPr>
      <w:r>
        <w:t>Observations</w:t>
      </w:r>
    </w:p>
    <w:p w14:paraId="0416C301" w14:textId="77777777" w:rsidR="007350E4" w:rsidRDefault="00000000">
      <w:pPr>
        <w:numPr>
          <w:ilvl w:val="0"/>
          <w:numId w:val="1"/>
        </w:numPr>
        <w:pBdr>
          <w:top w:val="nil"/>
          <w:left w:val="nil"/>
          <w:bottom w:val="nil"/>
          <w:right w:val="nil"/>
          <w:between w:val="nil"/>
        </w:pBdr>
        <w:spacing w:after="70" w:line="290" w:lineRule="auto"/>
      </w:pPr>
      <w:r>
        <w:rPr>
          <w:color w:val="000000"/>
        </w:rPr>
        <w:t>The average patient age is 50.7 years (median 51), and 31.9% of patients are aged 60 or above.</w:t>
      </w:r>
    </w:p>
    <w:p w14:paraId="78439E8E" w14:textId="77777777" w:rsidR="007350E4" w:rsidRDefault="00000000">
      <w:pPr>
        <w:numPr>
          <w:ilvl w:val="0"/>
          <w:numId w:val="1"/>
        </w:numPr>
        <w:pBdr>
          <w:top w:val="nil"/>
          <w:left w:val="nil"/>
          <w:bottom w:val="nil"/>
          <w:right w:val="nil"/>
          <w:between w:val="nil"/>
        </w:pBdr>
        <w:spacing w:after="70" w:line="290" w:lineRule="auto"/>
      </w:pPr>
      <w:r>
        <w:rPr>
          <w:color w:val="000000"/>
        </w:rPr>
        <w:t>Patients aged 40–59 form the largest group (1,525 patients), while children below 18 are the smallest group (151).</w:t>
      </w:r>
    </w:p>
    <w:p w14:paraId="55269955" w14:textId="77777777" w:rsidR="007350E4" w:rsidRDefault="00000000">
      <w:pPr>
        <w:numPr>
          <w:ilvl w:val="0"/>
          <w:numId w:val="1"/>
        </w:numPr>
        <w:pBdr>
          <w:top w:val="nil"/>
          <w:left w:val="nil"/>
          <w:bottom w:val="nil"/>
          <w:right w:val="nil"/>
          <w:between w:val="nil"/>
        </w:pBdr>
        <w:spacing w:after="70" w:line="290" w:lineRule="auto"/>
      </w:pPr>
      <w:r>
        <w:rPr>
          <w:color w:val="000000"/>
        </w:rPr>
        <w:t>Gender is evenly balanced: 50.4% male and 49.6% female.</w:t>
      </w:r>
    </w:p>
    <w:p w14:paraId="44D53383" w14:textId="77777777" w:rsidR="007350E4" w:rsidRDefault="00000000">
      <w:pPr>
        <w:numPr>
          <w:ilvl w:val="0"/>
          <w:numId w:val="1"/>
        </w:numPr>
        <w:pBdr>
          <w:top w:val="nil"/>
          <w:left w:val="nil"/>
          <w:bottom w:val="nil"/>
          <w:right w:val="nil"/>
          <w:between w:val="nil"/>
        </w:pBdr>
        <w:spacing w:after="70" w:line="290" w:lineRule="auto"/>
      </w:pPr>
      <w:r>
        <w:rPr>
          <w:color w:val="000000"/>
        </w:rPr>
        <w:t>Hypertension is the most common condition (753 patients, 19.9%), and Cancer is the least common (449 patients, 11.8%).</w:t>
      </w:r>
    </w:p>
    <w:p w14:paraId="4225F611" w14:textId="77777777" w:rsidR="007350E4" w:rsidRDefault="00000000">
      <w:pPr>
        <w:pStyle w:val="Heading1"/>
        <w:keepNext/>
        <w:pageBreakBefore/>
        <w:pBdr>
          <w:bottom w:val="single" w:sz="8" w:space="2" w:color="1F4E79"/>
        </w:pBdr>
      </w:pPr>
      <w:r>
        <w:lastRenderedPageBreak/>
        <w:t>4. Billing Analysis</w:t>
      </w:r>
    </w:p>
    <w:p w14:paraId="455DBCF9" w14:textId="77777777" w:rsidR="007350E4" w:rsidRDefault="00000000">
      <w:pPr>
        <w:spacing w:after="120" w:line="300" w:lineRule="auto"/>
        <w:jc w:val="both"/>
      </w:pPr>
      <w:r>
        <w:t>Three charts examine how much patients are billed and what drives the differences between them.</w:t>
      </w:r>
    </w:p>
    <w:p w14:paraId="38276B48" w14:textId="77777777" w:rsidR="007350E4" w:rsidRDefault="00000000">
      <w:pPr>
        <w:keepNext/>
        <w:spacing w:before="100" w:after="40"/>
        <w:jc w:val="center"/>
      </w:pPr>
      <w:r>
        <w:rPr>
          <w:noProof/>
        </w:rPr>
        <w:drawing>
          <wp:inline distT="0" distB="0" distL="0" distR="0" wp14:anchorId="703BE37B" wp14:editId="4492DE3E">
            <wp:extent cx="3333750" cy="1828800"/>
            <wp:effectExtent l="0" t="0" r="0" b="0"/>
            <wp:docPr id="5" name="image5.png" descr="Distribution of billing amount"/>
            <wp:cNvGraphicFramePr/>
            <a:graphic xmlns:a="http://schemas.openxmlformats.org/drawingml/2006/main">
              <a:graphicData uri="http://schemas.openxmlformats.org/drawingml/2006/picture">
                <pic:pic xmlns:pic="http://schemas.openxmlformats.org/drawingml/2006/picture">
                  <pic:nvPicPr>
                    <pic:cNvPr id="0" name="image5.png" descr="Distribution of billing amount"/>
                    <pic:cNvPicPr preferRelativeResize="0"/>
                  </pic:nvPicPr>
                  <pic:blipFill>
                    <a:blip r:embed="rId10"/>
                    <a:srcRect/>
                    <a:stretch>
                      <a:fillRect/>
                    </a:stretch>
                  </pic:blipFill>
                  <pic:spPr>
                    <a:xfrm>
                      <a:off x="0" y="0"/>
                      <a:ext cx="3333750" cy="1828800"/>
                    </a:xfrm>
                    <a:prstGeom prst="rect">
                      <a:avLst/>
                    </a:prstGeom>
                    <a:ln/>
                  </pic:spPr>
                </pic:pic>
              </a:graphicData>
            </a:graphic>
          </wp:inline>
        </w:drawing>
      </w:r>
    </w:p>
    <w:p w14:paraId="5B4B864A" w14:textId="77777777" w:rsidR="007350E4" w:rsidRDefault="00000000">
      <w:pPr>
        <w:spacing w:after="140"/>
        <w:jc w:val="center"/>
      </w:pPr>
      <w:r>
        <w:rPr>
          <w:i/>
          <w:iCs/>
          <w:color w:val="6B7280"/>
          <w:sz w:val="19"/>
          <w:szCs w:val="19"/>
        </w:rPr>
        <w:t>Figure 4: Distribution of billing amount</w:t>
      </w:r>
    </w:p>
    <w:p w14:paraId="7B6BBC9D" w14:textId="77777777" w:rsidR="007350E4" w:rsidRDefault="00000000">
      <w:pPr>
        <w:keepNext/>
        <w:spacing w:before="100" w:after="40"/>
        <w:jc w:val="center"/>
      </w:pPr>
      <w:r>
        <w:rPr>
          <w:noProof/>
        </w:rPr>
        <w:drawing>
          <wp:inline distT="0" distB="0" distL="0" distR="0" wp14:anchorId="5164D467" wp14:editId="24355221">
            <wp:extent cx="3333750" cy="1828800"/>
            <wp:effectExtent l="0" t="0" r="0" b="0"/>
            <wp:docPr id="4" name="image4.png" descr="Average billing by medical condition"/>
            <wp:cNvGraphicFramePr/>
            <a:graphic xmlns:a="http://schemas.openxmlformats.org/drawingml/2006/main">
              <a:graphicData uri="http://schemas.openxmlformats.org/drawingml/2006/picture">
                <pic:pic xmlns:pic="http://schemas.openxmlformats.org/drawingml/2006/picture">
                  <pic:nvPicPr>
                    <pic:cNvPr id="0" name="image4.png" descr="Average billing by medical condition"/>
                    <pic:cNvPicPr preferRelativeResize="0"/>
                  </pic:nvPicPr>
                  <pic:blipFill>
                    <a:blip r:embed="rId11"/>
                    <a:srcRect/>
                    <a:stretch>
                      <a:fillRect/>
                    </a:stretch>
                  </pic:blipFill>
                  <pic:spPr>
                    <a:xfrm>
                      <a:off x="0" y="0"/>
                      <a:ext cx="3333750" cy="1828800"/>
                    </a:xfrm>
                    <a:prstGeom prst="rect">
                      <a:avLst/>
                    </a:prstGeom>
                    <a:ln/>
                  </pic:spPr>
                </pic:pic>
              </a:graphicData>
            </a:graphic>
          </wp:inline>
        </w:drawing>
      </w:r>
    </w:p>
    <w:p w14:paraId="6F2FDD46" w14:textId="77777777" w:rsidR="007350E4" w:rsidRDefault="00000000">
      <w:pPr>
        <w:spacing w:after="140"/>
        <w:jc w:val="center"/>
      </w:pPr>
      <w:r>
        <w:rPr>
          <w:i/>
          <w:iCs/>
          <w:color w:val="6B7280"/>
          <w:sz w:val="19"/>
          <w:szCs w:val="19"/>
        </w:rPr>
        <w:t>Figure 5: Average billing by medical condition</w:t>
      </w:r>
    </w:p>
    <w:p w14:paraId="1A48CB94" w14:textId="77777777" w:rsidR="007350E4" w:rsidRDefault="00000000">
      <w:pPr>
        <w:keepNext/>
        <w:spacing w:before="100" w:after="40"/>
        <w:jc w:val="center"/>
      </w:pPr>
      <w:r>
        <w:rPr>
          <w:noProof/>
        </w:rPr>
        <w:drawing>
          <wp:inline distT="0" distB="0" distL="0" distR="0" wp14:anchorId="2C9C863E" wp14:editId="0BD6D297">
            <wp:extent cx="3333750" cy="1828800"/>
            <wp:effectExtent l="0" t="0" r="0" b="0"/>
            <wp:docPr id="7" name="image7.png" descr="Average billing by admission type"/>
            <wp:cNvGraphicFramePr/>
            <a:graphic xmlns:a="http://schemas.openxmlformats.org/drawingml/2006/main">
              <a:graphicData uri="http://schemas.openxmlformats.org/drawingml/2006/picture">
                <pic:pic xmlns:pic="http://schemas.openxmlformats.org/drawingml/2006/picture">
                  <pic:nvPicPr>
                    <pic:cNvPr id="0" name="image7.png" descr="Average billing by admission type"/>
                    <pic:cNvPicPr preferRelativeResize="0"/>
                  </pic:nvPicPr>
                  <pic:blipFill>
                    <a:blip r:embed="rId12"/>
                    <a:srcRect/>
                    <a:stretch>
                      <a:fillRect/>
                    </a:stretch>
                  </pic:blipFill>
                  <pic:spPr>
                    <a:xfrm>
                      <a:off x="0" y="0"/>
                      <a:ext cx="3333750" cy="1828800"/>
                    </a:xfrm>
                    <a:prstGeom prst="rect">
                      <a:avLst/>
                    </a:prstGeom>
                    <a:ln/>
                  </pic:spPr>
                </pic:pic>
              </a:graphicData>
            </a:graphic>
          </wp:inline>
        </w:drawing>
      </w:r>
    </w:p>
    <w:p w14:paraId="75B6BE0F" w14:textId="77777777" w:rsidR="007350E4" w:rsidRDefault="00000000">
      <w:pPr>
        <w:spacing w:after="140"/>
        <w:jc w:val="center"/>
      </w:pPr>
      <w:r>
        <w:rPr>
          <w:i/>
          <w:iCs/>
          <w:color w:val="6B7280"/>
          <w:sz w:val="19"/>
          <w:szCs w:val="19"/>
        </w:rPr>
        <w:t>Figure 6: Average billing by admission type</w:t>
      </w:r>
    </w:p>
    <w:p w14:paraId="7EA648B8" w14:textId="77777777" w:rsidR="007350E4" w:rsidRDefault="00000000">
      <w:pPr>
        <w:pStyle w:val="Heading2"/>
        <w:keepNext/>
      </w:pPr>
      <w:r>
        <w:t>Observations</w:t>
      </w:r>
    </w:p>
    <w:p w14:paraId="4C40C409" w14:textId="77777777" w:rsidR="007350E4" w:rsidRDefault="00000000">
      <w:pPr>
        <w:numPr>
          <w:ilvl w:val="0"/>
          <w:numId w:val="1"/>
        </w:numPr>
        <w:pBdr>
          <w:top w:val="nil"/>
          <w:left w:val="nil"/>
          <w:bottom w:val="nil"/>
          <w:right w:val="nil"/>
          <w:between w:val="nil"/>
        </w:pBdr>
        <w:spacing w:after="70" w:line="290" w:lineRule="auto"/>
      </w:pPr>
      <w:r>
        <w:rPr>
          <w:color w:val="000000"/>
        </w:rPr>
        <w:t>The average bill is USD 15,987 and the median is USD 15,278. Bills range from USD 500 to USD 51,483, with a slight right skew caused by a few very high bills.</w:t>
      </w:r>
    </w:p>
    <w:p w14:paraId="6BAD7D96" w14:textId="77777777" w:rsidR="007350E4" w:rsidRDefault="00000000">
      <w:pPr>
        <w:numPr>
          <w:ilvl w:val="0"/>
          <w:numId w:val="1"/>
        </w:numPr>
        <w:pBdr>
          <w:top w:val="nil"/>
          <w:left w:val="nil"/>
          <w:bottom w:val="nil"/>
          <w:right w:val="nil"/>
          <w:between w:val="nil"/>
        </w:pBdr>
        <w:spacing w:after="70" w:line="290" w:lineRule="auto"/>
      </w:pPr>
      <w:r>
        <w:rPr>
          <w:color w:val="000000"/>
        </w:rPr>
        <w:t>Cancer is the costliest condition at USD 20,803 per patient, about 35% above the other conditions, which all fall between USD 15,029 and USD 15,535.</w:t>
      </w:r>
    </w:p>
    <w:p w14:paraId="79B7C80B" w14:textId="77777777" w:rsidR="007350E4" w:rsidRDefault="00000000">
      <w:pPr>
        <w:numPr>
          <w:ilvl w:val="0"/>
          <w:numId w:val="1"/>
        </w:numPr>
        <w:pBdr>
          <w:top w:val="nil"/>
          <w:left w:val="nil"/>
          <w:bottom w:val="nil"/>
          <w:right w:val="nil"/>
          <w:between w:val="nil"/>
        </w:pBdr>
        <w:spacing w:after="70" w:line="290" w:lineRule="auto"/>
      </w:pPr>
      <w:r>
        <w:rPr>
          <w:color w:val="000000"/>
        </w:rPr>
        <w:t>Emergency admissions average USD 19,060, which is 36% higher than elective admissions (USD 14,003). Urgent and elective admissions cost almost the same.</w:t>
      </w:r>
    </w:p>
    <w:p w14:paraId="1A824536" w14:textId="77777777" w:rsidR="007350E4" w:rsidRDefault="00000000">
      <w:pPr>
        <w:numPr>
          <w:ilvl w:val="0"/>
          <w:numId w:val="1"/>
        </w:numPr>
        <w:pBdr>
          <w:top w:val="nil"/>
          <w:left w:val="nil"/>
          <w:bottom w:val="nil"/>
          <w:right w:val="nil"/>
          <w:between w:val="nil"/>
        </w:pBdr>
        <w:spacing w:after="70" w:line="290" w:lineRule="auto"/>
      </w:pPr>
      <w:r>
        <w:rPr>
          <w:color w:val="000000"/>
        </w:rPr>
        <w:t>The top 10% of bills account for 18.2% of the total billing, so costs are fairly spread out rather than concentrated in a few cases.</w:t>
      </w:r>
    </w:p>
    <w:p w14:paraId="12A5DBCC" w14:textId="77777777" w:rsidR="007350E4" w:rsidRDefault="00000000">
      <w:pPr>
        <w:pStyle w:val="Heading1"/>
        <w:keepNext/>
        <w:pageBreakBefore/>
        <w:pBdr>
          <w:bottom w:val="single" w:sz="8" w:space="2" w:color="1F4E79"/>
        </w:pBdr>
      </w:pPr>
      <w:r>
        <w:lastRenderedPageBreak/>
        <w:t>5. Temporal Admission Trend Analysis</w:t>
      </w:r>
    </w:p>
    <w:p w14:paraId="7FEDD6E8" w14:textId="77777777" w:rsidR="007350E4" w:rsidRDefault="00000000">
      <w:pPr>
        <w:spacing w:after="120" w:line="300" w:lineRule="auto"/>
        <w:jc w:val="both"/>
      </w:pPr>
      <w:r>
        <w:t>The monthly admission count shows how hospital demand changes over the two years.</w:t>
      </w:r>
    </w:p>
    <w:p w14:paraId="625A6C27" w14:textId="77777777" w:rsidR="007350E4" w:rsidRDefault="00000000">
      <w:pPr>
        <w:keepNext/>
        <w:spacing w:before="100" w:after="40"/>
        <w:jc w:val="center"/>
      </w:pPr>
      <w:r>
        <w:rPr>
          <w:noProof/>
        </w:rPr>
        <w:drawing>
          <wp:inline distT="0" distB="0" distL="0" distR="0" wp14:anchorId="4B59AB12" wp14:editId="4A049E91">
            <wp:extent cx="4476750" cy="2305050"/>
            <wp:effectExtent l="0" t="0" r="0" b="0"/>
            <wp:docPr id="6" name="image6.png" descr="Monthly patient admissions, 2024–2025"/>
            <wp:cNvGraphicFramePr/>
            <a:graphic xmlns:a="http://schemas.openxmlformats.org/drawingml/2006/main">
              <a:graphicData uri="http://schemas.openxmlformats.org/drawingml/2006/picture">
                <pic:pic xmlns:pic="http://schemas.openxmlformats.org/drawingml/2006/picture">
                  <pic:nvPicPr>
                    <pic:cNvPr id="0" name="image6.png" descr="Monthly patient admissions, 2024–2025"/>
                    <pic:cNvPicPr preferRelativeResize="0"/>
                  </pic:nvPicPr>
                  <pic:blipFill>
                    <a:blip r:embed="rId13"/>
                    <a:srcRect/>
                    <a:stretch>
                      <a:fillRect/>
                    </a:stretch>
                  </pic:blipFill>
                  <pic:spPr>
                    <a:xfrm>
                      <a:off x="0" y="0"/>
                      <a:ext cx="4476750" cy="2305050"/>
                    </a:xfrm>
                    <a:prstGeom prst="rect">
                      <a:avLst/>
                    </a:prstGeom>
                    <a:ln/>
                  </pic:spPr>
                </pic:pic>
              </a:graphicData>
            </a:graphic>
          </wp:inline>
        </w:drawing>
      </w:r>
    </w:p>
    <w:p w14:paraId="41F40755" w14:textId="77777777" w:rsidR="007350E4" w:rsidRDefault="00000000">
      <w:pPr>
        <w:spacing w:after="140"/>
        <w:jc w:val="center"/>
      </w:pPr>
      <w:r>
        <w:rPr>
          <w:i/>
          <w:iCs/>
          <w:color w:val="6B7280"/>
          <w:sz w:val="19"/>
          <w:szCs w:val="19"/>
        </w:rPr>
        <w:t>Figure 7: Monthly patient admissions, 2024–2025</w:t>
      </w:r>
    </w:p>
    <w:p w14:paraId="49CA28B0" w14:textId="77777777" w:rsidR="007350E4" w:rsidRDefault="00000000">
      <w:pPr>
        <w:pStyle w:val="Heading2"/>
        <w:keepNext/>
      </w:pPr>
      <w:r>
        <w:t>Observations</w:t>
      </w:r>
    </w:p>
    <w:p w14:paraId="6B87B57C" w14:textId="77777777" w:rsidR="007350E4" w:rsidRDefault="00000000">
      <w:pPr>
        <w:numPr>
          <w:ilvl w:val="0"/>
          <w:numId w:val="1"/>
        </w:numPr>
        <w:pBdr>
          <w:top w:val="nil"/>
          <w:left w:val="nil"/>
          <w:bottom w:val="nil"/>
          <w:right w:val="nil"/>
          <w:between w:val="nil"/>
        </w:pBdr>
        <w:spacing w:after="70" w:line="290" w:lineRule="auto"/>
      </w:pPr>
      <w:r>
        <w:rPr>
          <w:color w:val="000000"/>
        </w:rPr>
        <w:t>The hospital admitted about 158 patients per month on average.</w:t>
      </w:r>
    </w:p>
    <w:p w14:paraId="504A562C" w14:textId="77777777" w:rsidR="007350E4" w:rsidRDefault="00000000">
      <w:pPr>
        <w:numPr>
          <w:ilvl w:val="0"/>
          <w:numId w:val="1"/>
        </w:numPr>
        <w:pBdr>
          <w:top w:val="nil"/>
          <w:left w:val="nil"/>
          <w:bottom w:val="nil"/>
          <w:right w:val="nil"/>
          <w:between w:val="nil"/>
        </w:pBdr>
        <w:spacing w:after="70" w:line="290" w:lineRule="auto"/>
      </w:pPr>
      <w:r>
        <w:rPr>
          <w:color w:val="000000"/>
        </w:rPr>
        <w:t>Admissions peaked in December 2024 (205) and July 2025 (204), and were lowest in May 2024 and June 2025 (126 each).</w:t>
      </w:r>
    </w:p>
    <w:p w14:paraId="4ED8C733" w14:textId="77777777" w:rsidR="007350E4" w:rsidRDefault="00000000">
      <w:pPr>
        <w:numPr>
          <w:ilvl w:val="0"/>
          <w:numId w:val="1"/>
        </w:numPr>
        <w:pBdr>
          <w:top w:val="nil"/>
          <w:left w:val="nil"/>
          <w:bottom w:val="nil"/>
          <w:right w:val="nil"/>
          <w:between w:val="nil"/>
        </w:pBdr>
        <w:spacing w:after="70" w:line="290" w:lineRule="auto"/>
      </w:pPr>
      <w:r>
        <w:rPr>
          <w:color w:val="000000"/>
        </w:rPr>
        <w:t>The winter months (December to February) account for 28.9% of all admissions, above the 25% expected from an even spread.</w:t>
      </w:r>
    </w:p>
    <w:p w14:paraId="6D5EDAF9" w14:textId="77777777" w:rsidR="007350E4" w:rsidRDefault="00000000">
      <w:pPr>
        <w:numPr>
          <w:ilvl w:val="0"/>
          <w:numId w:val="1"/>
        </w:numPr>
        <w:pBdr>
          <w:top w:val="nil"/>
          <w:left w:val="nil"/>
          <w:bottom w:val="nil"/>
          <w:right w:val="nil"/>
          <w:between w:val="nil"/>
        </w:pBdr>
        <w:spacing w:after="70" w:line="290" w:lineRule="auto"/>
      </w:pPr>
      <w:r>
        <w:rPr>
          <w:color w:val="000000"/>
        </w:rPr>
        <w:t>Total admissions grew from 1,860 in 2024 to 1,930 in 2025, an increase of 3.8%.</w:t>
      </w:r>
    </w:p>
    <w:p w14:paraId="6B036E6D" w14:textId="77777777" w:rsidR="007350E4" w:rsidRDefault="00000000">
      <w:pPr>
        <w:pStyle w:val="Heading1"/>
        <w:keepNext/>
        <w:pBdr>
          <w:bottom w:val="single" w:sz="8" w:space="2" w:color="1F4E79"/>
        </w:pBdr>
      </w:pPr>
      <w:r>
        <w:t>6. Past Relationship and Correlation Analysis</w:t>
      </w:r>
    </w:p>
    <w:p w14:paraId="7DB0420E" w14:textId="77777777" w:rsidR="007350E4" w:rsidRDefault="00000000">
      <w:pPr>
        <w:spacing w:after="120" w:line="300" w:lineRule="auto"/>
        <w:jc w:val="both"/>
      </w:pPr>
      <w:r>
        <w:t>Scatter plots with trend lines and a correlation heatmap show how billing amount relates to age and to length of stay.</w:t>
      </w:r>
    </w:p>
    <w:p w14:paraId="6DE31A08" w14:textId="77777777" w:rsidR="007350E4" w:rsidRDefault="00000000">
      <w:pPr>
        <w:pStyle w:val="Heading2"/>
        <w:keepNext/>
      </w:pPr>
      <w:r>
        <w:t>6.1 Age vs Billing Amount</w:t>
      </w:r>
    </w:p>
    <w:p w14:paraId="3C6A83FE" w14:textId="77777777" w:rsidR="007350E4" w:rsidRDefault="00000000">
      <w:pPr>
        <w:keepNext/>
        <w:spacing w:before="100" w:after="40"/>
        <w:jc w:val="center"/>
      </w:pPr>
      <w:r>
        <w:rPr>
          <w:noProof/>
        </w:rPr>
        <w:drawing>
          <wp:inline distT="0" distB="0" distL="0" distR="0" wp14:anchorId="2E43F007" wp14:editId="7F5BFDBA">
            <wp:extent cx="3619500" cy="2105025"/>
            <wp:effectExtent l="0" t="0" r="0" b="0"/>
            <wp:docPr id="9" name="image9.png" descr="Age vs billing amount (r = 0.11)"/>
            <wp:cNvGraphicFramePr/>
            <a:graphic xmlns:a="http://schemas.openxmlformats.org/drawingml/2006/main">
              <a:graphicData uri="http://schemas.openxmlformats.org/drawingml/2006/picture">
                <pic:pic xmlns:pic="http://schemas.openxmlformats.org/drawingml/2006/picture">
                  <pic:nvPicPr>
                    <pic:cNvPr id="0" name="image9.png" descr="Age vs billing amount (r = 0.11)"/>
                    <pic:cNvPicPr preferRelativeResize="0"/>
                  </pic:nvPicPr>
                  <pic:blipFill>
                    <a:blip r:embed="rId14"/>
                    <a:srcRect/>
                    <a:stretch>
                      <a:fillRect/>
                    </a:stretch>
                  </pic:blipFill>
                  <pic:spPr>
                    <a:xfrm>
                      <a:off x="0" y="0"/>
                      <a:ext cx="3619500" cy="2105025"/>
                    </a:xfrm>
                    <a:prstGeom prst="rect">
                      <a:avLst/>
                    </a:prstGeom>
                    <a:ln/>
                  </pic:spPr>
                </pic:pic>
              </a:graphicData>
            </a:graphic>
          </wp:inline>
        </w:drawing>
      </w:r>
    </w:p>
    <w:p w14:paraId="5D566E14" w14:textId="77777777" w:rsidR="007350E4" w:rsidRDefault="00000000">
      <w:pPr>
        <w:spacing w:after="140"/>
        <w:jc w:val="center"/>
      </w:pPr>
      <w:r>
        <w:rPr>
          <w:i/>
          <w:iCs/>
          <w:color w:val="6B7280"/>
          <w:sz w:val="19"/>
          <w:szCs w:val="19"/>
        </w:rPr>
        <w:t>Figure 8: Age vs billing amount (r = 0.11)</w:t>
      </w:r>
    </w:p>
    <w:p w14:paraId="57C9E80E" w14:textId="77777777" w:rsidR="007350E4" w:rsidRDefault="00000000">
      <w:pPr>
        <w:pStyle w:val="Heading2"/>
        <w:keepNext/>
      </w:pPr>
      <w:r>
        <w:lastRenderedPageBreak/>
        <w:t>6.2 Length of Stay vs Billing Amount</w:t>
      </w:r>
    </w:p>
    <w:p w14:paraId="77D84569" w14:textId="77777777" w:rsidR="007350E4" w:rsidRDefault="00000000">
      <w:pPr>
        <w:keepNext/>
        <w:spacing w:before="100" w:after="40"/>
        <w:jc w:val="center"/>
      </w:pPr>
      <w:r>
        <w:rPr>
          <w:noProof/>
        </w:rPr>
        <w:drawing>
          <wp:inline distT="0" distB="0" distL="0" distR="0" wp14:anchorId="0721C9D3" wp14:editId="364863DE">
            <wp:extent cx="3619500" cy="2105025"/>
            <wp:effectExtent l="0" t="0" r="0" b="0"/>
            <wp:docPr id="8" name="image8.png" descr="Length of stay vs billing amount (r = 0.88)"/>
            <wp:cNvGraphicFramePr/>
            <a:graphic xmlns:a="http://schemas.openxmlformats.org/drawingml/2006/main">
              <a:graphicData uri="http://schemas.openxmlformats.org/drawingml/2006/picture">
                <pic:pic xmlns:pic="http://schemas.openxmlformats.org/drawingml/2006/picture">
                  <pic:nvPicPr>
                    <pic:cNvPr id="0" name="image8.png" descr="Length of stay vs billing amount (r = 0.88)"/>
                    <pic:cNvPicPr preferRelativeResize="0"/>
                  </pic:nvPicPr>
                  <pic:blipFill>
                    <a:blip r:embed="rId15"/>
                    <a:srcRect/>
                    <a:stretch>
                      <a:fillRect/>
                    </a:stretch>
                  </pic:blipFill>
                  <pic:spPr>
                    <a:xfrm>
                      <a:off x="0" y="0"/>
                      <a:ext cx="3619500" cy="2105025"/>
                    </a:xfrm>
                    <a:prstGeom prst="rect">
                      <a:avLst/>
                    </a:prstGeom>
                    <a:ln/>
                  </pic:spPr>
                </pic:pic>
              </a:graphicData>
            </a:graphic>
          </wp:inline>
        </w:drawing>
      </w:r>
    </w:p>
    <w:p w14:paraId="3EEBD5AA" w14:textId="77777777" w:rsidR="007350E4" w:rsidRDefault="00000000">
      <w:pPr>
        <w:spacing w:after="140"/>
        <w:jc w:val="center"/>
      </w:pPr>
      <w:r>
        <w:rPr>
          <w:i/>
          <w:iCs/>
          <w:color w:val="6B7280"/>
          <w:sz w:val="19"/>
          <w:szCs w:val="19"/>
        </w:rPr>
        <w:t>Figure 9: Length of stay vs billing amount (r = 0.88)</w:t>
      </w:r>
    </w:p>
    <w:p w14:paraId="7870B2CC" w14:textId="77777777" w:rsidR="007350E4" w:rsidRDefault="00000000">
      <w:pPr>
        <w:pStyle w:val="Heading2"/>
        <w:keepNext/>
      </w:pPr>
      <w:r>
        <w:t>6.3 Correlation Heatmap</w:t>
      </w:r>
    </w:p>
    <w:p w14:paraId="1688265C" w14:textId="77777777" w:rsidR="007350E4" w:rsidRDefault="00000000">
      <w:pPr>
        <w:keepNext/>
        <w:spacing w:before="100" w:after="40"/>
        <w:jc w:val="center"/>
      </w:pPr>
      <w:r>
        <w:rPr>
          <w:noProof/>
        </w:rPr>
        <w:drawing>
          <wp:inline distT="0" distB="0" distL="0" distR="0" wp14:anchorId="122C08AE" wp14:editId="3E55A432">
            <wp:extent cx="3048000" cy="2409825"/>
            <wp:effectExtent l="0" t="0" r="0" b="0"/>
            <wp:docPr id="10" name="image10.png" descr="Correlation heatmap of age, length of stay and billing amount"/>
            <wp:cNvGraphicFramePr/>
            <a:graphic xmlns:a="http://schemas.openxmlformats.org/drawingml/2006/main">
              <a:graphicData uri="http://schemas.openxmlformats.org/drawingml/2006/picture">
                <pic:pic xmlns:pic="http://schemas.openxmlformats.org/drawingml/2006/picture">
                  <pic:nvPicPr>
                    <pic:cNvPr id="0" name="image10.png" descr="Correlation heatmap of age, length of stay and billing amount"/>
                    <pic:cNvPicPr preferRelativeResize="0"/>
                  </pic:nvPicPr>
                  <pic:blipFill>
                    <a:blip r:embed="rId16"/>
                    <a:srcRect/>
                    <a:stretch>
                      <a:fillRect/>
                    </a:stretch>
                  </pic:blipFill>
                  <pic:spPr>
                    <a:xfrm>
                      <a:off x="0" y="0"/>
                      <a:ext cx="3048000" cy="2409825"/>
                    </a:xfrm>
                    <a:prstGeom prst="rect">
                      <a:avLst/>
                    </a:prstGeom>
                    <a:ln/>
                  </pic:spPr>
                </pic:pic>
              </a:graphicData>
            </a:graphic>
          </wp:inline>
        </w:drawing>
      </w:r>
    </w:p>
    <w:p w14:paraId="003460C8" w14:textId="77777777" w:rsidR="007350E4" w:rsidRDefault="00000000">
      <w:pPr>
        <w:spacing w:after="140"/>
        <w:jc w:val="center"/>
      </w:pPr>
      <w:r>
        <w:rPr>
          <w:i/>
          <w:iCs/>
          <w:color w:val="6B7280"/>
          <w:sz w:val="19"/>
          <w:szCs w:val="19"/>
        </w:rPr>
        <w:t>Figure 10: Correlation heatmap of age, length of stay and billing amount</w:t>
      </w:r>
    </w:p>
    <w:p w14:paraId="74718576" w14:textId="77777777" w:rsidR="007350E4" w:rsidRDefault="00000000">
      <w:pPr>
        <w:pStyle w:val="Heading2"/>
        <w:keepNext/>
      </w:pPr>
      <w:r>
        <w:t>Observations</w:t>
      </w:r>
    </w:p>
    <w:p w14:paraId="4219F189" w14:textId="77777777" w:rsidR="007350E4" w:rsidRDefault="00000000">
      <w:pPr>
        <w:numPr>
          <w:ilvl w:val="0"/>
          <w:numId w:val="1"/>
        </w:numPr>
        <w:pBdr>
          <w:top w:val="nil"/>
          <w:left w:val="nil"/>
          <w:bottom w:val="nil"/>
          <w:right w:val="nil"/>
          <w:between w:val="nil"/>
        </w:pBdr>
        <w:spacing w:after="70" w:line="290" w:lineRule="auto"/>
      </w:pPr>
      <w:r>
        <w:rPr>
          <w:color w:val="000000"/>
        </w:rPr>
        <w:t>Age has only a weak positive correlation with billing (r = 0.11), so older patients are billed slightly more but age alone explains little.</w:t>
      </w:r>
    </w:p>
    <w:p w14:paraId="7853EBC2" w14:textId="77777777" w:rsidR="007350E4" w:rsidRDefault="00000000">
      <w:pPr>
        <w:numPr>
          <w:ilvl w:val="0"/>
          <w:numId w:val="1"/>
        </w:numPr>
        <w:pBdr>
          <w:top w:val="nil"/>
          <w:left w:val="nil"/>
          <w:bottom w:val="nil"/>
          <w:right w:val="nil"/>
          <w:between w:val="nil"/>
        </w:pBdr>
        <w:spacing w:after="70" w:line="290" w:lineRule="auto"/>
      </w:pPr>
      <w:r>
        <w:rPr>
          <w:color w:val="000000"/>
        </w:rPr>
        <w:t>Length of stay has a strong positive correlation with billing (r = 0.88). Each additional day adds roughly USD 1,450 to the bill.</w:t>
      </w:r>
    </w:p>
    <w:p w14:paraId="46886D42" w14:textId="77777777" w:rsidR="007350E4" w:rsidRDefault="00000000">
      <w:pPr>
        <w:numPr>
          <w:ilvl w:val="0"/>
          <w:numId w:val="1"/>
        </w:numPr>
        <w:pBdr>
          <w:top w:val="nil"/>
          <w:left w:val="nil"/>
          <w:bottom w:val="nil"/>
          <w:right w:val="nil"/>
          <w:between w:val="nil"/>
        </w:pBdr>
        <w:spacing w:after="70" w:line="290" w:lineRule="auto"/>
      </w:pPr>
      <w:r>
        <w:rPr>
          <w:color w:val="000000"/>
        </w:rPr>
        <w:t>Age and length of stay are almost unrelated (r = 0.01), meaning older patients do not necessarily stay longer.</w:t>
      </w:r>
    </w:p>
    <w:p w14:paraId="7AD45982" w14:textId="77777777" w:rsidR="007350E4" w:rsidRDefault="00000000">
      <w:pPr>
        <w:pStyle w:val="Heading1"/>
        <w:keepNext/>
        <w:pageBreakBefore/>
        <w:pBdr>
          <w:bottom w:val="single" w:sz="8" w:space="2" w:color="1F4E79"/>
        </w:pBdr>
      </w:pPr>
      <w:r>
        <w:lastRenderedPageBreak/>
        <w:t>7. Key Findings</w:t>
      </w:r>
    </w:p>
    <w:p w14:paraId="3F7ADCF1" w14:textId="77777777" w:rsidR="007350E4" w:rsidRDefault="00000000">
      <w:pPr>
        <w:numPr>
          <w:ilvl w:val="0"/>
          <w:numId w:val="2"/>
        </w:numPr>
        <w:pBdr>
          <w:top w:val="nil"/>
          <w:left w:val="nil"/>
          <w:bottom w:val="nil"/>
          <w:right w:val="nil"/>
          <w:between w:val="nil"/>
        </w:pBdr>
        <w:spacing w:after="90" w:line="290" w:lineRule="auto"/>
      </w:pPr>
      <w:r>
        <w:rPr>
          <w:b/>
          <w:bCs/>
          <w:color w:val="000000"/>
        </w:rPr>
        <w:t xml:space="preserve">Length of stay is the main cost driver. </w:t>
      </w:r>
      <w:r>
        <w:rPr>
          <w:color w:val="000000"/>
        </w:rPr>
        <w:t>It shows a strong correlation with billing (r = 0.88), at about USD 1,450 per extra day.</w:t>
      </w:r>
    </w:p>
    <w:p w14:paraId="677AE82F" w14:textId="77777777" w:rsidR="007350E4" w:rsidRDefault="00000000">
      <w:pPr>
        <w:numPr>
          <w:ilvl w:val="0"/>
          <w:numId w:val="2"/>
        </w:numPr>
        <w:pBdr>
          <w:top w:val="nil"/>
          <w:left w:val="nil"/>
          <w:bottom w:val="nil"/>
          <w:right w:val="nil"/>
          <w:between w:val="nil"/>
        </w:pBdr>
        <w:spacing w:after="90" w:line="290" w:lineRule="auto"/>
      </w:pPr>
      <w:r>
        <w:rPr>
          <w:b/>
          <w:bCs/>
          <w:color w:val="000000"/>
        </w:rPr>
        <w:t xml:space="preserve">Age is a weak predictor of cost. </w:t>
      </w:r>
      <w:r>
        <w:rPr>
          <w:color w:val="000000"/>
        </w:rPr>
        <w:t>The age and billing correlation is only 0.11, so billing cannot be forecast from age alone.</w:t>
      </w:r>
    </w:p>
    <w:p w14:paraId="712A3CB8" w14:textId="77777777" w:rsidR="007350E4" w:rsidRDefault="00000000">
      <w:pPr>
        <w:numPr>
          <w:ilvl w:val="0"/>
          <w:numId w:val="2"/>
        </w:numPr>
        <w:pBdr>
          <w:top w:val="nil"/>
          <w:left w:val="nil"/>
          <w:bottom w:val="nil"/>
          <w:right w:val="nil"/>
          <w:between w:val="nil"/>
        </w:pBdr>
        <w:spacing w:after="90" w:line="290" w:lineRule="auto"/>
      </w:pPr>
      <w:r>
        <w:rPr>
          <w:b/>
          <w:bCs/>
          <w:color w:val="000000"/>
        </w:rPr>
        <w:t xml:space="preserve">Cancer care is the most expensive. </w:t>
      </w:r>
      <w:r>
        <w:rPr>
          <w:color w:val="000000"/>
        </w:rPr>
        <w:t>Cancer patients are billed USD 20,803 on average and stay 7.7 days, against 5.9 days for other conditions, although they are the smallest patient group.</w:t>
      </w:r>
    </w:p>
    <w:p w14:paraId="7C686363" w14:textId="77777777" w:rsidR="007350E4" w:rsidRDefault="00000000">
      <w:pPr>
        <w:numPr>
          <w:ilvl w:val="0"/>
          <w:numId w:val="2"/>
        </w:numPr>
        <w:pBdr>
          <w:top w:val="nil"/>
          <w:left w:val="nil"/>
          <w:bottom w:val="nil"/>
          <w:right w:val="nil"/>
          <w:between w:val="nil"/>
        </w:pBdr>
        <w:spacing w:after="90" w:line="290" w:lineRule="auto"/>
      </w:pPr>
      <w:r>
        <w:rPr>
          <w:b/>
          <w:bCs/>
          <w:color w:val="000000"/>
        </w:rPr>
        <w:t xml:space="preserve">Emergency admissions cost more. </w:t>
      </w:r>
      <w:r>
        <w:rPr>
          <w:color w:val="000000"/>
        </w:rPr>
        <w:t>They make up 39.3% of admissions and are billed 36% higher than elective admissions.</w:t>
      </w:r>
    </w:p>
    <w:p w14:paraId="4BB9D99B" w14:textId="77777777" w:rsidR="007350E4" w:rsidRDefault="00000000">
      <w:pPr>
        <w:numPr>
          <w:ilvl w:val="0"/>
          <w:numId w:val="2"/>
        </w:numPr>
        <w:pBdr>
          <w:top w:val="nil"/>
          <w:left w:val="nil"/>
          <w:bottom w:val="nil"/>
          <w:right w:val="nil"/>
          <w:between w:val="nil"/>
        </w:pBdr>
        <w:spacing w:after="90" w:line="290" w:lineRule="auto"/>
      </w:pPr>
      <w:r>
        <w:rPr>
          <w:b/>
          <w:bCs/>
          <w:color w:val="000000"/>
        </w:rPr>
        <w:t xml:space="preserve">Admissions are seasonal. </w:t>
      </w:r>
      <w:r>
        <w:rPr>
          <w:color w:val="000000"/>
        </w:rPr>
        <w:t>Winter months carry 28.9% of admissions, with peaks in December 2024 and July 2025.</w:t>
      </w:r>
    </w:p>
    <w:p w14:paraId="33DDE6E7" w14:textId="77777777" w:rsidR="007350E4" w:rsidRDefault="00000000">
      <w:pPr>
        <w:pStyle w:val="Heading1"/>
        <w:keepNext/>
        <w:pBdr>
          <w:bottom w:val="single" w:sz="8" w:space="2" w:color="1F4E79"/>
        </w:pBdr>
      </w:pPr>
      <w:r>
        <w:t>8. Healthcare Management Recommendations</w:t>
      </w:r>
    </w:p>
    <w:p w14:paraId="62EFEC5B" w14:textId="77777777" w:rsidR="007350E4" w:rsidRDefault="00000000">
      <w:pPr>
        <w:pStyle w:val="Heading2"/>
        <w:keepNext/>
      </w:pPr>
      <w:r>
        <w:t>8.1 Resource Planning</w:t>
      </w:r>
    </w:p>
    <w:p w14:paraId="294B40FE" w14:textId="77777777" w:rsidR="007350E4" w:rsidRDefault="00000000">
      <w:pPr>
        <w:spacing w:after="120" w:line="300" w:lineRule="auto"/>
        <w:jc w:val="both"/>
      </w:pPr>
      <w:r>
        <w:t>Plan staff rosters, beds and emergency capacity around the seasonal pattern. Add staff and keep spare beds ready for December to February and for the mid-year peak, and schedule elective procedures in low-demand months such as May and June. Because emergency cases are 39% of admissions, keep dedicated emergency capacity throughout the year.</w:t>
      </w:r>
    </w:p>
    <w:p w14:paraId="47091342" w14:textId="77777777" w:rsidR="007350E4" w:rsidRDefault="00000000">
      <w:pPr>
        <w:pStyle w:val="Heading2"/>
        <w:keepNext/>
      </w:pPr>
      <w:r>
        <w:t>8.2 Billing Analysis</w:t>
      </w:r>
    </w:p>
    <w:p w14:paraId="4234B3A7" w14:textId="77777777" w:rsidR="007350E4" w:rsidRDefault="00000000">
      <w:pPr>
        <w:spacing w:after="120" w:line="300" w:lineRule="auto"/>
        <w:jc w:val="both"/>
      </w:pPr>
      <w:r>
        <w:t>Since length of stay drives cost, reducing avoidable hospital days through early discharge planning and faster diagnostics offers the biggest saving, at roughly USD 1,450 per day saved. Review pricing and package rates for cancer and emergency care, and monitor the highest-cost cases regularly to detect unusual billing.</w:t>
      </w:r>
    </w:p>
    <w:p w14:paraId="7ADCDDFD" w14:textId="77777777" w:rsidR="007350E4" w:rsidRDefault="00000000">
      <w:pPr>
        <w:pStyle w:val="Heading2"/>
        <w:keepNext/>
      </w:pPr>
      <w:r>
        <w:t>8.3 Further Investigation</w:t>
      </w:r>
    </w:p>
    <w:p w14:paraId="063D2854" w14:textId="77777777" w:rsidR="007350E4" w:rsidRDefault="00000000">
      <w:pPr>
        <w:spacing w:after="120" w:line="300" w:lineRule="auto"/>
        <w:jc w:val="both"/>
      </w:pPr>
      <w:r>
        <w:t>Extend the study with additional data such as diagnosis severity, procedures, insurance coverage, readmissions and patient outcomes. Build a multiple regression or predictive model to estimate billing and length of stay, and investigate the reasons behind the mid-year admission peak. Findings should be validated on the hospital's actual records before policy decisions are taken.</w:t>
      </w:r>
    </w:p>
    <w:p w14:paraId="7340C3E7" w14:textId="77777777" w:rsidR="007350E4" w:rsidRDefault="00000000">
      <w:pPr>
        <w:pStyle w:val="Heading1"/>
        <w:keepNext/>
        <w:pBdr>
          <w:bottom w:val="single" w:sz="8" w:space="2" w:color="1F4E79"/>
        </w:pBdr>
      </w:pPr>
      <w:r>
        <w:t>9. Conclusion</w:t>
      </w:r>
    </w:p>
    <w:p w14:paraId="16A86743" w14:textId="77777777" w:rsidR="007350E4" w:rsidRDefault="00000000">
      <w:pPr>
        <w:spacing w:after="120" w:line="300" w:lineRule="auto"/>
        <w:jc w:val="both"/>
      </w:pPr>
      <w:r>
        <w:t>This study used visual analysis of 3,790 admissions to show how patient profile, billing and admission timing are connected. Length of stay emerged as the clearest driver of cost, while age had little effect. Cancer and emergency cases are the most expensive, and demand rises in winter and around mid-year. Using these insights, hospital management can plan resources ahead of peak periods, control costs by shortening unnecessary stays, and direct further research to areas where deeper data can improve both care quality and financial planning.</w:t>
      </w:r>
    </w:p>
    <w:sectPr w:rsidR="007350E4">
      <w:footerReference w:type="default" r:id="rId17"/>
      <w:pgSz w:w="11906" w:h="16838"/>
      <w:pgMar w:top="1304" w:right="1134" w:bottom="1304" w:left="1134" w:header="708" w:footer="6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1CF65" w14:textId="77777777" w:rsidR="00EB2FDE" w:rsidRDefault="00EB2FDE">
      <w:r>
        <w:separator/>
      </w:r>
    </w:p>
  </w:endnote>
  <w:endnote w:type="continuationSeparator" w:id="0">
    <w:p w14:paraId="294494C4" w14:textId="77777777" w:rsidR="00EB2FDE" w:rsidRDefault="00EB2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embedRegular r:id="rId1" w:fontKey="{BEAE39DB-B0C7-4E3A-B5D1-6D541C2A6347}"/>
    <w:embedBold r:id="rId2" w:fontKey="{99399EDC-A1E9-4060-8197-942F03674B78}"/>
    <w:embedItalic r:id="rId3" w:fontKey="{B58D2ABE-4CAA-411C-ACE9-CE1C7D15596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7831DD72-82E0-4DCA-940E-1B33FC030A3F}"/>
  </w:font>
  <w:font w:name="Cambria">
    <w:panose1 w:val="02040503050406030204"/>
    <w:charset w:val="00"/>
    <w:family w:val="roman"/>
    <w:pitch w:val="variable"/>
    <w:sig w:usb0="E00006FF" w:usb1="420024FF" w:usb2="02000000" w:usb3="00000000" w:csb0="0000019F" w:csb1="00000000"/>
    <w:embedRegular r:id="rId5" w:fontKey="{D37F07AA-2AC1-4F0C-8627-B8219758B1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F0439" w14:textId="77777777" w:rsidR="007350E4" w:rsidRDefault="00000000">
    <w:pPr>
      <w:jc w:val="center"/>
    </w:pPr>
    <w:r>
      <w:rPr>
        <w:color w:val="6B7280"/>
        <w:sz w:val="20"/>
        <w:szCs w:val="20"/>
      </w:rPr>
      <w:t xml:space="preserve">Page </w:t>
    </w:r>
    <w:r>
      <w:rPr>
        <w:color w:val="6B7280"/>
        <w:sz w:val="20"/>
        <w:szCs w:val="20"/>
      </w:rPr>
      <w:fldChar w:fldCharType="begin"/>
    </w:r>
    <w:r>
      <w:rPr>
        <w:color w:val="6B7280"/>
        <w:sz w:val="20"/>
        <w:szCs w:val="20"/>
      </w:rPr>
      <w:instrText>PAGE</w:instrText>
    </w:r>
    <w:r>
      <w:rPr>
        <w:color w:val="6B7280"/>
        <w:sz w:val="20"/>
        <w:szCs w:val="20"/>
      </w:rPr>
      <w:fldChar w:fldCharType="separate"/>
    </w:r>
    <w:r w:rsidR="00D01C05">
      <w:rPr>
        <w:noProof/>
        <w:color w:val="6B7280"/>
        <w:sz w:val="20"/>
        <w:szCs w:val="20"/>
      </w:rPr>
      <w:t>1</w:t>
    </w:r>
    <w:r>
      <w:rPr>
        <w:color w:val="6B7280"/>
        <w:sz w:val="20"/>
        <w:szCs w:val="20"/>
      </w:rPr>
      <w:fldChar w:fldCharType="end"/>
    </w:r>
    <w:r>
      <w:rPr>
        <w:color w:val="6B7280"/>
        <w:sz w:val="20"/>
        <w:szCs w:val="20"/>
      </w:rPr>
      <w:t xml:space="preserve"> of </w:t>
    </w:r>
    <w:r>
      <w:rPr>
        <w:color w:val="6B7280"/>
        <w:sz w:val="20"/>
        <w:szCs w:val="20"/>
      </w:rPr>
      <w:fldChar w:fldCharType="begin"/>
    </w:r>
    <w:r>
      <w:rPr>
        <w:color w:val="6B7280"/>
        <w:sz w:val="20"/>
        <w:szCs w:val="20"/>
      </w:rPr>
      <w:instrText>NUMPAGES</w:instrText>
    </w:r>
    <w:r>
      <w:rPr>
        <w:color w:val="6B7280"/>
        <w:sz w:val="20"/>
        <w:szCs w:val="20"/>
      </w:rPr>
      <w:fldChar w:fldCharType="separate"/>
    </w:r>
    <w:r w:rsidR="00D01C05">
      <w:rPr>
        <w:noProof/>
        <w:color w:val="6B7280"/>
        <w:sz w:val="20"/>
        <w:szCs w:val="20"/>
      </w:rPr>
      <w:t>2</w:t>
    </w:r>
    <w:r>
      <w:rPr>
        <w:color w:val="6B72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AD02A" w14:textId="77777777" w:rsidR="00EB2FDE" w:rsidRDefault="00EB2FDE">
      <w:r>
        <w:separator/>
      </w:r>
    </w:p>
  </w:footnote>
  <w:footnote w:type="continuationSeparator" w:id="0">
    <w:p w14:paraId="187D37B9" w14:textId="77777777" w:rsidR="00EB2FDE" w:rsidRDefault="00EB2F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A2194"/>
    <w:multiLevelType w:val="multilevel"/>
    <w:tmpl w:val="EDA8E87A"/>
    <w:lvl w:ilvl="0">
      <w:start w:val="1"/>
      <w:numFmt w:val="bullet"/>
      <w:lvlText w:val="•"/>
      <w:lvlJc w:val="left"/>
      <w:pPr>
        <w:ind w:left="540" w:hanging="27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E744A03"/>
    <w:multiLevelType w:val="multilevel"/>
    <w:tmpl w:val="4ADE84EC"/>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22767695">
    <w:abstractNumId w:val="0"/>
  </w:num>
  <w:num w:numId="2" w16cid:durableId="2100982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0E4"/>
    <w:rsid w:val="007350E4"/>
    <w:rsid w:val="00A62E84"/>
    <w:rsid w:val="00D01C05"/>
    <w:rsid w:val="00EB2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6F2B5"/>
  <w15:docId w15:val="{A808062C-1D09-4AE6-BAB2-6CE663298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00" w:after="140"/>
      <w:outlineLvl w:val="0"/>
    </w:pPr>
    <w:rPr>
      <w:b/>
      <w:bCs/>
      <w:color w:val="1F4E79"/>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160" w:after="80"/>
      <w:outlineLvl w:val="1"/>
    </w:pPr>
    <w:rPr>
      <w:b/>
      <w:bCs/>
      <w:color w:val="2E86AB"/>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1063</Words>
  <Characters>6064</Characters>
  <Application>Microsoft Office Word</Application>
  <DocSecurity>0</DocSecurity>
  <Lines>50</Lines>
  <Paragraphs>14</Paragraphs>
  <ScaleCrop>false</ScaleCrop>
  <Company/>
  <LinksUpToDate>false</LinksUpToDate>
  <CharactersWithSpaces>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Dhanalakshmi 1208</cp:lastModifiedBy>
  <cp:revision>3</cp:revision>
  <cp:lastPrinted>2026-10-09T16:04:00Z</cp:lastPrinted>
  <dcterms:created xsi:type="dcterms:W3CDTF">2026-10-09T15:58:00Z</dcterms:created>
  <dcterms:modified xsi:type="dcterms:W3CDTF">2026-10-09T16:05:00Z</dcterms:modified>
</cp:coreProperties>
</file>