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A5F"/>
          <w:sz w:val="36"/>
          <w:szCs w:val="36"/>
        </w:rPr>
        <w:t xml:space="preserve">Deal Review Brief: Tessellate Foods, Route Platform</w:t>
      </w:r>
    </w:p>
    <w:p>
      <w:pPr>
        <w:spacing w:after="100"/>
      </w:pPr>
      <w:r>
        <w:rPr>
          <w:rFonts w:ascii="Calibri" w:cs="Calibri" w:eastAsia="Calibri" w:hAnsi="Calibri"/>
          <w:color w:val="595959"/>
          <w:sz w:val="22"/>
          <w:szCs w:val="22"/>
        </w:rPr>
        <w:t xml:space="preserve">Prepared Wednesday, October 7, 2026. Manager mode. New business. Deal owner in CRM: Jordan Ellis (Vantage Metrics).</w:t>
      </w:r>
    </w:p>
    <w:p>
      <w:pPr>
        <w:pStyle w:val="Heading2"/>
        <w:keepNext/>
        <w:pBdr>
          <w:bottom w:val="single" w:color="1F3A5F" w:sz="6" w:space="1"/>
        </w:pBdr>
        <w:spacing w:after="70" w:before="160"/>
      </w:pPr>
      <w:r>
        <w:rPr>
          <w:rFonts w:ascii="Calibri" w:cs="Calibri" w:eastAsia="Calibri" w:hAnsi="Calibri"/>
          <w:b/>
          <w:bCs/>
          <w:color w:val="1F3A5F"/>
          <w:sz w:val="26"/>
          <w:szCs w:val="26"/>
        </w:rPr>
        <w:t xml:space="preserve">1. Headline and verdict</w:t>
      </w:r>
    </w:p>
    <w:p>
      <w:pPr>
        <w:spacing w:after="80" w:before="0"/>
      </w:pPr>
      <w:r>
        <w:rPr>
          <w:rFonts w:ascii="Calibri" w:cs="Calibri" w:eastAsia="Calibri" w:hAnsi="Calibri"/>
          <w:b/>
          <w:bCs/>
          <w:sz w:val="22"/>
          <w:szCs w:val="22"/>
        </w:rPr>
        <w:t xml:space="preserve">Overall read: At risk.</w:t>
      </w:r>
      <w:r>
        <w:rPr>
          <w:rFonts w:ascii="Calibri" w:cs="Calibri" w:eastAsia="Calibri" w:hAnsi="Calibri"/>
          <w:sz w:val="22"/>
          <w:szCs w:val="22"/>
        </w:rPr>
        <w:t xml:space="preserve"> The problem is real, but the economic buyer has never been contacted, next year's budget is not approved, and the close date rests on the deal owner's intent. The CRM forecast category is Commit. The record supports Pipeline.</w:t>
      </w:r>
    </w:p>
    <w:p>
      <w:pPr>
        <w:spacing w:after="80" w:before="0"/>
      </w:pPr>
      <w:r>
        <w:rPr>
          <w:rFonts w:ascii="Calibri" w:cs="Calibri" w:eastAsia="Calibri" w:hAnsi="Calibri"/>
          <w:b/>
          <w:bCs/>
          <w:sz w:val="22"/>
          <w:szCs w:val="22"/>
        </w:rPr>
        <w:t xml:space="preserve">Biggest hidden assumption:</w:t>
      </w:r>
      <w:r>
        <w:rPr>
          <w:rFonts w:ascii="Calibri" w:cs="Calibri" w:eastAsia="Calibri" w:hAnsi="Calibri"/>
          <w:sz w:val="22"/>
          <w:szCs w:val="22"/>
        </w:rPr>
        <w:t xml:space="preserve"> that the CFO, who has not appeared in any call or email, will approve $180,000 from a budget that is not yet approved, by October 30.</w:t>
      </w:r>
    </w:p>
    <w:p>
      <w:pPr>
        <w:spacing w:after="80" w:before="0"/>
      </w:pPr>
      <w:r>
        <w:rPr>
          <w:rFonts w:ascii="Calibri" w:cs="Calibri" w:eastAsia="Calibri" w:hAnsi="Calibri"/>
          <w:b/>
          <w:bCs/>
          <w:sz w:val="22"/>
          <w:szCs w:val="22"/>
        </w:rPr>
        <w:t xml:space="preserve">First action this week:</w:t>
      </w:r>
      <w:r>
        <w:rPr>
          <w:rFonts w:ascii="Calibri" w:cs="Calibri" w:eastAsia="Calibri" w:hAnsi="Calibri"/>
          <w:sz w:val="22"/>
          <w:szCs w:val="22"/>
        </w:rPr>
        <w:t xml:space="preserve"> confirm with Priya Raman by Friday, October 9 that the MSA reached legal, and ask her to put a 20-minute slot with Mark Teller on his calendar by Wednesday, October 14. Send IT the integration answers owed since July by October 9.</w:t>
      </w:r>
    </w:p>
    <w:p>
      <w:pPr>
        <w:spacing w:after="60" w:before="0"/>
      </w:pPr>
      <w:r>
        <w:rPr>
          <w:rFonts w:ascii="Calibri" w:cs="Calibri" w:eastAsia="Calibri" w:hAnsi="Calibri"/>
          <w:b/>
          <w:bCs/>
          <w:sz w:val="22"/>
          <w:szCs w:val="22"/>
        </w:rPr>
        <w:t xml:space="preserve">Assumptions:</w:t>
      </w:r>
      <w:r>
        <w:rPr>
          <w:rFonts w:ascii="Calibri" w:cs="Calibri" w:eastAsia="Calibri" w:hAnsi="Calibri"/>
          <w:sz w:val="22"/>
          <w:szCs w:val="22"/>
        </w:rPr>
        <w:t xml:space="preserve"> The user named no rep, so the CRM owner is treated as the rep. Methodology: the CRM labels follow MEDDPICC, but the calls do not use it, so the ten neutral dimensions are used with MEDDPICC terms in brackets. Data: one pasted HubSpot export (October 7) plus three call transcripts and four email threads, June 2 to October 7, 2026. The export is one file, so rep-written fields could not be held back, which lowers confidence in the independence of the read. Forecast category names (Pipeline, Best Case, Commit) come from the CRM history; the full list and definitions were not provided, so these are assumed to be complete. Stage exit criteria were not provided.</w:t>
      </w:r>
    </w:p>
    <w:p>
      <w:pPr>
        <w:pStyle w:val="Heading2"/>
        <w:keepNext/>
        <w:pBdr>
          <w:bottom w:val="single" w:color="1F3A5F" w:sz="6" w:space="1"/>
        </w:pBdr>
        <w:spacing w:after="70" w:before="160"/>
      </w:pPr>
      <w:r>
        <w:rPr>
          <w:rFonts w:ascii="Calibri" w:cs="Calibri" w:eastAsia="Calibri" w:hAnsi="Calibri"/>
          <w:b/>
          <w:bCs/>
          <w:color w:val="1F3A5F"/>
          <w:sz w:val="26"/>
          <w:szCs w:val="26"/>
        </w:rPr>
        <w:t xml:space="preserve">2. Deal snapshot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240"/>
        <w:gridCol w:w="1800"/>
        <w:gridCol w:w="3240"/>
      </w:tblGrid>
      <w:tr>
        <w:trPr>
          <w:cantSplit/>
        </w:trPr>
        <w:tc>
          <w:tcPr>
            <w:tcW w:type="dxa" w:w="18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bCs/>
                <w:sz w:val="20"/>
                <w:szCs w:val="20"/>
              </w:rPr>
              <w:t xml:space="preserve">Stage (CRM)</w:t>
            </w:r>
          </w:p>
        </w:tc>
        <w:tc>
          <w:tcPr>
            <w:tcW w:type="dxa" w:w="324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Proposal/Negotiation, entered Aug 19</w:t>
            </w:r>
          </w:p>
        </w:tc>
        <w:tc>
          <w:tcPr>
            <w:tcW w:type="dxa" w:w="18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bCs/>
                <w:sz w:val="20"/>
                <w:szCs w:val="20"/>
              </w:rPr>
              <w:t xml:space="preserve">Amount (CRM)</w:t>
            </w:r>
          </w:p>
        </w:tc>
        <w:tc>
          <w:tcPr>
            <w:tcW w:type="dxa" w:w="324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$180,000 annual, 12-month term, 14 depot licenses (quote Aug 19). Annual value, per CRM.</w:t>
            </w:r>
          </w:p>
        </w:tc>
      </w:tr>
      <w:tr>
        <w:trPr>
          <w:cantSplit/>
        </w:trPr>
        <w:tc>
          <w:tcPr>
            <w:tcW w:type="dxa" w:w="18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bCs/>
                <w:sz w:val="20"/>
                <w:szCs w:val="20"/>
              </w:rPr>
              <w:t xml:space="preserve">Close date (CRM)</w:t>
            </w:r>
          </w:p>
        </w:tc>
        <w:tc>
          <w:tcPr>
            <w:tcW w:type="dxa" w:w="324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Fri Oct 30, 23 days out</w:t>
            </w:r>
          </w:p>
        </w:tc>
        <w:tc>
          <w:tcPr>
            <w:tcW w:type="dxa" w:w="18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bCs/>
                <w:sz w:val="20"/>
                <w:szCs w:val="20"/>
              </w:rPr>
              <w:t xml:space="preserve">Created</w:t>
            </w:r>
          </w:p>
        </w:tc>
        <w:tc>
          <w:tcPr>
            <w:tcW w:type="dxa" w:w="324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Jun 2, 2026 (first logged call Jun 10)</w:t>
            </w:r>
          </w:p>
        </w:tc>
      </w:tr>
      <w:tr>
        <w:trPr>
          <w:cantSplit/>
        </w:trPr>
        <w:tc>
          <w:tcPr>
            <w:tcW w:type="dxa" w:w="18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bCs/>
                <w:sz w:val="20"/>
                <w:szCs w:val="20"/>
              </w:rPr>
              <w:t xml:space="preserve">Forecast category (CRM fact)</w:t>
            </w:r>
          </w:p>
        </w:tc>
        <w:tc>
          <w:tcPr>
            <w:tcW w:type="dxa" w:w="324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Commit (set Sep 28)</w:t>
            </w:r>
          </w:p>
        </w:tc>
        <w:tc>
          <w:tcPr>
            <w:tcW w:type="dxa" w:w="18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bCs/>
                <w:sz w:val="20"/>
                <w:szCs w:val="20"/>
              </w:rPr>
              <w:t xml:space="preserve">Competitor named</w:t>
            </w:r>
          </w:p>
        </w:tc>
        <w:tc>
          <w:tcPr>
            <w:tcW w:type="dxa" w:w="324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Gridline, by the IT Director (Jul 22, Aug 5). CRM says none.</w:t>
            </w:r>
          </w:p>
        </w:tc>
      </w:tr>
      <w:tr>
        <w:trPr>
          <w:cantSplit/>
        </w:trPr>
        <w:tc>
          <w:tcPr>
            <w:tcW w:type="dxa" w:w="18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bCs/>
                <w:sz w:val="20"/>
                <w:szCs w:val="20"/>
              </w:rPr>
              <w:t xml:space="preserve">Next step (CRM)</w:t>
            </w:r>
          </w:p>
        </w:tc>
        <w:tc>
          <w:tcPr>
            <w:tcW w:type="dxa" w:w="324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Waiting on legal/security; CFO sign-off expected. No next activity scheduled.</w:t>
            </w:r>
          </w:p>
        </w:tc>
        <w:tc>
          <w:tcPr>
            <w:tcW w:type="dxa" w:w="18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b/>
                <w:bCs/>
                <w:sz w:val="20"/>
                <w:szCs w:val="20"/>
              </w:rPr>
              <w:t xml:space="preserve">Contacts (CRM)</w:t>
            </w:r>
          </w:p>
        </w:tc>
        <w:tc>
          <w:tcPr>
            <w:tcW w:type="dxa" w:w="324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4. Two (CFO, AP Specialist) are bulk imports with no activity.</w:t>
            </w:r>
          </w:p>
        </w:tc>
      </w:tr>
    </w:tbl>
    <w:p>
      <w:pPr>
        <w:spacing w:after="80" w:before="80"/>
      </w:pPr>
      <w:r>
        <w:rPr>
          <w:rFonts w:ascii="Calibri" w:cs="Calibri" w:eastAsia="Calibri" w:hAnsi="Calibri"/>
          <w:b/>
          <w:bCs/>
          <w:sz w:val="22"/>
          <w:szCs w:val="22"/>
        </w:rPr>
        <w:t xml:space="preserve">Close date history:</w:t>
      </w:r>
      <w:r>
        <w:rPr>
          <w:rFonts w:ascii="Calibri" w:cs="Calibri" w:eastAsia="Calibri" w:hAnsi="Calibri"/>
          <w:sz w:val="22"/>
          <w:szCs w:val="22"/>
        </w:rPr>
        <w:t xml:space="preserve"> Sep 15 (set at creation), moved to Sep 30 on Sep 12 with no note, moved to Oct 30 on Sep 28 with the note "procurement cycle." The category moved Pipeline to Best Case on Aug 19 and to Commit on Sep 28. On Sep 26 the buyer said she could not promise timing and that next year's budget was not approved.</w:t>
      </w:r>
    </w:p>
    <w:p>
      <w:pPr>
        <w:pStyle w:val="Heading2"/>
        <w:keepNext/>
        <w:pBdr>
          <w:bottom w:val="single" w:color="1F3A5F" w:sz="6" w:space="1"/>
        </w:pBdr>
        <w:spacing w:after="70" w:before="160"/>
      </w:pPr>
      <w:r>
        <w:rPr>
          <w:rFonts w:ascii="Calibri" w:cs="Calibri" w:eastAsia="Calibri" w:hAnsi="Calibri"/>
          <w:b/>
          <w:bCs/>
          <w:color w:val="1F3A5F"/>
          <w:sz w:val="26"/>
          <w:szCs w:val="26"/>
        </w:rPr>
        <w:t xml:space="preserve">3. Ten dimensions</w:t>
      </w:r>
    </w:p>
    <w:p>
      <w:pPr>
        <w:keepNext/>
        <w:spacing w:after="60" w:before="0"/>
      </w:pPr>
      <w:r>
        <w:rPr>
          <w:rFonts w:ascii="Calibri" w:cs="Calibri" w:eastAsia="Calibri" w:hAnsi="Calibri"/>
          <w:sz w:val="22"/>
          <w:szCs w:val="22"/>
        </w:rPr>
        <w:t xml:space="preserve">Source weight: buyer action outweighs buyer statement, which outweighs the rep's own assessment. All calls are full transcripts.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1350"/>
        <w:gridCol w:w="3730"/>
      </w:tblGrid>
      <w:tr>
        <w:trPr>
          <w:cantSplit/>
          <w:tblHeader/>
        </w:trPr>
        <w:tc>
          <w:tcPr>
            <w:tcW w:type="dxa" w:w="1500"/>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spacing w:after="0"/>
            </w:pPr>
            <w:r>
              <w:rPr>
                <w:rFonts w:ascii="Calibri" w:cs="Calibri" w:eastAsia="Calibri" w:hAnsi="Calibri"/>
                <w:b/>
                <w:bCs/>
                <w:sz w:val="20"/>
                <w:szCs w:val="20"/>
              </w:rPr>
              <w:t xml:space="preserve">Dimension</w:t>
            </w:r>
          </w:p>
        </w:tc>
        <w:tc>
          <w:tcPr>
            <w:tcW w:type="dxa" w:w="3500"/>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spacing w:after="0"/>
            </w:pPr>
            <w:r>
              <w:rPr>
                <w:rFonts w:ascii="Calibri" w:cs="Calibri" w:eastAsia="Calibri" w:hAnsi="Calibri"/>
                <w:b/>
                <w:bCs/>
                <w:sz w:val="20"/>
                <w:szCs w:val="20"/>
              </w:rPr>
              <w:t xml:space="preserve">Answer</w:t>
            </w:r>
          </w:p>
        </w:tc>
        <w:tc>
          <w:tcPr>
            <w:tcW w:type="dxa" w:w="1350"/>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spacing w:after="0"/>
            </w:pPr>
            <w:r>
              <w:rPr>
                <w:rFonts w:ascii="Calibri" w:cs="Calibri" w:eastAsia="Calibri" w:hAnsi="Calibri"/>
                <w:b/>
                <w:bCs/>
                <w:sz w:val="20"/>
                <w:szCs w:val="20"/>
              </w:rPr>
              <w:t xml:space="preserve">Status</w:t>
            </w:r>
          </w:p>
        </w:tc>
        <w:tc>
          <w:tcPr>
            <w:tcW w:type="dxa" w:w="3730"/>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spacing w:after="0"/>
            </w:pPr>
            <w:r>
              <w:rPr>
                <w:rFonts w:ascii="Calibri" w:cs="Calibri" w:eastAsia="Calibri" w:hAnsi="Calibri"/>
                <w:b/>
                <w:bCs/>
                <w:sz w:val="20"/>
                <w:szCs w:val="20"/>
              </w:rPr>
              <w:t xml:space="preserve">Evidence</w:t>
            </w:r>
          </w:p>
        </w:tc>
      </w:tr>
      <w:tr>
        <w:trPr>
          <w:cantSplit/>
        </w:trPr>
        <w:tc>
          <w:tcPr>
            <w:tcW w:type="dxa" w:w="15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Need [Identify pain]</w:t>
            </w:r>
          </w:p>
        </w:tc>
        <w:tc>
          <w:tcPr>
            <w:tcW w:type="dxa" w:w="35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Manual routing across 14 depots causes missed windows, retailer fines, extra miles, overtime. Size not verified.</w:t>
            </w:r>
          </w:p>
        </w:tc>
        <w:tc>
          <w:tcPr>
            <w:tcW w:type="dxa" w:w="1350"/>
            <w:tcBorders>
              <w:top w:val="single" w:color="A6A6A6" w:sz="4"/>
              <w:left w:val="single" w:color="A6A6A6" w:sz="4"/>
              <w:bottom w:val="single" w:color="A6A6A6" w:sz="4"/>
              <w:right w:val="single" w:color="A6A6A6" w:sz="4"/>
            </w:tcBorders>
            <w:shd w:fill="FFF2CC" w:color="auto" w:val="clear"/>
            <w:tcMar>
              <w:top w:type="dxa" w:w="40"/>
              <w:left w:type="dxa" w:w="80"/>
              <w:bottom w:type="dxa" w:w="40"/>
              <w:right w:type="dxa" w:w="80"/>
            </w:tcMar>
          </w:tcPr>
          <w:p>
            <w:pPr>
              <w:spacing w:after="0"/>
            </w:pPr>
            <w:r>
              <w:rPr>
                <w:rFonts w:ascii="Calibri" w:cs="Calibri" w:eastAsia="Calibri" w:hAnsi="Calibri"/>
                <w:sz w:val="20"/>
                <w:szCs w:val="20"/>
              </w:rPr>
              <w:t xml:space="preserve">Confirmed (problem); Unknown (size)</w:t>
            </w:r>
          </w:p>
        </w:tc>
        <w:tc>
          <w:tcPr>
            <w:tcW w:type="dxa" w:w="373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Priya Raman, Jun 10 and Jul 22, buyer statements. Her cost guess: "a few hundred thousand a year, maybe more"; she must check with finance.</w:t>
            </w:r>
          </w:p>
        </w:tc>
      </w:tr>
      <w:tr>
        <w:trPr>
          <w:cantSplit/>
        </w:trPr>
        <w:tc>
          <w:tcPr>
            <w:tcW w:type="dxa" w:w="15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Timing [Compelling event]</w:t>
            </w:r>
          </w:p>
        </w:tc>
        <w:tc>
          <w:tcPr>
            <w:tcW w:type="dxa" w:w="35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No compelling event and no hard date. Holiday peak blocks change in Nov and Dec; otherwise "probably Q1."</w:t>
            </w:r>
          </w:p>
        </w:tc>
        <w:tc>
          <w:tcPr>
            <w:tcW w:type="dxa" w:w="1350"/>
            <w:tcBorders>
              <w:top w:val="single" w:color="A6A6A6" w:sz="4"/>
              <w:left w:val="single" w:color="A6A6A6" w:sz="4"/>
              <w:bottom w:val="single" w:color="A6A6A6" w:sz="4"/>
              <w:right w:val="single" w:color="A6A6A6" w:sz="4"/>
            </w:tcBorders>
            <w:shd w:fill="FFF2CC" w:color="auto" w:val="clear"/>
            <w:tcMar>
              <w:top w:type="dxa" w:w="40"/>
              <w:left w:type="dxa" w:w="80"/>
              <w:bottom w:type="dxa" w:w="40"/>
              <w:right w:type="dxa" w:w="80"/>
            </w:tcMar>
          </w:tcPr>
          <w:p>
            <w:pPr>
              <w:spacing w:after="0"/>
            </w:pPr>
            <w:r>
              <w:rPr>
                <w:rFonts w:ascii="Calibri" w:cs="Calibri" w:eastAsia="Calibri" w:hAnsi="Calibri"/>
                <w:sz w:val="20"/>
                <w:szCs w:val="20"/>
              </w:rPr>
              <w:t xml:space="preserve">Unknown</w:t>
            </w:r>
          </w:p>
        </w:tc>
        <w:tc>
          <w:tcPr>
            <w:tcW w:type="dxa" w:w="373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Priya Raman, Jun 10 and Sep 26, buyer statements. CRM field is blank.</w:t>
            </w:r>
          </w:p>
        </w:tc>
      </w:tr>
      <w:tr>
        <w:trPr>
          <w:cantSplit/>
        </w:trPr>
        <w:tc>
          <w:tcPr>
            <w:tcW w:type="dxa" w:w="15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Differentiation [Competition]</w:t>
            </w:r>
          </w:p>
        </w:tc>
        <w:tc>
          <w:tcPr>
            <w:tcW w:type="dxa" w:w="35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IT is also looking at Gridline, whose TMS connector is native and listed. Ours would be a project. CRM says sole source.</w:t>
            </w:r>
          </w:p>
        </w:tc>
        <w:tc>
          <w:tcPr>
            <w:tcW w:type="dxa" w:w="1350"/>
            <w:tcBorders>
              <w:top w:val="single" w:color="A6A6A6" w:sz="4"/>
              <w:left w:val="single" w:color="A6A6A6" w:sz="4"/>
              <w:bottom w:val="single" w:color="A6A6A6" w:sz="4"/>
              <w:right w:val="single" w:color="A6A6A6" w:sz="4"/>
            </w:tcBorders>
            <w:shd w:fill="F8D7DA" w:color="auto" w:val="clear"/>
            <w:tcMar>
              <w:top w:type="dxa" w:w="40"/>
              <w:left w:type="dxa" w:w="80"/>
              <w:bottom w:type="dxa" w:w="40"/>
              <w:right w:type="dxa" w:w="80"/>
            </w:tcMar>
          </w:tcPr>
          <w:p>
            <w:pPr>
              <w:spacing w:after="0"/>
            </w:pPr>
            <w:r>
              <w:rPr>
                <w:rFonts w:ascii="Calibri" w:cs="Calibri" w:eastAsia="Calibri" w:hAnsi="Calibri"/>
                <w:sz w:val="20"/>
                <w:szCs w:val="20"/>
              </w:rPr>
              <w:t xml:space="preserve">Contradicted</w:t>
            </w:r>
          </w:p>
        </w:tc>
        <w:tc>
          <w:tcPr>
            <w:tcW w:type="dxa" w:w="373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Sam Okoye, Jul 22 call and Aug 5 email, buyer statements: Gridline sent a one-page integration sheet. Our engine claim is the rep's statement on the call.</w:t>
            </w:r>
          </w:p>
        </w:tc>
      </w:tr>
      <w:tr>
        <w:trPr>
          <w:cantSplit/>
        </w:trPr>
        <w:tc>
          <w:tcPr>
            <w:tcW w:type="dxa" w:w="15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Value [Metrics]</w:t>
            </w:r>
          </w:p>
        </w:tc>
        <w:tc>
          <w:tcPr>
            <w:tcW w:type="dxa" w:w="35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CRM holds $1.2M annual savings. The buyer has not quantified savings. Her only figures: a rough cost guess, about an hour saved per dispatcher morning, and a request for on-time reporting by depot.</w:t>
            </w:r>
          </w:p>
        </w:tc>
        <w:tc>
          <w:tcPr>
            <w:tcW w:type="dxa" w:w="1350"/>
            <w:tcBorders>
              <w:top w:val="single" w:color="A6A6A6" w:sz="4"/>
              <w:left w:val="single" w:color="A6A6A6" w:sz="4"/>
              <w:bottom w:val="single" w:color="A6A6A6" w:sz="4"/>
              <w:right w:val="single" w:color="A6A6A6" w:sz="4"/>
            </w:tcBorders>
            <w:shd w:fill="F8D7DA" w:color="auto" w:val="clear"/>
            <w:tcMar>
              <w:top w:type="dxa" w:w="40"/>
              <w:left w:type="dxa" w:w="80"/>
              <w:bottom w:type="dxa" w:w="40"/>
              <w:right w:type="dxa" w:w="80"/>
            </w:tcMar>
          </w:tcPr>
          <w:p>
            <w:pPr>
              <w:spacing w:after="0"/>
            </w:pPr>
            <w:r>
              <w:rPr>
                <w:rFonts w:ascii="Calibri" w:cs="Calibri" w:eastAsia="Calibri" w:hAnsi="Calibri"/>
                <w:sz w:val="20"/>
                <w:szCs w:val="20"/>
              </w:rPr>
              <w:t xml:space="preserve">Contradicted</w:t>
            </w:r>
          </w:p>
        </w:tc>
        <w:tc>
          <w:tcPr>
            <w:tcW w:type="dxa" w:w="373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Priya Raman, Jun 10, Jul 22, buyer statements, against the CRM Metrics field (rep's assessment). $1.2M appears nowhere in the communications.</w:t>
            </w:r>
          </w:p>
        </w:tc>
      </w:tr>
      <w:tr>
        <w:trPr>
          <w:cantSplit/>
        </w:trPr>
        <w:tc>
          <w:tcPr>
            <w:tcW w:type="dxa" w:w="15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Evaluation process [Decision criteria]</w:t>
            </w:r>
          </w:p>
        </w:tc>
        <w:tc>
          <w:tcPr>
            <w:tcW w:type="dxa" w:w="35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Criteria: TMS integration effort and reporting. IT must review. Sam's four questions have no reply in the record.</w:t>
            </w:r>
          </w:p>
        </w:tc>
        <w:tc>
          <w:tcPr>
            <w:tcW w:type="dxa" w:w="1350"/>
            <w:tcBorders>
              <w:top w:val="single" w:color="A6A6A6" w:sz="4"/>
              <w:left w:val="single" w:color="A6A6A6" w:sz="4"/>
              <w:bottom w:val="single" w:color="A6A6A6" w:sz="4"/>
              <w:right w:val="single" w:color="A6A6A6" w:sz="4"/>
            </w:tcBorders>
            <w:shd w:fill="FFF2CC" w:color="auto" w:val="clear"/>
            <w:tcMar>
              <w:top w:type="dxa" w:w="40"/>
              <w:left w:type="dxa" w:w="80"/>
              <w:bottom w:type="dxa" w:w="40"/>
              <w:right w:type="dxa" w:w="80"/>
            </w:tcMar>
          </w:tcPr>
          <w:p>
            <w:pPr>
              <w:spacing w:after="0"/>
            </w:pPr>
            <w:r>
              <w:rPr>
                <w:rFonts w:ascii="Calibri" w:cs="Calibri" w:eastAsia="Calibri" w:hAnsi="Calibri"/>
                <w:sz w:val="20"/>
                <w:szCs w:val="20"/>
              </w:rPr>
              <w:t xml:space="preserve">Confirmed (criteria); Unknown (IT position)</w:t>
            </w:r>
          </w:p>
        </w:tc>
        <w:tc>
          <w:tcPr>
            <w:tcW w:type="dxa" w:w="373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Jul 22 call; Sam Okoye email Aug 5 (buyer action, last IT contact). Priya, Sep 12: "I haven't heard from Sam either." No evidence the integration document was sent.</w:t>
            </w:r>
          </w:p>
        </w:tc>
      </w:tr>
      <w:tr>
        <w:trPr>
          <w:cantSplit/>
        </w:trPr>
        <w:tc>
          <w:tcPr>
            <w:tcW w:type="dxa" w:w="15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Buying process [Economic buyer, decision and paper process]</w:t>
            </w:r>
          </w:p>
        </w:tc>
        <w:tc>
          <w:tcPr>
            <w:tcW w:type="dxa" w:w="35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CFO Mark Teller approves over $100K. Budget not approved. Security review is with procurement, no owner named, no reply. MSA not with legal on Sep 26; Priya planned to forward it Oct 5.</w:t>
            </w:r>
          </w:p>
        </w:tc>
        <w:tc>
          <w:tcPr>
            <w:tcW w:type="dxa" w:w="1350"/>
            <w:tcBorders>
              <w:top w:val="single" w:color="A6A6A6" w:sz="4"/>
              <w:left w:val="single" w:color="A6A6A6" w:sz="4"/>
              <w:bottom w:val="single" w:color="A6A6A6" w:sz="4"/>
              <w:right w:val="single" w:color="A6A6A6" w:sz="4"/>
            </w:tcBorders>
            <w:shd w:fill="F8D7DA" w:color="auto" w:val="clear"/>
            <w:tcMar>
              <w:top w:type="dxa" w:w="40"/>
              <w:left w:type="dxa" w:w="80"/>
              <w:bottom w:type="dxa" w:w="40"/>
              <w:right w:type="dxa" w:w="80"/>
            </w:tcMar>
          </w:tcPr>
          <w:p>
            <w:pPr>
              <w:spacing w:after="0"/>
            </w:pPr>
            <w:r>
              <w:rPr>
                <w:rFonts w:ascii="Calibri" w:cs="Calibri" w:eastAsia="Calibri" w:hAnsi="Calibri"/>
                <w:sz w:val="20"/>
                <w:szCs w:val="20"/>
              </w:rPr>
              <w:t xml:space="preserve">Confirmed (approver); Unknown (budget, security, legal); Contradicted (two-week paper path)</w:t>
            </w:r>
          </w:p>
        </w:tc>
        <w:tc>
          <w:tcPr>
            <w:tcW w:type="dxa" w:w="373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Priya Raman, Sep 12 email, Sep 26 call, Oct 2 email, buyer statements. No evidence the MSA was forwarded Oct 5.</w:t>
            </w:r>
          </w:p>
        </w:tc>
      </w:tr>
      <w:tr>
        <w:trPr>
          <w:cantSplit/>
        </w:trPr>
        <w:tc>
          <w:tcPr>
            <w:tcW w:type="dxa" w:w="15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People [Champion]</w:t>
            </w:r>
          </w:p>
        </w:tc>
        <w:tc>
          <w:tcPr>
            <w:tcW w:type="dxa" w:w="35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One active contact. CFO never contacted. IT last contact Aug 5. VP unnamed.</w:t>
            </w:r>
          </w:p>
        </w:tc>
        <w:tc>
          <w:tcPr>
            <w:tcW w:type="dxa" w:w="1350"/>
            <w:tcBorders>
              <w:top w:val="single" w:color="A6A6A6" w:sz="4"/>
              <w:left w:val="single" w:color="A6A6A6" w:sz="4"/>
              <w:bottom w:val="single" w:color="A6A6A6" w:sz="4"/>
              <w:right w:val="single" w:color="A6A6A6" w:sz="4"/>
            </w:tcBorders>
            <w:shd w:fill="FFF2CC" w:color="auto" w:val="clear"/>
            <w:tcMar>
              <w:top w:type="dxa" w:w="40"/>
              <w:left w:type="dxa" w:w="80"/>
              <w:bottom w:type="dxa" w:w="40"/>
              <w:right w:type="dxa" w:w="80"/>
            </w:tcMar>
          </w:tcPr>
          <w:p>
            <w:pPr>
              <w:spacing w:after="0"/>
            </w:pPr>
            <w:r>
              <w:rPr>
                <w:rFonts w:ascii="Calibri" w:cs="Calibri" w:eastAsia="Calibri" w:hAnsi="Calibri"/>
                <w:sz w:val="20"/>
                <w:szCs w:val="20"/>
              </w:rPr>
              <w:t xml:space="preserve">Assumed (champion); Unknown (CFO access)</w:t>
            </w:r>
          </w:p>
        </w:tc>
        <w:tc>
          <w:tcPr>
            <w:tcW w:type="dxa" w:w="373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See section 4. Priya is in 6 of 7 records.</w:t>
            </w:r>
          </w:p>
        </w:tc>
      </w:tr>
      <w:tr>
        <w:trPr>
          <w:cantSplit/>
        </w:trPr>
        <w:tc>
          <w:tcPr>
            <w:tcW w:type="dxa" w:w="15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Commercials</w:t>
            </w:r>
          </w:p>
        </w:tc>
        <w:tc>
          <w:tcPr>
            <w:tcW w:type="dxa" w:w="35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$180,000 annual, 14 licenses, standard onboarding. Matches the 14 depots described. No buyer reply on price or terms. Proposal file not available.</w:t>
            </w:r>
          </w:p>
        </w:tc>
        <w:tc>
          <w:tcPr>
            <w:tcW w:type="dxa" w:w="1350"/>
            <w:tcBorders>
              <w:top w:val="single" w:color="A6A6A6" w:sz="4"/>
              <w:left w:val="single" w:color="A6A6A6" w:sz="4"/>
              <w:bottom w:val="single" w:color="A6A6A6" w:sz="4"/>
              <w:right w:val="single" w:color="A6A6A6" w:sz="4"/>
            </w:tcBorders>
            <w:shd w:fill="FFF2CC" w:color="auto" w:val="clear"/>
            <w:tcMar>
              <w:top w:type="dxa" w:w="40"/>
              <w:left w:type="dxa" w:w="80"/>
              <w:bottom w:type="dxa" w:w="40"/>
              <w:right w:type="dxa" w:w="80"/>
            </w:tcMar>
          </w:tcPr>
          <w:p>
            <w:pPr>
              <w:spacing w:after="0"/>
            </w:pPr>
            <w:r>
              <w:rPr>
                <w:rFonts w:ascii="Calibri" w:cs="Calibri" w:eastAsia="Calibri" w:hAnsi="Calibri"/>
                <w:sz w:val="20"/>
                <w:szCs w:val="20"/>
              </w:rPr>
              <w:t xml:space="preserve">Unknown (buyer reaction)</w:t>
            </w:r>
          </w:p>
        </w:tc>
        <w:tc>
          <w:tcPr>
            <w:tcW w:type="dxa" w:w="373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Email Aug 19; Priya: "I'll read it tonight." Nothing on price since.</w:t>
            </w:r>
          </w:p>
        </w:tc>
      </w:tr>
      <w:tr>
        <w:trPr>
          <w:cantSplit/>
        </w:trPr>
        <w:tc>
          <w:tcPr>
            <w:tcW w:type="dxa" w:w="15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Plan and momentum</w:t>
            </w:r>
          </w:p>
        </w:tc>
        <w:tc>
          <w:tcPr>
            <w:tcW w:type="dxa" w:w="35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No mutual plan or scheduled meeting. Close date supported only by rep intent.</w:t>
            </w:r>
          </w:p>
        </w:tc>
        <w:tc>
          <w:tcPr>
            <w:tcW w:type="dxa" w:w="1350"/>
            <w:tcBorders>
              <w:top w:val="single" w:color="A6A6A6" w:sz="4"/>
              <w:left w:val="single" w:color="A6A6A6" w:sz="4"/>
              <w:bottom w:val="single" w:color="A6A6A6" w:sz="4"/>
              <w:right w:val="single" w:color="A6A6A6" w:sz="4"/>
            </w:tcBorders>
            <w:shd w:fill="F8D7DA" w:color="auto" w:val="clear"/>
            <w:tcMar>
              <w:top w:type="dxa" w:w="40"/>
              <w:left w:type="dxa" w:w="80"/>
              <w:bottom w:type="dxa" w:w="40"/>
              <w:right w:type="dxa" w:w="80"/>
            </w:tcMar>
          </w:tcPr>
          <w:p>
            <w:pPr>
              <w:spacing w:after="0"/>
            </w:pPr>
            <w:r>
              <w:rPr>
                <w:rFonts w:ascii="Calibri" w:cs="Calibri" w:eastAsia="Calibri" w:hAnsi="Calibri"/>
                <w:sz w:val="20"/>
                <w:szCs w:val="20"/>
              </w:rPr>
              <w:t xml:space="preserve">Contradicted</w:t>
            </w:r>
          </w:p>
        </w:tc>
        <w:tc>
          <w:tcPr>
            <w:tcW w:type="dxa" w:w="373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Priya, Sep 26: end of October is "possible. I wouldn't bet on it." Oct 2: "I will see what I can do."</w:t>
            </w:r>
          </w:p>
        </w:tc>
      </w:tr>
      <w:tr>
        <w:trPr>
          <w:cantSplit/>
        </w:trPr>
        <w:tc>
          <w:tcPr>
            <w:tcW w:type="dxa" w:w="15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Outside risks</w:t>
            </w:r>
          </w:p>
        </w:tc>
        <w:tc>
          <w:tcPr>
            <w:tcW w:type="dxa" w:w="35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Gridline native connector; customized TMS; IT capacity (a quarter planned around two other projects); holiday change freeze; first purchase of this size for the champion.</w:t>
            </w:r>
          </w:p>
        </w:tc>
        <w:tc>
          <w:tcPr>
            <w:tcW w:type="dxa" w:w="1350"/>
            <w:tcBorders>
              <w:top w:val="single" w:color="A6A6A6" w:sz="4"/>
              <w:left w:val="single" w:color="A6A6A6" w:sz="4"/>
              <w:bottom w:val="single" w:color="A6A6A6" w:sz="4"/>
              <w:right w:val="single" w:color="A6A6A6" w:sz="4"/>
            </w:tcBorders>
            <w:shd w:fill="E2EFDA" w:color="auto" w:val="clear"/>
            <w:tcMar>
              <w:top w:type="dxa" w:w="40"/>
              <w:left w:type="dxa" w:w="80"/>
              <w:bottom w:type="dxa" w:w="40"/>
              <w:right w:type="dxa" w:w="80"/>
            </w:tcMar>
          </w:tcPr>
          <w:p>
            <w:pPr>
              <w:spacing w:after="0"/>
            </w:pPr>
            <w:r>
              <w:rPr>
                <w:rFonts w:ascii="Calibri" w:cs="Calibri" w:eastAsia="Calibri" w:hAnsi="Calibri"/>
                <w:sz w:val="20"/>
                <w:szCs w:val="20"/>
              </w:rPr>
              <w:t xml:space="preserve">Confirmed (risks present)</w:t>
            </w:r>
          </w:p>
        </w:tc>
        <w:tc>
          <w:tcPr>
            <w:tcW w:type="dxa" w:w="373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Sam Okoye, Jul 22, Aug 5; Priya Raman, Jun 10, Sep 26, buyer statements.</w:t>
            </w:r>
          </w:p>
        </w:tc>
      </w:tr>
    </w:tbl>
    <w:p>
      <w:pPr>
        <w:pStyle w:val="Heading2"/>
        <w:keepNext/>
        <w:pBdr>
          <w:bottom w:val="single" w:color="1F3A5F" w:sz="6" w:space="1"/>
        </w:pBdr>
        <w:spacing w:after="70" w:before="160"/>
      </w:pPr>
      <w:r>
        <w:rPr>
          <w:rFonts w:ascii="Calibri" w:cs="Calibri" w:eastAsia="Calibri" w:hAnsi="Calibri"/>
          <w:b/>
          <w:bCs/>
          <w:color w:val="1F3A5F"/>
          <w:sz w:val="26"/>
          <w:szCs w:val="26"/>
        </w:rPr>
        <w:t xml:space="preserve">4. People and champion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5680"/>
      </w:tblGrid>
      <w:tr>
        <w:trPr>
          <w:cantSplit/>
          <w:tblHeader/>
        </w:trPr>
        <w:tc>
          <w:tcPr>
            <w:tcW w:type="dxa" w:w="1900"/>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spacing w:after="0"/>
            </w:pPr>
            <w:r>
              <w:rPr>
                <w:rFonts w:ascii="Calibri" w:cs="Calibri" w:eastAsia="Calibri" w:hAnsi="Calibri"/>
                <w:b/>
                <w:bCs/>
                <w:sz w:val="20"/>
                <w:szCs w:val="20"/>
              </w:rPr>
              <w:t xml:space="preserve">Role</w:t>
            </w:r>
          </w:p>
        </w:tc>
        <w:tc>
          <w:tcPr>
            <w:tcW w:type="dxa" w:w="2500"/>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spacing w:after="0"/>
            </w:pPr>
            <w:r>
              <w:rPr>
                <w:rFonts w:ascii="Calibri" w:cs="Calibri" w:eastAsia="Calibri" w:hAnsi="Calibri"/>
                <w:b/>
                <w:bCs/>
                <w:sz w:val="20"/>
                <w:szCs w:val="20"/>
              </w:rPr>
              <w:t xml:space="preserve">Name and title</w:t>
            </w:r>
          </w:p>
        </w:tc>
        <w:tc>
          <w:tcPr>
            <w:tcW w:type="dxa" w:w="5680"/>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spacing w:after="0"/>
            </w:pPr>
            <w:r>
              <w:rPr>
                <w:rFonts w:ascii="Calibri" w:cs="Calibri" w:eastAsia="Calibri" w:hAnsi="Calibri"/>
                <w:b/>
                <w:bCs/>
                <w:sz w:val="20"/>
                <w:szCs w:val="20"/>
              </w:rPr>
              <w:t xml:space="preserve">How we know and evidence</w:t>
            </w:r>
          </w:p>
        </w:tc>
      </w:tr>
      <w:tr>
        <w:trPr>
          <w:cantSplit/>
        </w:trPr>
        <w:tc>
          <w:tcPr>
            <w:tcW w:type="dxa" w:w="19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Economic buyer</w:t>
            </w:r>
          </w:p>
        </w:tc>
        <w:tc>
          <w:tcPr>
            <w:tcW w:type="dxa" w:w="25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Mark Teller, CFO</w:t>
            </w:r>
          </w:p>
        </w:tc>
        <w:tc>
          <w:tcPr>
            <w:tcW w:type="dxa" w:w="568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Role confirmed by Priya, Sep 12 (buyer statement). Never on a call or email; CRM contact has no activity. Oct 2: "Haven't heard from Mark yet." CRM calls him "aligned" (rep's assessment, unsupported).</w:t>
            </w:r>
          </w:p>
        </w:tc>
      </w:tr>
      <w:tr>
        <w:trPr>
          <w:cantSplit/>
        </w:trPr>
        <w:tc>
          <w:tcPr>
            <w:tcW w:type="dxa" w:w="19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Technical buyer; skeptic on integration</w:t>
            </w:r>
          </w:p>
        </w:tc>
        <w:tc>
          <w:tcPr>
            <w:tcW w:type="dxa" w:w="25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Sam Okoye, IT Director</w:t>
            </w:r>
          </w:p>
        </w:tc>
        <w:tc>
          <w:tcPr>
            <w:tcW w:type="dxa" w:w="568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Attended demo Jul 22; wrote Aug 5 (buyer action). Raised Gridline and connector effort. One person fills both rows.</w:t>
            </w:r>
          </w:p>
        </w:tc>
      </w:tr>
      <w:tr>
        <w:trPr>
          <w:cantSplit/>
        </w:trPr>
        <w:tc>
          <w:tcPr>
            <w:tcW w:type="dxa" w:w="19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Champion; coach</w:t>
            </w:r>
          </w:p>
        </w:tc>
        <w:tc>
          <w:tcPr>
            <w:tcW w:type="dxa" w:w="25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Priya Raman, Director of Operations</w:t>
            </w:r>
          </w:p>
        </w:tc>
        <w:tc>
          <w:tcPr>
            <w:tcW w:type="dxa" w:w="568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Six of seven records. Gives process information (Sep 12, Sep 26). Cannot approve; has not bought at this size.</w:t>
            </w:r>
          </w:p>
        </w:tc>
      </w:tr>
      <w:tr>
        <w:trPr>
          <w:cantSplit/>
        </w:trPr>
        <w:tc>
          <w:tcPr>
            <w:tcW w:type="dxa" w:w="19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Other influencers</w:t>
            </w:r>
          </w:p>
        </w:tc>
        <w:tc>
          <w:tcPr>
            <w:tcW w:type="dxa" w:w="25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VP of Priya (not identified). Procurement, legal, security: not identified. Alicia Brandt, AP Specialist</w:t>
            </w:r>
          </w:p>
        </w:tc>
        <w:tc>
          <w:tcPr>
            <w:tcW w:type="dxa" w:w="568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VP "likes it" per Priya, Sep 26, unverified. Brandt is a CRM contact only; her role on the deal is unknown.</w:t>
            </w:r>
          </w:p>
        </w:tc>
      </w:tr>
    </w:tbl>
    <w:p>
      <w:pPr>
        <w:spacing w:after="80" w:before="80"/>
      </w:pPr>
      <w:r>
        <w:rPr>
          <w:rFonts w:ascii="Calibri" w:cs="Calibri" w:eastAsia="Calibri" w:hAnsi="Calibri"/>
          <w:b/>
          <w:bCs/>
          <w:sz w:val="22"/>
          <w:szCs w:val="22"/>
        </w:rPr>
        <w:t xml:space="preserve">Champion read: Coach but not champion.</w:t>
      </w:r>
      <w:r>
        <w:rPr>
          <w:rFonts w:ascii="Calibri" w:cs="Calibri" w:eastAsia="Calibri" w:hAnsi="Calibri"/>
          <w:sz w:val="22"/>
          <w:szCs w:val="22"/>
        </w:rPr>
        <w:t xml:space="preserve"> Priya relays and informs but has not carried the case to the CFO or finance. She reports one internal conversation with her VP (her statement, unverified), introduced Sam when asked, and deferred the CFO introduction twice. She holds a proposal but no finance-confirmed business case. The deal would not survive her leaving, since no other buyer-side person is engaged. To move up: a dated step with the CFO or finance that costs her something, and a cost figure from finance.</w:t>
      </w:r>
    </w:p>
    <w:p>
      <w:pPr>
        <w:spacing w:after="80" w:before="0"/>
      </w:pPr>
      <w:r>
        <w:rPr>
          <w:rFonts w:ascii="Calibri" w:cs="Calibri" w:eastAsia="Calibri" w:hAnsi="Calibri"/>
          <w:b/>
          <w:bCs/>
          <w:sz w:val="22"/>
          <w:szCs w:val="22"/>
        </w:rPr>
        <w:t xml:space="preserve">Champion test: Partly tested.</w:t>
      </w:r>
      <w:r>
        <w:rPr>
          <w:rFonts w:ascii="Calibri" w:cs="Calibri" w:eastAsia="Calibri" w:hAnsi="Calibri"/>
          <w:sz w:val="22"/>
          <w:szCs w:val="22"/>
        </w:rPr>
        <w:t xml:space="preserve"> The deal owner asked for a CFO introduction on Aug 19; she deferred ("circle back after the proposal"). Asked again Sep 12, she said "I'll bring it up with Mark" without a date; on Oct 2 she had not heard from him. </w:t>
      </w:r>
      <w:r>
        <w:rPr>
          <w:rFonts w:ascii="Calibri" w:cs="Calibri" w:eastAsia="Calibri" w:hAnsi="Calibri"/>
          <w:b/>
          <w:bCs/>
          <w:sz w:val="22"/>
          <w:szCs w:val="22"/>
        </w:rPr>
        <w:t xml:space="preserve">Proposed ask:</w:t>
      </w:r>
      <w:r>
        <w:rPr>
          <w:rFonts w:ascii="Calibri" w:cs="Calibri" w:eastAsia="Calibri" w:hAnsi="Calibri"/>
          <w:sz w:val="22"/>
          <w:szCs w:val="22"/>
        </w:rPr>
        <w:t xml:space="preserve"> a 20-minute slot with Mark Teller on his calendar by Wednesday, October 14.</w:t>
      </w:r>
    </w:p>
    <w:p>
      <w:pPr>
        <w:spacing w:after="80" w:before="0"/>
      </w:pPr>
      <w:r>
        <w:rPr>
          <w:rFonts w:ascii="Calibri" w:cs="Calibri" w:eastAsia="Calibri" w:hAnsi="Calibri"/>
          <w:b/>
          <w:bCs/>
          <w:sz w:val="22"/>
          <w:szCs w:val="22"/>
        </w:rPr>
        <w:t xml:space="preserve">Threading:</w:t>
      </w:r>
      <w:r>
        <w:rPr>
          <w:rFonts w:ascii="Calibri" w:cs="Calibri" w:eastAsia="Calibri" w:hAnsi="Calibri"/>
          <w:sz w:val="22"/>
          <w:szCs w:val="22"/>
        </w:rPr>
        <w:t xml:space="preserve"> Priya is involved in 6 of 7 records (3 calls, 4 email threads), Sam Okoye in 2, Mark Teller and everyone else in 0. This is single-threaded. Sam has attended and written directly, but his last contact was Aug 5, 63 days ago.</w:t>
      </w:r>
    </w:p>
    <w:p>
      <w:pPr>
        <w:pStyle w:val="Heading2"/>
        <w:keepNext/>
        <w:pBdr>
          <w:bottom w:val="single" w:color="1F3A5F" w:sz="6" w:space="1"/>
        </w:pBdr>
        <w:spacing w:after="70" w:before="160"/>
      </w:pPr>
      <w:r>
        <w:rPr>
          <w:rFonts w:ascii="Calibri" w:cs="Calibri" w:eastAsia="Calibri" w:hAnsi="Calibri"/>
          <w:b/>
          <w:bCs/>
          <w:color w:val="1F3A5F"/>
          <w:sz w:val="26"/>
          <w:szCs w:val="26"/>
        </w:rPr>
        <w:t xml:space="preserve">5. Stage, close date, and forecast</w:t>
      </w:r>
    </w:p>
    <w:p>
      <w:pPr>
        <w:spacing w:after="80" w:before="0"/>
      </w:pPr>
      <w:r>
        <w:rPr>
          <w:rFonts w:ascii="Calibri" w:cs="Calibri" w:eastAsia="Calibri" w:hAnsi="Calibri"/>
          <w:b/>
          <w:bCs/>
          <w:sz w:val="22"/>
          <w:szCs w:val="22"/>
        </w:rPr>
        <w:t xml:space="preserve">Stage: behind.</w:t>
      </w:r>
      <w:r>
        <w:rPr>
          <w:rFonts w:ascii="Calibri" w:cs="Calibri" w:eastAsia="Calibri" w:hAnsi="Calibri"/>
          <w:sz w:val="22"/>
          <w:szCs w:val="22"/>
        </w:rPr>
        <w:t xml:space="preserve"> Proposal/Negotiation is supported only in part. A proposal was sent Aug 19, but there is no buyer response on price or terms, and the IT evaluation (the demo-stage question) is open. The evidence fits late Demo/Evaluation. (Judged on the plain stage meaning; exit criteria not provided.)</w:t>
      </w:r>
    </w:p>
    <w:p>
      <w:pPr>
        <w:spacing w:after="80" w:before="0"/>
      </w:pPr>
      <w:r>
        <w:rPr>
          <w:rFonts w:ascii="Calibri" w:cs="Calibri" w:eastAsia="Calibri" w:hAnsi="Calibri"/>
          <w:b/>
          <w:bCs/>
          <w:sz w:val="22"/>
          <w:szCs w:val="22"/>
        </w:rPr>
        <w:t xml:space="preserve">Close date: not supported by buyer actions.</w:t>
      </w:r>
      <w:r>
        <w:rPr>
          <w:rFonts w:ascii="Calibri" w:cs="Calibri" w:eastAsia="Calibri" w:hAnsi="Calibri"/>
          <w:sz w:val="22"/>
          <w:szCs w:val="22"/>
        </w:rPr>
        <w:t xml:space="preserve"> Oct 30 is 23 days away. Before it: IT sign-off, CFO engagement and approval, budget approval, a security review not yet started on the buyer side, and legal review of an MSA that was not with legal as of Sep 26. The buyer called signing by month end "possible" and nothing more. </w:t>
      </w:r>
    </w:p>
    <w:p>
      <w:pPr>
        <w:spacing w:after="80" w:before="0"/>
      </w:pPr>
      <w:r>
        <w:rPr>
          <w:rFonts w:ascii="Calibri" w:cs="Calibri" w:eastAsia="Calibri" w:hAnsi="Calibri"/>
          <w:b/>
          <w:bCs/>
          <w:sz w:val="22"/>
          <w:szCs w:val="22"/>
        </w:rPr>
        <w:t xml:space="preserve">Forecast read: Pipeline</w:t>
      </w:r>
      <w:r>
        <w:rPr>
          <w:rFonts w:ascii="Calibri" w:cs="Calibri" w:eastAsia="Calibri" w:hAnsi="Calibri"/>
          <w:sz w:val="22"/>
          <w:szCs w:val="22"/>
        </w:rPr>
        <w:t xml:space="preserve"> (assumed names and default rules; the company's definitions were not provided). Timing is unproven and the CFO has not engaged, so Commit and Best Case both fail. Confidence that Commit is wrong: High. Confidence in Pipeline over Best Case: Medium. Best Case needs the CFO meeting held (a buyer action) and IT replying to the integration answers. Commit needs approved budget, a named owner and date for security and legal, and a buyer-stated signature date.</w:t>
      </w:r>
    </w:p>
    <w:p>
      <w:pPr>
        <w:pStyle w:val="Heading2"/>
        <w:keepNext/>
        <w:pBdr>
          <w:bottom w:val="single" w:color="1F3A5F" w:sz="6" w:space="1"/>
        </w:pBdr>
        <w:spacing w:after="70" w:before="160"/>
      </w:pPr>
      <w:r>
        <w:rPr>
          <w:rFonts w:ascii="Calibri" w:cs="Calibri" w:eastAsia="Calibri" w:hAnsi="Calibri"/>
          <w:b/>
          <w:bCs/>
          <w:color w:val="1F3A5F"/>
          <w:sz w:val="26"/>
          <w:szCs w:val="26"/>
        </w:rPr>
        <w:t xml:space="preserve">6. Reconciliation highlights</w:t>
      </w:r>
    </w:p>
    <w:p>
      <w:pPr>
        <w:keepNext/>
        <w:spacing w:after="60" w:before="0"/>
      </w:pPr>
      <w:r>
        <w:rPr>
          <w:rFonts w:ascii="Calibri" w:cs="Calibri" w:eastAsia="Calibri" w:hAnsi="Calibri"/>
          <w:sz w:val="22"/>
          <w:szCs w:val="22"/>
        </w:rPr>
        <w:t xml:space="preserve">Two fields match (Amount; Decision criteria). Competition, Metrics, and Paper process are contradicted in section 3. Others: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4200"/>
        <w:gridCol w:w="1780"/>
      </w:tblGrid>
      <w:tr>
        <w:trPr>
          <w:cantSplit/>
          <w:tblHeader/>
        </w:trPr>
        <w:tc>
          <w:tcPr>
            <w:tcW w:type="dxa" w:w="1700"/>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spacing w:after="0"/>
            </w:pPr>
            <w:r>
              <w:rPr>
                <w:rFonts w:ascii="Calibri" w:cs="Calibri" w:eastAsia="Calibri" w:hAnsi="Calibri"/>
                <w:b/>
                <w:bCs/>
                <w:sz w:val="20"/>
                <w:szCs w:val="20"/>
              </w:rPr>
              <w:t xml:space="preserve">CRM field</w:t>
            </w:r>
          </w:p>
        </w:tc>
        <w:tc>
          <w:tcPr>
            <w:tcW w:type="dxa" w:w="2400"/>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spacing w:after="0"/>
            </w:pPr>
            <w:r>
              <w:rPr>
                <w:rFonts w:ascii="Calibri" w:cs="Calibri" w:eastAsia="Calibri" w:hAnsi="Calibri"/>
                <w:b/>
                <w:bCs/>
                <w:sz w:val="20"/>
                <w:szCs w:val="20"/>
              </w:rPr>
              <w:t xml:space="preserve">CRM value</w:t>
            </w:r>
          </w:p>
        </w:tc>
        <w:tc>
          <w:tcPr>
            <w:tcW w:type="dxa" w:w="4200"/>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spacing w:after="0"/>
            </w:pPr>
            <w:r>
              <w:rPr>
                <w:rFonts w:ascii="Calibri" w:cs="Calibri" w:eastAsia="Calibri" w:hAnsi="Calibri"/>
                <w:b/>
                <w:bCs/>
                <w:sz w:val="20"/>
                <w:szCs w:val="20"/>
              </w:rPr>
              <w:t xml:space="preserve">What the record supports</w:t>
            </w:r>
          </w:p>
        </w:tc>
        <w:tc>
          <w:tcPr>
            <w:tcW w:type="dxa" w:w="1780"/>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spacing w:after="0"/>
            </w:pPr>
            <w:r>
              <w:rPr>
                <w:rFonts w:ascii="Calibri" w:cs="Calibri" w:eastAsia="Calibri" w:hAnsi="Calibri"/>
                <w:b/>
                <w:bCs/>
                <w:sz w:val="20"/>
                <w:szCs w:val="20"/>
              </w:rPr>
              <w:t xml:space="preserve">Status</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Forecast category</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Commit</w:t>
            </w:r>
          </w:p>
        </w:tc>
        <w:tc>
          <w:tcPr>
            <w:tcW w:type="dxa" w:w="42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Pipeline (section 5)</w:t>
            </w:r>
          </w:p>
        </w:tc>
        <w:tc>
          <w:tcPr>
            <w:tcW w:type="dxa" w:w="1780"/>
            <w:tcBorders>
              <w:top w:val="single" w:color="A6A6A6" w:sz="4"/>
              <w:left w:val="single" w:color="A6A6A6" w:sz="4"/>
              <w:bottom w:val="single" w:color="A6A6A6" w:sz="4"/>
              <w:right w:val="single" w:color="A6A6A6" w:sz="4"/>
            </w:tcBorders>
            <w:shd w:fill="F8D7DA" w:color="auto" w:val="clear"/>
            <w:tcMar>
              <w:top w:type="dxa" w:w="40"/>
              <w:left w:type="dxa" w:w="80"/>
              <w:bottom w:type="dxa" w:w="40"/>
              <w:right w:type="dxa" w:w="80"/>
            </w:tcMar>
          </w:tcPr>
          <w:p>
            <w:pPr>
              <w:spacing w:after="0"/>
            </w:pPr>
            <w:r>
              <w:rPr>
                <w:rFonts w:ascii="Calibri" w:cs="Calibri" w:eastAsia="Calibri" w:hAnsi="Calibri"/>
                <w:sz w:val="20"/>
                <w:szCs w:val="20"/>
              </w:rPr>
              <w:t xml:space="preserve">Contradicted</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Close date</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Oct 30</w:t>
            </w:r>
          </w:p>
        </w:tc>
        <w:tc>
          <w:tcPr>
            <w:tcW w:type="dxa" w:w="42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Rep intent; buyer: "possible", would not bet on it</w:t>
            </w:r>
          </w:p>
        </w:tc>
        <w:tc>
          <w:tcPr>
            <w:tcW w:type="dxa" w:w="1780"/>
            <w:tcBorders>
              <w:top w:val="single" w:color="A6A6A6" w:sz="4"/>
              <w:left w:val="single" w:color="A6A6A6" w:sz="4"/>
              <w:bottom w:val="single" w:color="A6A6A6" w:sz="4"/>
              <w:right w:val="single" w:color="A6A6A6" w:sz="4"/>
            </w:tcBorders>
            <w:shd w:fill="FFF2CC" w:color="auto" w:val="clear"/>
            <w:tcMar>
              <w:top w:type="dxa" w:w="40"/>
              <w:left w:type="dxa" w:w="80"/>
              <w:bottom w:type="dxa" w:w="40"/>
              <w:right w:type="dxa" w:w="80"/>
            </w:tcMar>
          </w:tcPr>
          <w:p>
            <w:pPr>
              <w:spacing w:after="0"/>
            </w:pPr>
            <w:r>
              <w:rPr>
                <w:rFonts w:ascii="Calibri" w:cs="Calibri" w:eastAsia="Calibri" w:hAnsi="Calibri"/>
                <w:sz w:val="20"/>
                <w:szCs w:val="20"/>
              </w:rPr>
              <w:t xml:space="preserve">Unsupported</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Stage</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Proposal/Negotiation</w:t>
            </w:r>
          </w:p>
        </w:tc>
        <w:tc>
          <w:tcPr>
            <w:tcW w:type="dxa" w:w="42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Proposal sent; no negotiation or IT sign-off on record</w:t>
            </w:r>
          </w:p>
        </w:tc>
        <w:tc>
          <w:tcPr>
            <w:tcW w:type="dxa" w:w="1780"/>
            <w:tcBorders>
              <w:top w:val="single" w:color="A6A6A6" w:sz="4"/>
              <w:left w:val="single" w:color="A6A6A6" w:sz="4"/>
              <w:bottom w:val="single" w:color="A6A6A6" w:sz="4"/>
              <w:right w:val="single" w:color="A6A6A6" w:sz="4"/>
            </w:tcBorders>
            <w:shd w:fill="FFF2CC" w:color="auto" w:val="clear"/>
            <w:tcMar>
              <w:top w:type="dxa" w:w="40"/>
              <w:left w:type="dxa" w:w="80"/>
              <w:bottom w:type="dxa" w:w="40"/>
              <w:right w:type="dxa" w:w="80"/>
            </w:tcMar>
          </w:tcPr>
          <w:p>
            <w:pPr>
              <w:spacing w:after="0"/>
            </w:pPr>
            <w:r>
              <w:rPr>
                <w:rFonts w:ascii="Calibri" w:cs="Calibri" w:eastAsia="Calibri" w:hAnsi="Calibri"/>
                <w:sz w:val="20"/>
                <w:szCs w:val="20"/>
              </w:rPr>
              <w:t xml:space="preserve">Unsupported</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Economic Buyer; Champion</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Mark Teller "aligned"; Priya "strong, selling internally"</w:t>
            </w:r>
          </w:p>
        </w:tc>
        <w:tc>
          <w:tcPr>
            <w:tcW w:type="dxa" w:w="42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Identity matches. No CFO contact; champion read is Coach</w:t>
            </w:r>
          </w:p>
        </w:tc>
        <w:tc>
          <w:tcPr>
            <w:tcW w:type="dxa" w:w="1780"/>
            <w:tcBorders>
              <w:top w:val="single" w:color="A6A6A6" w:sz="4"/>
              <w:left w:val="single" w:color="A6A6A6" w:sz="4"/>
              <w:bottom w:val="single" w:color="A6A6A6" w:sz="4"/>
              <w:right w:val="single" w:color="A6A6A6" w:sz="4"/>
            </w:tcBorders>
            <w:shd w:fill="FFF2CC" w:color="auto" w:val="clear"/>
            <w:tcMar>
              <w:top w:type="dxa" w:w="40"/>
              <w:left w:type="dxa" w:w="80"/>
              <w:bottom w:type="dxa" w:w="40"/>
              <w:right w:type="dxa" w:w="80"/>
            </w:tcMar>
          </w:tcPr>
          <w:p>
            <w:pPr>
              <w:spacing w:after="0"/>
            </w:pPr>
            <w:r>
              <w:rPr>
                <w:rFonts w:ascii="Calibri" w:cs="Calibri" w:eastAsia="Calibri" w:hAnsi="Calibri"/>
                <w:sz w:val="20"/>
                <w:szCs w:val="20"/>
              </w:rPr>
              <w:t xml:space="preserve">Unsupported</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Next Step; Decision process</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Waiting on legal/security; Ops, IT, CFO</w:t>
            </w:r>
          </w:p>
        </w:tc>
        <w:tc>
          <w:tcPr>
            <w:tcW w:type="dxa" w:w="42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Omits VP, budget approval, procurement review, and the integration document owed to IT</w:t>
            </w:r>
          </w:p>
        </w:tc>
        <w:tc>
          <w:tcPr>
            <w:tcW w:type="dxa" w:w="1780"/>
            <w:tcBorders>
              <w:top w:val="single" w:color="A6A6A6" w:sz="4"/>
              <w:left w:val="single" w:color="A6A6A6" w:sz="4"/>
              <w:bottom w:val="single" w:color="A6A6A6" w:sz="4"/>
              <w:right w:val="single" w:color="A6A6A6" w:sz="4"/>
            </w:tcBorders>
            <w:shd w:fill="FFF2CC" w:color="auto" w:val="clear"/>
            <w:tcMar>
              <w:top w:type="dxa" w:w="40"/>
              <w:left w:type="dxa" w:w="80"/>
              <w:bottom w:type="dxa" w:w="40"/>
              <w:right w:type="dxa" w:w="80"/>
            </w:tcMar>
          </w:tcPr>
          <w:p>
            <w:pPr>
              <w:spacing w:after="0"/>
            </w:pPr>
            <w:r>
              <w:rPr>
                <w:rFonts w:ascii="Calibri" w:cs="Calibri" w:eastAsia="Calibri" w:hAnsi="Calibri"/>
                <w:sz w:val="20"/>
                <w:szCs w:val="20"/>
              </w:rPr>
              <w:t xml:space="preserve">Stale</w:t>
            </w:r>
          </w:p>
        </w:tc>
      </w:tr>
      <w:tr>
        <w:trPr>
          <w:cantSplit/>
        </w:trPr>
        <w:tc>
          <w:tcPr>
            <w:tcW w:type="dxa" w:w="1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Compelling event; next activity</w:t>
            </w:r>
          </w:p>
        </w:tc>
        <w:tc>
          <w:tcPr>
            <w:tcW w:type="dxa" w:w="24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Blank; none scheduled</w:t>
            </w:r>
          </w:p>
        </w:tc>
        <w:tc>
          <w:tcPr>
            <w:tcW w:type="dxa" w:w="42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No event exists per Priya, Sep 26. No meeting on the calendar</w:t>
            </w:r>
          </w:p>
        </w:tc>
        <w:tc>
          <w:tcPr>
            <w:tcW w:type="dxa" w:w="1780"/>
            <w:tcBorders>
              <w:top w:val="single" w:color="A6A6A6" w:sz="4"/>
              <w:left w:val="single" w:color="A6A6A6" w:sz="4"/>
              <w:bottom w:val="single" w:color="A6A6A6" w:sz="4"/>
              <w:right w:val="single" w:color="A6A6A6" w:sz="4"/>
            </w:tcBorders>
            <w:shd w:fill="FFF2CC" w:color="auto" w:val="clear"/>
            <w:tcMar>
              <w:top w:type="dxa" w:w="40"/>
              <w:left w:type="dxa" w:w="80"/>
              <w:bottom w:type="dxa" w:w="40"/>
              <w:right w:type="dxa" w:w="80"/>
            </w:tcMar>
          </w:tcPr>
          <w:p>
            <w:pPr>
              <w:spacing w:after="0"/>
            </w:pPr>
            <w:r>
              <w:rPr>
                <w:rFonts w:ascii="Calibri" w:cs="Calibri" w:eastAsia="Calibri" w:hAnsi="Calibri"/>
                <w:sz w:val="20"/>
                <w:szCs w:val="20"/>
              </w:rPr>
              <w:t xml:space="preserve">Unpopulated (gap is real)</w:t>
            </w:r>
          </w:p>
        </w:tc>
      </w:tr>
    </w:tbl>
    <w:p>
      <w:pPr>
        <w:pStyle w:val="Heading2"/>
        <w:keepNext/>
        <w:pBdr>
          <w:bottom w:val="single" w:color="1F3A5F" w:sz="6" w:space="1"/>
        </w:pBdr>
        <w:spacing w:after="70" w:before="160"/>
      </w:pPr>
      <w:r>
        <w:rPr>
          <w:rFonts w:ascii="Calibri" w:cs="Calibri" w:eastAsia="Calibri" w:hAnsi="Calibri"/>
          <w:b/>
          <w:bCs/>
          <w:color w:val="1F3A5F"/>
          <w:sz w:val="26"/>
          <w:szCs w:val="26"/>
        </w:rPr>
        <w:t xml:space="preserve">7. Hard questions for the deal owner</w:t>
      </w:r>
    </w:p>
    <w:p>
      <w:pPr>
        <w:pStyle w:val="ListParagraph"/>
        <w:numPr>
          <w:ilvl w:val="0"/>
          <w:numId w:val="2"/>
        </w:numPr>
        <w:spacing w:after="50"/>
      </w:pPr>
      <w:r>
        <w:rPr>
          <w:rFonts w:ascii="Calibri" w:cs="Calibri" w:eastAsia="Calibri" w:hAnsi="Calibri"/>
          <w:sz w:val="22"/>
          <w:szCs w:val="22"/>
        </w:rPr>
        <w:t xml:space="preserve">Mark Teller has not appeared in any call or email, and the CRM calls him "aligned." What buyer action supports that, and when will we speak with him directly?</w:t>
      </w:r>
    </w:p>
    <w:p>
      <w:pPr>
        <w:pStyle w:val="ListParagraph"/>
        <w:numPr>
          <w:ilvl w:val="0"/>
          <w:numId w:val="2"/>
        </w:numPr>
        <w:spacing w:after="50"/>
      </w:pPr>
      <w:r>
        <w:rPr>
          <w:rFonts w:ascii="Calibri" w:cs="Calibri" w:eastAsia="Calibri" w:hAnsi="Calibri"/>
          <w:sz w:val="22"/>
          <w:szCs w:val="22"/>
        </w:rPr>
        <w:t xml:space="preserve">Priya said on Sep 26 that next year's budget is not approved. Which budget funds $180,000, and when does finance decide?</w:t>
      </w:r>
    </w:p>
    <w:p>
      <w:pPr>
        <w:pStyle w:val="ListParagraph"/>
        <w:numPr>
          <w:ilvl w:val="0"/>
          <w:numId w:val="2"/>
        </w:numPr>
        <w:spacing w:after="50"/>
      </w:pPr>
      <w:r>
        <w:rPr>
          <w:rFonts w:ascii="Calibri" w:cs="Calibri" w:eastAsia="Calibri" w:hAnsi="Calibri"/>
          <w:sz w:val="22"/>
          <w:szCs w:val="22"/>
        </w:rPr>
        <w:t xml:space="preserve">The close date moved from Sep 30 to Oct 30 on Sep 28, after the buyer said she would not bet on end of October. Which buyer-side step on legal, security, IT, and CFO has a committed date?</w:t>
      </w:r>
    </w:p>
    <w:p>
      <w:pPr>
        <w:pStyle w:val="ListParagraph"/>
        <w:numPr>
          <w:ilvl w:val="0"/>
          <w:numId w:val="2"/>
        </w:numPr>
        <w:spacing w:after="50"/>
      </w:pPr>
      <w:r>
        <w:rPr>
          <w:rFonts w:ascii="Calibri" w:cs="Calibri" w:eastAsia="Calibri" w:hAnsi="Calibri"/>
          <w:sz w:val="22"/>
          <w:szCs w:val="22"/>
        </w:rPr>
        <w:t xml:space="preserve">The CRM says sole source. Sam Okoye named Gridline on Jul 22 and cited their one-page TMS sheet on Aug 5. Is there a reply to his four questions, and where does IT stand today?</w:t>
      </w:r>
    </w:p>
    <w:p>
      <w:pPr>
        <w:pStyle w:val="ListParagraph"/>
        <w:numPr>
          <w:ilvl w:val="0"/>
          <w:numId w:val="2"/>
        </w:numPr>
        <w:spacing w:after="50"/>
      </w:pPr>
      <w:r>
        <w:rPr>
          <w:rFonts w:ascii="Calibri" w:cs="Calibri" w:eastAsia="Calibri" w:hAnsi="Calibri"/>
          <w:sz w:val="22"/>
          <w:szCs w:val="22"/>
        </w:rPr>
        <w:t xml:space="preserve">The CRM Metrics field holds $1.2M. The only buyer figure is a guess of a few hundred thousand a year in total cost. Where does $1.2M come from, and what has finance confirmed?</w:t>
      </w:r>
    </w:p>
    <w:p>
      <w:pPr>
        <w:pStyle w:val="ListParagraph"/>
        <w:numPr>
          <w:ilvl w:val="0"/>
          <w:numId w:val="2"/>
        </w:numPr>
        <w:spacing w:after="50"/>
      </w:pPr>
      <w:r>
        <w:rPr>
          <w:rFonts w:ascii="Calibri" w:cs="Calibri" w:eastAsia="Calibri" w:hAnsi="Calibri"/>
          <w:sz w:val="22"/>
          <w:szCs w:val="22"/>
        </w:rPr>
        <w:t xml:space="preserve">There is no compelling event, and Priya expects Q1 if go-live misses the holiday peak. What is the cost to the buyer of waiting, and is a pre-peak go-live feasible with the connector unscoped?</w:t>
      </w:r>
    </w:p>
    <w:p>
      <w:pPr>
        <w:pStyle w:val="ListParagraph"/>
        <w:numPr>
          <w:ilvl w:val="0"/>
          <w:numId w:val="2"/>
        </w:numPr>
        <w:spacing w:after="50"/>
      </w:pPr>
      <w:r>
        <w:rPr>
          <w:rFonts w:ascii="Calibri" w:cs="Calibri" w:eastAsia="Calibri" w:hAnsi="Calibri"/>
          <w:sz w:val="22"/>
          <w:szCs w:val="22"/>
        </w:rPr>
        <w:t xml:space="preserve">Priya deferred the CFO introduction on Aug 19 and Sep 12. If she cannot deliver it, who else can? Would the deal survive if she left tomorrow?</w:t>
      </w:r>
    </w:p>
    <w:p>
      <w:pPr>
        <w:pStyle w:val="ListParagraph"/>
        <w:numPr>
          <w:ilvl w:val="0"/>
          <w:numId w:val="2"/>
        </w:numPr>
        <w:spacing w:after="50"/>
      </w:pPr>
      <w:r>
        <w:rPr>
          <w:rFonts w:ascii="Calibri" w:cs="Calibri" w:eastAsia="Calibri" w:hAnsi="Calibri"/>
          <w:sz w:val="22"/>
          <w:szCs w:val="22"/>
        </w:rPr>
        <w:t xml:space="preserve">Priya planned to forward the MSA to legal on Oct 5. Is there evidence it went, and who owns the procurement security review?</w:t>
      </w:r>
    </w:p>
    <w:p>
      <w:pPr>
        <w:pStyle w:val="Heading2"/>
        <w:keepNext/>
        <w:pBdr>
          <w:bottom w:val="single" w:color="1F3A5F" w:sz="6" w:space="1"/>
        </w:pBdr>
        <w:spacing w:after="70" w:before="160"/>
      </w:pPr>
      <w:r>
        <w:rPr>
          <w:rFonts w:ascii="Calibri" w:cs="Calibri" w:eastAsia="Calibri" w:hAnsi="Calibri"/>
          <w:b/>
          <w:bCs/>
          <w:color w:val="1F3A5F"/>
          <w:sz w:val="26"/>
          <w:szCs w:val="26"/>
        </w:rPr>
        <w:t xml:space="preserve">8. Next steps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300"/>
        <w:gridCol w:w="2080"/>
        <w:gridCol w:w="1700"/>
      </w:tblGrid>
      <w:tr>
        <w:trPr>
          <w:cantSplit/>
          <w:tblHeader/>
        </w:trPr>
        <w:tc>
          <w:tcPr>
            <w:tcW w:type="dxa" w:w="6300"/>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spacing w:after="0"/>
            </w:pPr>
            <w:r>
              <w:rPr>
                <w:rFonts w:ascii="Calibri" w:cs="Calibri" w:eastAsia="Calibri" w:hAnsi="Calibri"/>
                <w:b/>
                <w:bCs/>
                <w:sz w:val="20"/>
                <w:szCs w:val="20"/>
              </w:rPr>
              <w:t xml:space="preserve">Action</w:t>
            </w:r>
          </w:p>
        </w:tc>
        <w:tc>
          <w:tcPr>
            <w:tcW w:type="dxa" w:w="2080"/>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spacing w:after="0"/>
            </w:pPr>
            <w:r>
              <w:rPr>
                <w:rFonts w:ascii="Calibri" w:cs="Calibri" w:eastAsia="Calibri" w:hAnsi="Calibri"/>
                <w:b/>
                <w:bCs/>
                <w:sz w:val="20"/>
                <w:szCs w:val="20"/>
              </w:rPr>
              <w:t xml:space="preserve">Owner</w:t>
            </w:r>
          </w:p>
        </w:tc>
        <w:tc>
          <w:tcPr>
            <w:tcW w:type="dxa" w:w="1700"/>
            <w:tcBorders>
              <w:top w:val="single" w:color="A6A6A6" w:sz="4"/>
              <w:left w:val="single" w:color="A6A6A6" w:sz="4"/>
              <w:bottom w:val="single" w:color="A6A6A6" w:sz="4"/>
              <w:right w:val="single" w:color="A6A6A6" w:sz="4"/>
            </w:tcBorders>
            <w:shd w:fill="DCE6F1" w:color="auto" w:val="clear"/>
            <w:tcMar>
              <w:top w:type="dxa" w:w="40"/>
              <w:left w:type="dxa" w:w="80"/>
              <w:bottom w:type="dxa" w:w="40"/>
              <w:right w:type="dxa" w:w="80"/>
            </w:tcMar>
          </w:tcPr>
          <w:p>
            <w:pPr>
              <w:spacing w:after="0"/>
            </w:pPr>
            <w:r>
              <w:rPr>
                <w:rFonts w:ascii="Calibri" w:cs="Calibri" w:eastAsia="Calibri" w:hAnsi="Calibri"/>
                <w:b/>
                <w:bCs/>
                <w:sz w:val="20"/>
                <w:szCs w:val="20"/>
              </w:rPr>
              <w:t xml:space="preserve">Due</w:t>
            </w:r>
          </w:p>
        </w:tc>
      </w:tr>
      <w:tr>
        <w:trPr>
          <w:cantSplit/>
        </w:trPr>
        <w:tc>
          <w:tcPr>
            <w:tcW w:type="dxa" w:w="63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Send Sam Okoye the TMS integration answers he listed Aug 5: objects read and written, where the connector runs, build and maintenance hours, authentication</w:t>
            </w:r>
          </w:p>
        </w:tc>
        <w:tc>
          <w:tcPr>
            <w:tcW w:type="dxa" w:w="208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Jordan Ellis</w:t>
            </w:r>
          </w:p>
        </w:tc>
        <w:tc>
          <w:tcPr>
            <w:tcW w:type="dxa" w:w="1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Fri Oct 9</w:t>
            </w:r>
          </w:p>
        </w:tc>
      </w:tr>
      <w:tr>
        <w:trPr>
          <w:cantSplit/>
        </w:trPr>
        <w:tc>
          <w:tcPr>
            <w:tcW w:type="dxa" w:w="63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Confirm with Priya whether the MSA reached legal on Oct 5, and get the named owner of the procurement security review</w:t>
            </w:r>
          </w:p>
        </w:tc>
        <w:tc>
          <w:tcPr>
            <w:tcW w:type="dxa" w:w="208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Jordan Ellis</w:t>
            </w:r>
          </w:p>
        </w:tc>
        <w:tc>
          <w:tcPr>
            <w:tcW w:type="dxa" w:w="1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Fri Oct 9</w:t>
            </w:r>
          </w:p>
        </w:tc>
      </w:tr>
      <w:tr>
        <w:trPr>
          <w:cantSplit/>
        </w:trPr>
        <w:tc>
          <w:tcPr>
            <w:tcW w:type="dxa" w:w="63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Champion test: Priya puts a 20-minute slot with Mark Teller on his calendar</w:t>
            </w:r>
          </w:p>
        </w:tc>
        <w:tc>
          <w:tcPr>
            <w:tcW w:type="dxa" w:w="208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Priya Raman, asked by Jordan Ellis</w:t>
            </w:r>
          </w:p>
        </w:tc>
        <w:tc>
          <w:tcPr>
            <w:tcW w:type="dxa" w:w="1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Wed Oct 14</w:t>
            </w:r>
          </w:p>
        </w:tc>
      </w:tr>
      <w:tr>
        <w:trPr>
          <w:cantSplit/>
        </w:trPr>
        <w:tc>
          <w:tcPr>
            <w:tcW w:type="dxa" w:w="63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Hold a 30-minute call with Sam Okoye on the integration document and Gridline status</w:t>
            </w:r>
          </w:p>
        </w:tc>
        <w:tc>
          <w:tcPr>
            <w:tcW w:type="dxa" w:w="208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Jordan Ellis</w:t>
            </w:r>
          </w:p>
        </w:tc>
        <w:tc>
          <w:tcPr>
            <w:tcW w:type="dxa" w:w="1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Fri Oct 16</w:t>
            </w:r>
          </w:p>
        </w:tc>
      </w:tr>
      <w:tr>
        <w:trPr>
          <w:cantSplit/>
        </w:trPr>
        <w:tc>
          <w:tcPr>
            <w:tcW w:type="dxa" w:w="63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Get the finance-confirmed annual cost figure and the date next year's budget is decided</w:t>
            </w:r>
          </w:p>
        </w:tc>
        <w:tc>
          <w:tcPr>
            <w:tcW w:type="dxa" w:w="208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Jordan Ellis, with Priya Raman</w:t>
            </w:r>
          </w:p>
        </w:tc>
        <w:tc>
          <w:tcPr>
            <w:tcW w:type="dxa" w:w="1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Fri Oct 16</w:t>
            </w:r>
          </w:p>
        </w:tc>
      </w:tr>
      <w:tr>
        <w:trPr>
          <w:cantSplit/>
        </w:trPr>
        <w:tc>
          <w:tcPr>
            <w:tcW w:type="dxa" w:w="63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Review the close date and forecast category against this brief (recommended: Pipeline). If both change, hand the exact field changes to the CRM deal updater</w:t>
            </w:r>
          </w:p>
        </w:tc>
        <w:tc>
          <w:tcPr>
            <w:tcW w:type="dxa" w:w="208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Review group</w:t>
            </w:r>
          </w:p>
        </w:tc>
        <w:tc>
          <w:tcPr>
            <w:tcW w:type="dxa" w:w="1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Fri Oct 9</w:t>
            </w:r>
          </w:p>
        </w:tc>
      </w:tr>
      <w:tr>
        <w:trPr>
          <w:cantSplit/>
        </w:trPr>
        <w:tc>
          <w:tcPr>
            <w:tcW w:type="dxa" w:w="63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Downgrade checkpoint: if no CFO slot is set and IT has not replied, treat the Oct 30 date as lapsed</w:t>
            </w:r>
          </w:p>
        </w:tc>
        <w:tc>
          <w:tcPr>
            <w:tcW w:type="dxa" w:w="208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Review group</w:t>
            </w:r>
          </w:p>
        </w:tc>
        <w:tc>
          <w:tcPr>
            <w:tcW w:type="dxa" w:w="1700"/>
            <w:tcBorders>
              <w:top w:val="single" w:color="A6A6A6" w:sz="4"/>
              <w:left w:val="single" w:color="A6A6A6" w:sz="4"/>
              <w:bottom w:val="single" w:color="A6A6A6" w:sz="4"/>
              <w:right w:val="single" w:color="A6A6A6" w:sz="4"/>
            </w:tcBorders>
            <w:tcMar>
              <w:top w:type="dxa" w:w="40"/>
              <w:left w:type="dxa" w:w="80"/>
              <w:bottom w:type="dxa" w:w="40"/>
              <w:right w:type="dxa" w:w="80"/>
            </w:tcMar>
          </w:tcPr>
          <w:p>
            <w:pPr>
              <w:spacing w:after="0"/>
            </w:pPr>
            <w:r>
              <w:rPr>
                <w:rFonts w:ascii="Calibri" w:cs="Calibri" w:eastAsia="Calibri" w:hAnsi="Calibri"/>
                <w:sz w:val="20"/>
                <w:szCs w:val="20"/>
              </w:rPr>
              <w:t xml:space="preserve">Mon Oct 19</w:t>
            </w:r>
          </w:p>
        </w:tc>
      </w:tr>
    </w:tbl>
    <w:p>
      <w:pPr>
        <w:pStyle w:val="Heading2"/>
        <w:keepNext/>
        <w:pBdr>
          <w:bottom w:val="single" w:color="1F3A5F" w:sz="6" w:space="1"/>
        </w:pBdr>
        <w:spacing w:after="70" w:before="160"/>
      </w:pPr>
      <w:r>
        <w:rPr>
          <w:rFonts w:ascii="Calibri" w:cs="Calibri" w:eastAsia="Calibri" w:hAnsi="Calibri"/>
          <w:b/>
          <w:bCs/>
          <w:color w:val="1F3A5F"/>
          <w:sz w:val="26"/>
          <w:szCs w:val="26"/>
        </w:rPr>
        <w:t xml:space="preserve">9. Sources</w:t>
      </w:r>
    </w:p>
    <w:p>
      <w:pPr>
        <w:spacing w:after="80" w:before="0"/>
      </w:pPr>
      <w:r>
        <w:rPr>
          <w:rFonts w:ascii="Calibri" w:cs="Calibri" w:eastAsia="Calibri" w:hAnsi="Calibri"/>
          <w:b/>
          <w:bCs/>
          <w:sz w:val="22"/>
          <w:szCs w:val="22"/>
        </w:rPr>
        <w:t xml:space="preserve">Used:</w:t>
      </w:r>
      <w:r>
        <w:rPr>
          <w:rFonts w:ascii="Calibri" w:cs="Calibri" w:eastAsia="Calibri" w:hAnsi="Calibri"/>
          <w:sz w:val="22"/>
          <w:szCs w:val="22"/>
        </w:rPr>
        <w:t xml:space="preserve"> HubSpot deal export dated Oct 7, 2026 (pasted file, no live connector); call transcripts Jun 10, Jul 22, Sep 26 (full transcripts); email threads Aug 5, Aug 19, Sep 12, Oct 2. Window: Jun 2 to Oct 7, 2026. </w:t>
      </w:r>
      <w:r>
        <w:rPr>
          <w:rFonts w:ascii="Calibri" w:cs="Calibri" w:eastAsia="Calibri" w:hAnsi="Calibri"/>
          <w:b/>
          <w:bCs/>
          <w:sz w:val="22"/>
          <w:szCs w:val="22"/>
        </w:rPr>
        <w:t xml:space="preserve">Not checked or not available:</w:t>
      </w:r>
      <w:r>
        <w:rPr>
          <w:rFonts w:ascii="Calibri" w:cs="Calibri" w:eastAsia="Calibri" w:hAnsi="Calibri"/>
          <w:sz w:val="22"/>
          <w:szCs w:val="22"/>
        </w:rPr>
        <w:t xml:space="preserve"> unified-communication and Gong (not set up), any mailbox other than the one behind these threads, the proposal, MSA, one-pager, and security package contents, any reply from Sam Okoye after Aug 5, stage exit criteria, and company forecast definitions. An empty result from these is a limit on the record, not a finding about the deal.</w:t>
      </w:r>
    </w:p>
    <w:sectPr>
      <w:footerReference w:type="default" r:id="rId7"/>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0"/>
        <w:szCs w:val="20"/>
      </w:rPr>
      <w:t xml:space="preserve">Tessellate Foods deal review, Oct 7, 2026. Page </w:t>
    </w:r>
    <w:r>
      <w:rPr>
        <w:rFonts w:ascii="Calibri" w:cs="Calibri" w:eastAsia="Calibri" w:hAnsi="Calibri"/>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outlineLvl w:val="1"/>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2026-10-08T18:59:16.294Z</dcterms:created>
  <dcterms:modified xsi:type="dcterms:W3CDTF">2026-10-08T18:59:16.294Z</dcterms:modified>
</cp:coreProperties>
</file>

<file path=docProps/custom.xml><?xml version="1.0" encoding="utf-8"?>
<Properties xmlns="http://schemas.openxmlformats.org/officeDocument/2006/custom-properties" xmlns:vt="http://schemas.openxmlformats.org/officeDocument/2006/docPropsVTypes"/>
</file>