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Business Review — Executive Summary</w:t>
      </w:r>
    </w:p>
    <w:p>
      <w:pPr>
        <w:pStyle w:val="Heading1"/>
      </w:pPr>
      <w:r>
        <w:t>Executive Summary</w:t>
      </w:r>
    </w:p>
    <w:p>
      <w:r>
        <w:t>Acme Retail delivered a strong first quarter. The South region led performance, exceeding its Q1 revenue target by 5%, while Enterprise customer retention across regions remained above 90%.</w:t>
      </w:r>
    </w:p>
    <w:p>
      <w:pPr>
        <w:pStyle w:val="Heading1"/>
      </w:pPr>
      <w:r>
        <w:t>Regional Highlights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Q1 Revenue</w:t>
            </w:r>
          </w:p>
        </w:tc>
        <w:tc>
          <w:tcPr>
            <w:tcW w:type="dxa" w:w="2160"/>
          </w:tcPr>
          <w:p>
            <w:r>
              <w:t>Q1 Target</w:t>
            </w:r>
          </w:p>
        </w:tc>
        <w:tc>
          <w:tcPr>
            <w:tcW w:type="dxa" w:w="2160"/>
          </w:tcPr>
          <w:p>
            <w:r>
              <w:t>Attainment</w:t>
            </w:r>
          </w:p>
        </w:tc>
      </w:tr>
      <w:tr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3800000</w:t>
            </w:r>
          </w:p>
        </w:tc>
        <w:tc>
          <w:tcPr>
            <w:tcW w:type="dxa" w:w="2160"/>
          </w:tcPr>
          <w:p>
            <w:r>
              <w:t>4000000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4200000</w:t>
            </w:r>
          </w:p>
        </w:tc>
        <w:tc>
          <w:tcPr>
            <w:tcW w:type="dxa" w:w="2160"/>
          </w:tcPr>
          <w:p>
            <w:r>
              <w:t>4000000</w:t>
            </w:r>
          </w:p>
        </w:tc>
        <w:tc>
          <w:tcPr>
            <w:tcW w:type="dxa" w:w="2160"/>
          </w:tcPr>
          <w:p>
            <w:r>
              <w:t>105%</w:t>
            </w:r>
          </w:p>
        </w:tc>
      </w:tr>
      <w:tr>
        <w:tc>
          <w:tcPr>
            <w:tcW w:type="dxa" w:w="2160"/>
          </w:tcPr>
          <w:p>
            <w:r>
              <w:t>East</w:t>
            </w:r>
          </w:p>
        </w:tc>
        <w:tc>
          <w:tcPr>
            <w:tcW w:type="dxa" w:w="2160"/>
          </w:tcPr>
          <w:p>
            <w:r>
              <w:t>3100000</w:t>
            </w:r>
          </w:p>
        </w:tc>
        <w:tc>
          <w:tcPr>
            <w:tcW w:type="dxa" w:w="2160"/>
          </w:tcPr>
          <w:p>
            <w:r>
              <w:t>3500000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