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t>
      </w:r>
    </w:p>
    <w:p>
      <w:pPr>
        <w:spacing w:after="600"/>
        <w:jc w:val="left"/>
      </w:pPr>
      <w:r>
        <w:rPr>
          <w:b/>
          <w:bCs/>
          <w:color w:val="1F1B17"/>
          <w:sz w:val="96"/>
          <w:szCs w:val="96"/>
          <w:rFonts w:ascii="Georgia" w:cs="Georgia" w:eastAsia="Georgia" w:hAnsi="Georgia"/>
        </w:rPr>
        <w:t xml:space="preserve">OpsLix.</w:t>
      </w:r>
    </w:p>
    <w:p>
      <w:pPr>
        <w:spacing w:after="240"/>
      </w:pPr>
      <w:r>
        <w:rPr>
          <w:b/>
          <w:bCs/>
          <w:color w:val="C6583E"/>
          <w:sz w:val="22"/>
          <w:szCs w:val="22"/>
          <w:rFonts w:ascii="Arial" w:cs="Arial" w:eastAsia="Arial" w:hAnsi="Arial"/>
        </w:rPr>
        <w:t xml:space="preserve">TECHNICAL ARCHITECTURE DOCUMENT</w:t>
      </w:r>
    </w:p>
    <w:p>
      <w:pPr>
        <w:spacing w:after="360"/>
      </w:pPr>
      <w:r>
        <w:rPr>
          <w:b/>
          <w:bCs/>
          <w:color w:val="1F1B17"/>
          <w:sz w:val="56"/>
          <w:szCs w:val="56"/>
          <w:rFonts w:ascii="Georgia" w:cs="Georgia" w:eastAsia="Georgia" w:hAnsi="Georgia"/>
        </w:rPr>
        <w:t xml:space="preserve">Building a multi-workspace operations platform for industrial enterprises.</w:t>
      </w:r>
    </w:p>
    <w:p>
      <w:pPr>
        <w:spacing w:after="1200"/>
      </w:pPr>
      <w:r>
        <w:rPr>
          <w:i/>
          <w:iCs/>
          <w:color w:val="6B6661"/>
          <w:sz w:val="26"/>
          <w:szCs w:val="26"/>
          <w:rFonts w:ascii="Arial" w:cs="Arial" w:eastAsia="Arial" w:hAnsi="Arial"/>
        </w:rPr>
        <w:t xml:space="preserve">A complete technical reference covering system architecture, multi-tenancy, security, deployment models, and the engineering principles behind OpsLix.</w:t>
      </w:r>
    </w:p>
    <w:p>
      <w:r>
        <w:rPr>
          <w:b/>
          <w:bCs/>
          <w:color w:val="C6583E"/>
          <w:sz w:val="18"/>
          <w:szCs w:val="18"/>
          <w:rFonts w:ascii="Arial" w:cs="Arial" w:eastAsia="Arial" w:hAnsi="Arial"/>
        </w:rPr>
        <w:t xml:space="preserve">VERSION  </w:t>
      </w:r>
      <w:r>
        <w:rPr>
          <w:color w:val="1F1B17"/>
          <w:sz w:val="22"/>
          <w:szCs w:val="22"/>
          <w:rFonts w:ascii="Arial" w:cs="Arial" w:eastAsia="Arial" w:hAnsi="Arial"/>
        </w:rPr>
        <w:t xml:space="preserve">1.0		</w:t>
      </w:r>
      <w:r>
        <w:rPr>
          <w:b/>
          <w:bCs/>
          <w:color w:val="C6583E"/>
          <w:sz w:val="18"/>
          <w:szCs w:val="18"/>
          <w:rFonts w:ascii="Arial" w:cs="Arial" w:eastAsia="Arial" w:hAnsi="Arial"/>
        </w:rPr>
        <w:t xml:space="preserve">DATE  </w:t>
      </w:r>
      <w:r>
        <w:rPr>
          <w:color w:val="1F1B17"/>
          <w:sz w:val="22"/>
          <w:szCs w:val="22"/>
          <w:rFonts w:ascii="Arial" w:cs="Arial" w:eastAsia="Arial" w:hAnsi="Arial"/>
        </w:rPr>
        <w:t xml:space="preserve">April 26, 2026		</w:t>
      </w:r>
      <w:r>
        <w:rPr>
          <w:b/>
          <w:bCs/>
          <w:color w:val="C6583E"/>
          <w:sz w:val="18"/>
          <w:szCs w:val="18"/>
          <w:rFonts w:ascii="Arial" w:cs="Arial" w:eastAsia="Arial" w:hAnsi="Arial"/>
        </w:rPr>
        <w:t xml:space="preserve">AUTHOR  </w:t>
      </w:r>
      <w:r>
        <w:rPr>
          <w:color w:val="1F1B17"/>
          <w:sz w:val="22"/>
          <w:szCs w:val="22"/>
          <w:rFonts w:ascii="Arial" w:cs="Arial" w:eastAsia="Arial" w:hAnsi="Arial"/>
        </w:rPr>
        <w:t xml:space="preserve">Dhanesh CK		</w:t>
      </w:r>
      <w:r>
        <w:rPr>
          <w:b/>
          <w:bCs/>
          <w:color w:val="C6583E"/>
          <w:sz w:val="18"/>
          <w:szCs w:val="18"/>
          <w:rFonts w:ascii="Arial" w:cs="Arial" w:eastAsia="Arial" w:hAnsi="Arial"/>
        </w:rPr>
        <w:t xml:space="preserve">STATUS  </w:t>
      </w:r>
      <w:r>
        <w:rPr>
          <w:color w:val="1F1B17"/>
          <w:sz w:val="22"/>
          <w:szCs w:val="22"/>
          <w:rFonts w:ascii="Arial" w:cs="Arial" w:eastAsia="Arial" w:hAnsi="Arial"/>
        </w:rPr>
        <w:t xml:space="preserve">Confidential</w:t>
      </w:r>
    </w:p>
    <w:p>
      <w:r>
        <w:br w:type="page"/>
      </w:r>
    </w:p>
    <w:p>
      <w:pPr>
        <w:spacing w:after="360"/>
      </w:pPr>
      <w:r>
        <w:rPr>
          <w:b/>
          <w:bCs/>
          <w:color w:val="1F1B17"/>
          <w:sz w:val="56"/>
          <w:szCs w:val="56"/>
          <w:rFonts w:ascii="Georgia" w:cs="Georgia" w:eastAsia="Georgia" w:hAnsi="Georgia"/>
        </w:rPr>
        <w:t xml:space="preserve">Contents</w:t>
      </w:r>
    </w:p>
    <w:p>
      <w:pPr>
        <w:spacing w:after="120"/>
      </w:pPr>
      <w:r>
        <w:rPr>
          <w:color w:val="1F1B17"/>
          <w:sz w:val="22"/>
          <w:szCs w:val="22"/>
          <w:rFonts w:ascii="Arial" w:cs="Arial" w:eastAsia="Arial" w:hAnsi="Arial"/>
        </w:rPr>
        <w:t xml:space="preserve">01.  Executive Summary</w:t>
      </w:r>
    </w:p>
    <w:p>
      <w:pPr>
        <w:spacing w:after="120"/>
      </w:pPr>
      <w:r>
        <w:rPr>
          <w:color w:val="1F1B17"/>
          <w:sz w:val="22"/>
          <w:szCs w:val="22"/>
          <w:rFonts w:ascii="Arial" w:cs="Arial" w:eastAsia="Arial" w:hAnsi="Arial"/>
        </w:rPr>
        <w:t xml:space="preserve">02.  Platform Overview</w:t>
      </w:r>
    </w:p>
    <w:p>
      <w:pPr>
        <w:spacing w:after="120"/>
      </w:pPr>
      <w:r>
        <w:rPr>
          <w:color w:val="1F1B17"/>
          <w:sz w:val="22"/>
          <w:szCs w:val="22"/>
          <w:rFonts w:ascii="Arial" w:cs="Arial" w:eastAsia="Arial" w:hAnsi="Arial"/>
        </w:rPr>
        <w:t xml:space="preserve">03.  High-Level System Architecture</w:t>
      </w:r>
    </w:p>
    <w:p>
      <w:pPr>
        <w:spacing w:after="120"/>
      </w:pPr>
      <w:r>
        <w:rPr>
          <w:color w:val="1F1B17"/>
          <w:sz w:val="22"/>
          <w:szCs w:val="22"/>
          <w:rFonts w:ascii="Arial" w:cs="Arial" w:eastAsia="Arial" w:hAnsi="Arial"/>
        </w:rPr>
        <w:t xml:space="preserve">04.  Technology Stack</w:t>
      </w:r>
    </w:p>
    <w:p>
      <w:pPr>
        <w:spacing w:after="120"/>
      </w:pPr>
      <w:r>
        <w:rPr>
          <w:color w:val="1F1B17"/>
          <w:sz w:val="22"/>
          <w:szCs w:val="22"/>
          <w:rFonts w:ascii="Arial" w:cs="Arial" w:eastAsia="Arial" w:hAnsi="Arial"/>
        </w:rPr>
        <w:t xml:space="preserve">05.  Multi-Tenancy Strategy</w:t>
      </w:r>
    </w:p>
    <w:p>
      <w:pPr>
        <w:spacing w:after="120"/>
      </w:pPr>
      <w:r>
        <w:rPr>
          <w:color w:val="1F1B17"/>
          <w:sz w:val="22"/>
          <w:szCs w:val="22"/>
          <w:rFonts w:ascii="Arial" w:cs="Arial" w:eastAsia="Arial" w:hAnsi="Arial"/>
        </w:rPr>
        <w:t xml:space="preserve">06.  Database Architecture</w:t>
      </w:r>
    </w:p>
    <w:p>
      <w:pPr>
        <w:spacing w:after="120"/>
      </w:pPr>
      <w:r>
        <w:rPr>
          <w:color w:val="1F1B17"/>
          <w:sz w:val="22"/>
          <w:szCs w:val="22"/>
          <w:rFonts w:ascii="Arial" w:cs="Arial" w:eastAsia="Arial" w:hAnsi="Arial"/>
        </w:rPr>
        <w:t xml:space="preserve">07.  Security Architecture</w:t>
      </w:r>
    </w:p>
    <w:p>
      <w:pPr>
        <w:spacing w:after="120"/>
      </w:pPr>
      <w:r>
        <w:rPr>
          <w:color w:val="1F1B17"/>
          <w:sz w:val="22"/>
          <w:szCs w:val="22"/>
          <w:rFonts w:ascii="Arial" w:cs="Arial" w:eastAsia="Arial" w:hAnsi="Arial"/>
        </w:rPr>
        <w:t xml:space="preserve">08.  Authentication &amp; Session Flow</w:t>
      </w:r>
    </w:p>
    <w:p>
      <w:pPr>
        <w:spacing w:after="120"/>
      </w:pPr>
      <w:r>
        <w:rPr>
          <w:color w:val="1F1B17"/>
          <w:sz w:val="22"/>
          <w:szCs w:val="22"/>
          <w:rFonts w:ascii="Arial" w:cs="Arial" w:eastAsia="Arial" w:hAnsi="Arial"/>
        </w:rPr>
        <w:t xml:space="preserve">09.  Deployment Models</w:t>
      </w:r>
    </w:p>
    <w:p>
      <w:pPr>
        <w:spacing w:after="120"/>
      </w:pPr>
      <w:r>
        <w:rPr>
          <w:color w:val="1F1B17"/>
          <w:sz w:val="22"/>
          <w:szCs w:val="22"/>
          <w:rFonts w:ascii="Arial" w:cs="Arial" w:eastAsia="Arial" w:hAnsi="Arial"/>
        </w:rPr>
        <w:t xml:space="preserve">10.  API Architecture</w:t>
      </w:r>
    </w:p>
    <w:p>
      <w:pPr>
        <w:spacing w:after="120"/>
      </w:pPr>
      <w:r>
        <w:rPr>
          <w:color w:val="1F1B17"/>
          <w:sz w:val="22"/>
          <w:szCs w:val="22"/>
          <w:rFonts w:ascii="Arial" w:cs="Arial" w:eastAsia="Arial" w:hAnsi="Arial"/>
        </w:rPr>
        <w:t xml:space="preserve">11.  Compliance &amp; Privacy</w:t>
      </w:r>
    </w:p>
    <w:p>
      <w:pPr>
        <w:spacing w:after="120"/>
      </w:pPr>
      <w:r>
        <w:rPr>
          <w:color w:val="1F1B17"/>
          <w:sz w:val="22"/>
          <w:szCs w:val="22"/>
          <w:rFonts w:ascii="Arial" w:cs="Arial" w:eastAsia="Arial" w:hAnsi="Arial"/>
        </w:rPr>
        <w:t xml:space="preserve">12.  Scalability &amp; Performance</w:t>
      </w:r>
    </w:p>
    <w:p>
      <w:pPr>
        <w:spacing w:after="120"/>
      </w:pPr>
      <w:r>
        <w:rPr>
          <w:color w:val="1F1B17"/>
          <w:sz w:val="22"/>
          <w:szCs w:val="22"/>
          <w:rFonts w:ascii="Arial" w:cs="Arial" w:eastAsia="Arial" w:hAnsi="Arial"/>
        </w:rPr>
        <w:t xml:space="preserve">13.  Backup &amp; Disaster Recovery</w:t>
      </w:r>
    </w:p>
    <w:p>
      <w:pPr>
        <w:spacing w:after="120"/>
      </w:pPr>
      <w:r>
        <w:rPr>
          <w:color w:val="1F1B17"/>
          <w:sz w:val="22"/>
          <w:szCs w:val="22"/>
          <w:rFonts w:ascii="Arial" w:cs="Arial" w:eastAsia="Arial" w:hAnsi="Arial"/>
        </w:rPr>
        <w:t xml:space="preserve">14.  Monitoring &amp; Observability</w:t>
      </w:r>
    </w:p>
    <w:p>
      <w:pPr>
        <w:spacing w:after="120"/>
      </w:pPr>
      <w:r>
        <w:rPr>
          <w:color w:val="1F1B17"/>
          <w:sz w:val="22"/>
          <w:szCs w:val="22"/>
          <w:rFonts w:ascii="Arial" w:cs="Arial" w:eastAsia="Arial" w:hAnsi="Arial"/>
        </w:rPr>
        <w:t xml:space="preserve">15.  Development Lifecycle</w:t>
      </w:r>
    </w:p>
    <w:p>
      <w:pPr>
        <w:spacing w:after="120"/>
      </w:pPr>
      <w:r>
        <w:rPr>
          <w:color w:val="1F1B17"/>
          <w:sz w:val="22"/>
          <w:szCs w:val="22"/>
          <w:rFonts w:ascii="Arial" w:cs="Arial" w:eastAsia="Arial" w:hAnsi="Arial"/>
        </w:rPr>
        <w:t xml:space="preserve">16.  Roadmap</w:t>
      </w:r>
    </w:p>
    <w:p>
      <w:r>
        <w:br w:type="page"/>
      </w:r>
    </w:p>
    <w:p>
      <w:pPr>
        <w:spacing w:before="480" w:after="80"/>
      </w:pPr>
      <w:r>
        <w:rPr>
          <w:b/>
          <w:bCs/>
          <w:color w:val="C6583E"/>
          <w:sz w:val="20"/>
          <w:szCs w:val="20"/>
          <w:rFonts w:ascii="Arial" w:cs="Arial" w:eastAsia="Arial" w:hAnsi="Arial"/>
        </w:rPr>
        <w:t xml:space="preserve">SECTION 01</w:t>
      </w:r>
    </w:p>
    <w:p>
      <w:pPr>
        <w:spacing w:after="240"/>
      </w:pPr>
      <w:r>
        <w:rPr>
          <w:b/>
          <w:bCs/>
          <w:color w:val="1F1B17"/>
          <w:sz w:val="44"/>
          <w:szCs w:val="44"/>
          <w:rFonts w:ascii="Georgia" w:cs="Georgia" w:eastAsia="Georgia" w:hAnsi="Georgia"/>
        </w:rPr>
        <w:t xml:space="preserve">Executive Summary</w:t>
      </w:r>
    </w:p>
    <w:p>
      <w:pPr>
        <w:spacing w:after="120"/>
        <w:jc w:val="both"/>
      </w:pPr>
      <w:r>
        <w:rPr>
          <w:color w:val="1F1B17"/>
          <w:sz w:val="22"/>
          <w:szCs w:val="22"/>
          <w:rFonts w:ascii="Arial" w:cs="Arial" w:eastAsia="Arial" w:hAnsi="Arial"/>
        </w:rPr>
        <w:t xml:space="preserve">OpsLix is a multi-workspace operations platform serving industrial enterprises across </w:t>
      </w:r>
      <w:r>
        <w:rPr>
          <w:b/>
          <w:bCs/>
          <w:color w:val="1F1B17"/>
          <w:sz w:val="22"/>
          <w:szCs w:val="22"/>
          <w:rFonts w:ascii="Arial" w:cs="Arial" w:eastAsia="Arial" w:hAnsi="Arial"/>
        </w:rPr>
        <w:t xml:space="preserve">Health-Safety-Environment (HSE)</w:t>
      </w:r>
      <w:r>
        <w:rPr>
          <w:color w:val="1F1B17"/>
          <w:sz w:val="22"/>
          <w:szCs w:val="22"/>
          <w:rFonts w:ascii="Arial" w:cs="Arial" w:eastAsia="Arial" w:hAnsi="Arial"/>
        </w:rPr>
        <w:t xml:space="preserve">, </w:t>
      </w:r>
      <w:r>
        <w:rPr>
          <w:b/>
          <w:bCs/>
          <w:color w:val="1F1B17"/>
          <w:sz w:val="22"/>
          <w:szCs w:val="22"/>
          <w:rFonts w:ascii="Arial" w:cs="Arial" w:eastAsia="Arial" w:hAnsi="Arial"/>
        </w:rPr>
        <w:t xml:space="preserve">Human Resource Management (HRM)</w:t>
      </w:r>
      <w:r>
        <w:rPr>
          <w:color w:val="1F1B17"/>
          <w:sz w:val="22"/>
          <w:szCs w:val="22"/>
          <w:rFonts w:ascii="Arial" w:cs="Arial" w:eastAsia="Arial" w:hAnsi="Arial"/>
        </w:rPr>
        <w:t xml:space="preserve">, and </w:t>
      </w:r>
      <w:r>
        <w:rPr>
          <w:b/>
          <w:bCs/>
          <w:color w:val="1F1B17"/>
          <w:sz w:val="22"/>
          <w:szCs w:val="22"/>
          <w:rFonts w:ascii="Arial" w:cs="Arial" w:eastAsia="Arial" w:hAnsi="Arial"/>
        </w:rPr>
        <w:t xml:space="preserve">Field Operations</w:t>
      </w:r>
      <w:r>
        <w:rPr>
          <w:color w:val="1F1B17"/>
          <w:sz w:val="22"/>
          <w:szCs w:val="22"/>
          <w:rFonts w:ascii="Arial" w:cs="Arial" w:eastAsia="Arial" w:hAnsi="Arial"/>
        </w:rPr>
        <w:t xml:space="preserve">. Customers access three distinct functional domains through one platform, one login, and one audit trail.</w:t>
      </w:r>
    </w:p>
    <w:p>
      <w:pPr>
        <w:spacing w:after="120"/>
        <w:jc w:val="both"/>
      </w:pPr>
      <w:r>
        <w:rPr>
          <w:color w:val="1F1B17"/>
          <w:sz w:val="22"/>
          <w:szCs w:val="22"/>
          <w:rFonts w:ascii="Arial" w:cs="Arial" w:eastAsia="Arial" w:hAnsi="Arial"/>
        </w:rPr>
        <w:t xml:space="preserve">The platform is built on a modern serverless-first architecture: a static frontend on Cloudflare Pages, a NestJS backend on Render, and a serverless PostgreSQL database on Neon. ISO 45001:2018 and ISO 14001:2015 alignment is built into the data model.</w:t>
      </w:r>
    </w:p>
    <w:p>
      <w:pPr>
        <w:spacing w:after="120"/>
        <w:jc w:val="both"/>
      </w:pPr>
      <w:r>
        <w:rPr>
          <w:color w:val="1F1B17"/>
          <w:sz w:val="22"/>
          <w:szCs w:val="22"/>
          <w:rFonts w:ascii="Arial" w:cs="Arial" w:eastAsia="Arial" w:hAnsi="Arial"/>
        </w:rPr>
        <w:t xml:space="preserve">This document describes the current technical state, the planned multi-tenancy roadmap, three deployment models (SaaS, On-Premise, Private Cloud), and the security architecture protecting customer data at every layer.</w:t>
      </w:r>
    </w:p>
    <w:p>
      <w:pPr>
        <w:pBdr>
          <w:left w:val="single" w:color="7A8B6D" w:sz="24" w:space="8"/>
        </w:pBdr>
        <w:shd w:color="F5F2EB" w:val="solid"/>
        <w:spacing w:before="200" w:after="200"/>
        <w:ind w:left="240" w:right="240"/>
      </w:pPr>
      <w:r>
        <w:rPr>
          <w:b/>
          <w:bCs/>
          <w:color w:val="7A8B6D"/>
          <w:sz w:val="22"/>
          <w:szCs w:val="22"/>
          <w:rFonts w:ascii="Arial" w:cs="Arial" w:eastAsia="Arial" w:hAnsi="Arial"/>
        </w:rPr>
        <w:t xml:space="preserve">Current Status (April 2026): </w:t>
      </w:r>
      <w:r>
        <w:rPr>
          <w:color w:val="1F1B17"/>
          <w:sz w:val="22"/>
          <w:szCs w:val="22"/>
          <w:rFonts w:ascii="Arial" w:cs="Arial" w:eastAsia="Arial" w:hAnsi="Arial"/>
        </w:rPr>
        <w:t xml:space="preserve">Production deployed at https://opslix.com. HSE workspace is in pilot. HRM and Field Operations are in early access. Single-tenant prototype validated and ready for multi-tenant migration.</w:t>
      </w:r>
    </w:p>
    <w:p>
      <w:pPr>
        <w:spacing w:before="480" w:after="80"/>
      </w:pPr>
      <w:r>
        <w:rPr>
          <w:b/>
          <w:bCs/>
          <w:color w:val="C6583E"/>
          <w:sz w:val="20"/>
          <w:szCs w:val="20"/>
          <w:rFonts w:ascii="Arial" w:cs="Arial" w:eastAsia="Arial" w:hAnsi="Arial"/>
        </w:rPr>
        <w:t xml:space="preserve">SECTION 02</w:t>
      </w:r>
    </w:p>
    <w:p>
      <w:pPr>
        <w:spacing w:after="240"/>
      </w:pPr>
      <w:r>
        <w:rPr>
          <w:b/>
          <w:bCs/>
          <w:color w:val="1F1B17"/>
          <w:sz w:val="44"/>
          <w:szCs w:val="44"/>
          <w:rFonts w:ascii="Georgia" w:cs="Georgia" w:eastAsia="Georgia" w:hAnsi="Georgia"/>
        </w:rPr>
        <w:t xml:space="preserve">Platform Overview</w:t>
      </w:r>
    </w:p>
    <w:p>
      <w:pPr>
        <w:spacing w:before="360" w:after="120"/>
      </w:pPr>
      <w:r>
        <w:rPr>
          <w:b/>
          <w:bCs/>
          <w:color w:val="1F1B17"/>
          <w:sz w:val="28"/>
          <w:szCs w:val="28"/>
          <w:rFonts w:ascii="Georgia" w:cs="Georgia" w:eastAsia="Georgia" w:hAnsi="Georgia"/>
        </w:rPr>
        <w:t xml:space="preserve">2.1 Vision</w:t>
      </w:r>
    </w:p>
    <w:p>
      <w:pPr>
        <w:spacing w:after="120"/>
        <w:jc w:val="both"/>
      </w:pPr>
      <w:r>
        <w:rPr>
          <w:color w:val="1F1B17"/>
          <w:sz w:val="22"/>
          <w:szCs w:val="22"/>
          <w:rFonts w:ascii="Arial" w:cs="Arial" w:eastAsia="Arial" w:hAnsi="Arial"/>
        </w:rPr>
        <w:t xml:space="preserve">Industrial operations are fragmented across three to five disconnected systems — HSE software, HR systems, attendance kiosks, BOQ trackers, project dashboards. Each silo has its own login, its own data, and its own audit trail. Decision-makers waste 30-40% of their time stitching reports across systems.</w:t>
      </w:r>
    </w:p>
    <w:p>
      <w:pPr>
        <w:spacing w:after="120"/>
        <w:jc w:val="both"/>
      </w:pPr>
      <w:r>
        <w:rPr>
          <w:color w:val="1F1B17"/>
          <w:sz w:val="22"/>
          <w:szCs w:val="22"/>
          <w:rFonts w:ascii="Arial" w:cs="Arial" w:eastAsia="Arial" w:hAnsi="Arial"/>
        </w:rPr>
        <w:t xml:space="preserve">OpsLix replaces this with a unified workspace: </w:t>
      </w:r>
      <w:r>
        <w:rPr>
          <w:b/>
          <w:bCs/>
          <w:color w:val="1F1B17"/>
          <w:sz w:val="22"/>
          <w:szCs w:val="22"/>
          <w:rFonts w:ascii="Arial" w:cs="Arial" w:eastAsia="Arial" w:hAnsi="Arial"/>
        </w:rPr>
        <w:t xml:space="preserve">one login, three workspaces, one audit trail</w:t>
      </w:r>
      <w:r>
        <w:rPr>
          <w:color w:val="1F1B17"/>
          <w:sz w:val="22"/>
          <w:szCs w:val="22"/>
          <w:rFonts w:ascii="Arial" w:cs="Arial" w:eastAsia="Arial" w:hAnsi="Arial"/>
        </w:rPr>
        <w:t xml:space="preserve">.</w:t>
      </w:r>
    </w:p>
    <w:p>
      <w:pPr>
        <w:spacing w:before="360" w:after="120"/>
      </w:pPr>
      <w:r>
        <w:rPr>
          <w:b/>
          <w:bCs/>
          <w:color w:val="1F1B17"/>
          <w:sz w:val="28"/>
          <w:szCs w:val="28"/>
          <w:rFonts w:ascii="Georgia" w:cs="Georgia" w:eastAsia="Georgia" w:hAnsi="Georgia"/>
        </w:rPr>
        <w:t xml:space="preserve">2.2 Three Workspaces</w:t>
      </w:r>
    </w:p>
    <w:tbl>
      <w:tblPr>
        <w:tblW w:type="pct" w:w="100%"/>
        <w:tblBorders>
          <w:top w:val="single" w:color="1F1B17" w:sz="4"/>
          <w:left w:val="none"/>
          <w:bottom w:val="single" w:color="1F1B17" w:sz="4"/>
          <w:right w:val="none"/>
          <w:insideH w:val="single" w:color="D5D0C8" w:sz="2"/>
          <w:insideV w:val="none"/>
        </w:tblBorders>
      </w:tblPr>
      <w:tblGrid>
        <w:gridCol w:w="100"/>
        <w:gridCol w:w="100"/>
        <w:gridCol w:w="100"/>
      </w:tblGrid>
      <w:tr>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Workspace</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Domain</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Status</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HSE</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Risk management, HIRA, audit &amp; compliance, incident investigation, safety meetings, real-time dashboards. ISO 45001:2018 + ISO 14001:2015 aligned.</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Pilot Live</w:t>
            </w:r>
          </w:p>
        </w:tc>
      </w:tr>
      <w:tr>
        <w:tc>
          <w:tcPr>
            <w:tcW w:type="dxa" w:w="3000"/>
            <w:shd w:color="FAF8F2" w:val="solid"/>
            <w:tcMar>
              <w:top w:type="dxa" w:w="80"/>
              <w:left w:type="dxa" w:w="120"/>
              <w:bottom w:type="dxa" w:w="80"/>
              <w:right w:type="dxa" w:w="120"/>
            </w:tcMar>
          </w:tcPr>
          <w:p>
            <w:r>
              <w:rPr>
                <w:b/>
                <w:bCs/>
                <w:color w:val="1F1B17"/>
                <w:sz w:val="20"/>
                <w:szCs w:val="20"/>
                <w:rFonts w:ascii="Arial" w:cs="Arial" w:eastAsia="Arial" w:hAnsi="Arial"/>
              </w:rPr>
              <w:t xml:space="preserve">HRM</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Biometric attendance check-in, skills &amp; certifications, performance reviews, payroll integration, leave management.</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Early Access</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Field Ops</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Project tracking, BOQ management, vendor coordination, on-site quality control, daily progress reports.</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Early Access</w:t>
            </w:r>
          </w:p>
        </w:tc>
      </w:tr>
    </w:tbl>
    <w:p>
      <w:pPr>
        <w:spacing w:after="80"/>
      </w:pPr>
      <w:r>
        <w:t xml:space="preserve"> </w:t>
      </w:r>
    </w:p>
    <w:p>
      <w:pPr>
        <w:spacing w:before="360" w:after="120"/>
      </w:pPr>
      <w:r>
        <w:rPr>
          <w:b/>
          <w:bCs/>
          <w:color w:val="1F1B17"/>
          <w:sz w:val="28"/>
          <w:szCs w:val="28"/>
          <w:rFonts w:ascii="Georgia" w:cs="Georgia" w:eastAsia="Georgia" w:hAnsi="Georgia"/>
        </w:rPr>
        <w:t xml:space="preserve">2.3 Target Market</w:t>
      </w:r>
    </w:p>
    <w:p>
      <w:pPr>
        <w:spacing w:after="120"/>
        <w:jc w:val="both"/>
      </w:pPr>
      <w:r>
        <w:rPr>
          <w:color w:val="1F1B17"/>
          <w:sz w:val="22"/>
          <w:szCs w:val="22"/>
          <w:rFonts w:ascii="Arial" w:cs="Arial" w:eastAsia="Arial" w:hAnsi="Arial"/>
        </w:rPr>
        <w:t xml:space="preserve">Industrial enterprises with 100+ workforce: construction (highways, EPC, infrastructure), manufacturing, oil &amp; gas, mining, power, logistics, healthcare. Initial geographic focus: India, GCC, MENA, Southeast Asia. Pricing tier: INR 50,000 to INR 1,25,000 per month for SaaS pilot; enterprise on-premise pricing on request.</w:t>
      </w:r>
    </w:p>
    <w:p>
      <w:pPr>
        <w:spacing w:before="480" w:after="80"/>
      </w:pPr>
      <w:r>
        <w:rPr>
          <w:b/>
          <w:bCs/>
          <w:color w:val="C6583E"/>
          <w:sz w:val="20"/>
          <w:szCs w:val="20"/>
          <w:rFonts w:ascii="Arial" w:cs="Arial" w:eastAsia="Arial" w:hAnsi="Arial"/>
        </w:rPr>
        <w:t xml:space="preserve">SECTION 03</w:t>
      </w:r>
    </w:p>
    <w:p>
      <w:pPr>
        <w:spacing w:after="240"/>
      </w:pPr>
      <w:r>
        <w:rPr>
          <w:b/>
          <w:bCs/>
          <w:color w:val="1F1B17"/>
          <w:sz w:val="44"/>
          <w:szCs w:val="44"/>
          <w:rFonts w:ascii="Georgia" w:cs="Georgia" w:eastAsia="Georgia" w:hAnsi="Georgia"/>
        </w:rPr>
        <w:t xml:space="preserve">High-Level System Architecture</w:t>
      </w:r>
    </w:p>
    <w:p>
      <w:pPr>
        <w:spacing w:after="120"/>
        <w:jc w:val="both"/>
      </w:pPr>
      <w:r>
        <w:rPr>
          <w:color w:val="1F1B17"/>
          <w:sz w:val="22"/>
          <w:szCs w:val="22"/>
          <w:rFonts w:ascii="Arial" w:cs="Arial" w:eastAsia="Arial" w:hAnsi="Arial"/>
        </w:rPr>
        <w:t xml:space="preserve">OpsLix follows a clean three-tier architecture with serverless-first principles. The frontend is decoupled from the backend through a REST API, and the database is accessed exclusively through the backends authentication and tenant-scoping layer.</w:t>
      </w:r>
    </w:p>
    <w:p>
      <w:pPr>
        <w:spacing w:after="80"/>
      </w:pPr>
      <w:r>
        <w:t xml:space="preserve"> </w:t>
      </w:r>
    </w:p>
    <w:p>
      <w:pPr>
        <w:spacing w:before="200" w:after="100"/>
        <w:jc w:val="center"/>
      </w:pPr>
      <w:r>
        <w:rPr>
          <w:i/>
          <w:iCs/>
          <w:color w:val="6B6661"/>
          <w:sz w:val="20"/>
          <w:szCs w:val="20"/>
          <w:rFonts w:ascii="Arial" w:cs="Arial" w:eastAsia="Arial" w:hAnsi="Arial"/>
        </w:rPr>
        <w:t xml:space="preserve">[FIGURE 1: System Architecture]</w:t>
      </w:r>
    </w:p>
    <w:p>
      <w:pPr>
        <w:spacing w:after="120"/>
        <w:jc w:val="both"/>
      </w:pPr>
      <w:r>
        <w:rPr>
          <w:color w:val="1F1B17"/>
          <w:sz w:val="22"/>
          <w:szCs w:val="22"/>
          <w:rFonts w:ascii="Arial" w:cs="Arial" w:eastAsia="Arial" w:hAnsi="Arial"/>
        </w:rPr>
        <w:t xml:space="preserve">Browser Client (Desktop / Tablet / Mobile)  →  Cloudflare CDN (DNS / SSL / Edge)  →  Cloudflare Pages (Frontend HTML/CSS/JS)  →  Backend API on Render (NestJS / TypeScript)  →  PostgreSQL on Neon (Serverless / Auto-backup). Email Routing forwards info@opslix.com to Gmail.</w:t>
      </w:r>
    </w:p>
    <w:p>
      <w:pPr>
        <w:spacing w:before="360" w:after="120"/>
      </w:pPr>
      <w:r>
        <w:rPr>
          <w:b/>
          <w:bCs/>
          <w:color w:val="1F1B17"/>
          <w:sz w:val="28"/>
          <w:szCs w:val="28"/>
          <w:rFonts w:ascii="Georgia" w:cs="Georgia" w:eastAsia="Georgia" w:hAnsi="Georgia"/>
        </w:rPr>
        <w:t xml:space="preserve">3.1 Component Responsibilities</w:t>
      </w:r>
    </w:p>
    <w:p>
      <w:pPr>
        <w:pStyle w:val="ListParagraph"/>
        <w:numPr>
          <w:ilvl w:val="0"/>
          <w:numId w:val="1"/>
        </w:numPr>
        <w:spacing w:after="60"/>
      </w:pPr>
      <w:r>
        <w:rPr>
          <w:b/>
          <w:bCs/>
          <w:color w:val="1F1B17"/>
          <w:sz w:val="22"/>
          <w:szCs w:val="22"/>
          <w:rFonts w:ascii="Arial" w:cs="Arial" w:eastAsia="Arial" w:hAnsi="Arial"/>
        </w:rPr>
        <w:t xml:space="preserve">Browser Client:</w:t>
      </w:r>
      <w:r>
        <w:rPr>
          <w:color w:val="1F1B17"/>
          <w:sz w:val="22"/>
          <w:szCs w:val="22"/>
          <w:rFonts w:ascii="Arial" w:cs="Arial" w:eastAsia="Arial" w:hAnsi="Arial"/>
        </w:rPr>
        <w:t xml:space="preserve"> Renders the UI, manages local session state (JWT in localStorage), handles routing. No business logic.</w:t>
      </w:r>
    </w:p>
    <w:p>
      <w:pPr>
        <w:pStyle w:val="ListParagraph"/>
        <w:numPr>
          <w:ilvl w:val="0"/>
          <w:numId w:val="1"/>
        </w:numPr>
        <w:spacing w:after="60"/>
      </w:pPr>
      <w:r>
        <w:rPr>
          <w:b/>
          <w:bCs/>
          <w:color w:val="1F1B17"/>
          <w:sz w:val="22"/>
          <w:szCs w:val="22"/>
          <w:rFonts w:ascii="Arial" w:cs="Arial" w:eastAsia="Arial" w:hAnsi="Arial"/>
        </w:rPr>
        <w:t xml:space="preserve">Cloudflare CDN:</w:t>
      </w:r>
      <w:r>
        <w:rPr>
          <w:color w:val="1F1B17"/>
          <w:sz w:val="22"/>
          <w:szCs w:val="22"/>
          <w:rFonts w:ascii="Arial" w:cs="Arial" w:eastAsia="Arial" w:hAnsi="Arial"/>
        </w:rPr>
        <w:t xml:space="preserve"> Edge SSL termination, DNS, DDoS protection, asset caching. Sub-30ms TTFB globally.</w:t>
      </w:r>
    </w:p>
    <w:p>
      <w:pPr>
        <w:pStyle w:val="ListParagraph"/>
        <w:numPr>
          <w:ilvl w:val="0"/>
          <w:numId w:val="1"/>
        </w:numPr>
        <w:spacing w:after="60"/>
      </w:pPr>
      <w:r>
        <w:rPr>
          <w:b/>
          <w:bCs/>
          <w:color w:val="1F1B17"/>
          <w:sz w:val="22"/>
          <w:szCs w:val="22"/>
          <w:rFonts w:ascii="Arial" w:cs="Arial" w:eastAsia="Arial" w:hAnsi="Arial"/>
        </w:rPr>
        <w:t xml:space="preserve">Cloudflare Pages:</w:t>
      </w:r>
      <w:r>
        <w:rPr>
          <w:color w:val="1F1B17"/>
          <w:sz w:val="22"/>
          <w:szCs w:val="22"/>
          <w:rFonts w:ascii="Arial" w:cs="Arial" w:eastAsia="Arial" w:hAnsi="Arial"/>
        </w:rPr>
        <w:t xml:space="preserve"> Static asset hosting (HTML, CSS, JS, images). Atomic deploys via Wrangler. Auto-rollback on failure.</w:t>
      </w:r>
    </w:p>
    <w:p>
      <w:pPr>
        <w:pStyle w:val="ListParagraph"/>
        <w:numPr>
          <w:ilvl w:val="0"/>
          <w:numId w:val="1"/>
        </w:numPr>
        <w:spacing w:after="60"/>
      </w:pPr>
      <w:r>
        <w:rPr>
          <w:b/>
          <w:bCs/>
          <w:color w:val="1F1B17"/>
          <w:sz w:val="22"/>
          <w:szCs w:val="22"/>
          <w:rFonts w:ascii="Arial" w:cs="Arial" w:eastAsia="Arial" w:hAnsi="Arial"/>
        </w:rPr>
        <w:t xml:space="preserve">Backend API (NestJS):</w:t>
      </w:r>
      <w:r>
        <w:rPr>
          <w:color w:val="1F1B17"/>
          <w:sz w:val="22"/>
          <w:szCs w:val="22"/>
          <w:rFonts w:ascii="Arial" w:cs="Arial" w:eastAsia="Arial" w:hAnsi="Arial"/>
        </w:rPr>
        <w:t xml:space="preserve"> Business logic, authentication, authorization, validation, tenant scoping. Stateless — horizontally scalable.</w:t>
      </w:r>
    </w:p>
    <w:p>
      <w:pPr>
        <w:pStyle w:val="ListParagraph"/>
        <w:numPr>
          <w:ilvl w:val="0"/>
          <w:numId w:val="1"/>
        </w:numPr>
        <w:spacing w:after="60"/>
      </w:pPr>
      <w:r>
        <w:rPr>
          <w:b/>
          <w:bCs/>
          <w:color w:val="1F1B17"/>
          <w:sz w:val="22"/>
          <w:szCs w:val="22"/>
          <w:rFonts w:ascii="Arial" w:cs="Arial" w:eastAsia="Arial" w:hAnsi="Arial"/>
        </w:rPr>
        <w:t xml:space="preserve">PostgreSQL (Neon):</w:t>
      </w:r>
      <w:r>
        <w:rPr>
          <w:color w:val="1F1B17"/>
          <w:sz w:val="22"/>
          <w:szCs w:val="22"/>
          <w:rFonts w:ascii="Arial" w:cs="Arial" w:eastAsia="Arial" w:hAnsi="Arial"/>
        </w:rPr>
        <w:t xml:space="preserve"> Single source of truth for all customer data. Serverless with branching, point-in-time recovery, auto-backup.</w:t>
      </w:r>
    </w:p>
    <w:p>
      <w:pPr>
        <w:pStyle w:val="ListParagraph"/>
        <w:numPr>
          <w:ilvl w:val="0"/>
          <w:numId w:val="1"/>
        </w:numPr>
        <w:spacing w:after="60"/>
      </w:pPr>
      <w:r>
        <w:rPr>
          <w:b/>
          <w:bCs/>
          <w:color w:val="1F1B17"/>
          <w:sz w:val="22"/>
          <w:szCs w:val="22"/>
          <w:rFonts w:ascii="Arial" w:cs="Arial" w:eastAsia="Arial" w:hAnsi="Arial"/>
        </w:rPr>
        <w:t xml:space="preserve">Email Routing (Cloudflare):</w:t>
      </w:r>
      <w:r>
        <w:rPr>
          <w:color w:val="1F1B17"/>
          <w:sz w:val="22"/>
          <w:szCs w:val="22"/>
          <w:rFonts w:ascii="Arial" w:cs="Arial" w:eastAsia="Arial" w:hAnsi="Arial"/>
        </w:rPr>
        <w:t xml:space="preserve"> Inbound email forwarding from info@opslix.com to operational mailbox.</w:t>
      </w:r>
    </w:p>
    <w:p>
      <w:pPr>
        <w:spacing w:before="360" w:after="120"/>
      </w:pPr>
      <w:r>
        <w:rPr>
          <w:b/>
          <w:bCs/>
          <w:color w:val="1F1B17"/>
          <w:sz w:val="28"/>
          <w:szCs w:val="28"/>
          <w:rFonts w:ascii="Georgia" w:cs="Georgia" w:eastAsia="Georgia" w:hAnsi="Georgia"/>
        </w:rPr>
        <w:t xml:space="preserve">3.2 Why This Stack</w:t>
      </w:r>
    </w:p>
    <w:tbl>
      <w:tblPr>
        <w:tblW w:type="pct" w:w="100%"/>
        <w:tblBorders>
          <w:top w:val="single" w:color="1F1B17" w:sz="4"/>
          <w:left w:val="none"/>
          <w:bottom w:val="single" w:color="1F1B17" w:sz="4"/>
          <w:right w:val="none"/>
          <w:insideH w:val="single" w:color="D5D0C8" w:sz="2"/>
          <w:insideV w:val="none"/>
        </w:tblBorders>
      </w:tblPr>
      <w:tblGrid>
        <w:gridCol w:w="100"/>
        <w:gridCol w:w="100"/>
      </w:tblGrid>
      <w:tr>
        <w:tc>
          <w:tcPr>
            <w:tcW w:type="dxa" w:w="45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Choice</w:t>
            </w:r>
          </w:p>
        </w:tc>
        <w:tc>
          <w:tcPr>
            <w:tcW w:type="dxa" w:w="45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Reasoning</w:t>
            </w:r>
          </w:p>
        </w:tc>
      </w:tr>
      <w:tr>
        <w:tc>
          <w:tcPr>
            <w:tcW w:type="dxa" w:w="4500"/>
            <w:tcMar>
              <w:top w:type="dxa" w:w="80"/>
              <w:left w:type="dxa" w:w="120"/>
              <w:bottom w:type="dxa" w:w="80"/>
              <w:right w:type="dxa" w:w="120"/>
            </w:tcMar>
          </w:tcPr>
          <w:p>
            <w:r>
              <w:rPr>
                <w:b/>
                <w:bCs/>
                <w:color w:val="1F1B17"/>
                <w:sz w:val="20"/>
                <w:szCs w:val="20"/>
                <w:rFonts w:ascii="Arial" w:cs="Arial" w:eastAsia="Arial" w:hAnsi="Arial"/>
              </w:rPr>
              <w:t xml:space="preserve">Cloudflare Pages</w:t>
            </w:r>
          </w:p>
        </w:tc>
        <w:tc>
          <w:tcPr>
            <w:tcW w:type="dxa" w:w="4500"/>
            <w:tcMar>
              <w:top w:type="dxa" w:w="80"/>
              <w:left w:type="dxa" w:w="120"/>
              <w:bottom w:type="dxa" w:w="80"/>
              <w:right w:type="dxa" w:w="120"/>
            </w:tcMar>
          </w:tcPr>
          <w:p>
            <w:r>
              <w:rPr>
                <w:b w:val="false"/>
                <w:bCs w:val="false"/>
                <w:color w:val="1F1B17"/>
                <w:sz w:val="20"/>
                <w:szCs w:val="20"/>
                <w:rFonts w:ascii="Arial" w:cs="Arial" w:eastAsia="Arial" w:hAnsi="Arial"/>
              </w:rPr>
              <w:t xml:space="preserve">Free tier scales to millions of requests. Atomic deploys. Branch previews. Better global edge performance than Vercel for India/MENA.</w:t>
            </w:r>
          </w:p>
        </w:tc>
      </w:tr>
      <w:tr>
        <w:tc>
          <w:tcPr>
            <w:tcW w:type="dxa" w:w="4500"/>
            <w:shd w:color="FAF8F2" w:val="solid"/>
            <w:tcMar>
              <w:top w:type="dxa" w:w="80"/>
              <w:left w:type="dxa" w:w="120"/>
              <w:bottom w:type="dxa" w:w="80"/>
              <w:right w:type="dxa" w:w="120"/>
            </w:tcMar>
          </w:tcPr>
          <w:p>
            <w:r>
              <w:rPr>
                <w:b/>
                <w:bCs/>
                <w:color w:val="1F1B17"/>
                <w:sz w:val="20"/>
                <w:szCs w:val="20"/>
                <w:rFonts w:ascii="Arial" w:cs="Arial" w:eastAsia="Arial" w:hAnsi="Arial"/>
              </w:rPr>
              <w:t xml:space="preserve">NestJS</w:t>
            </w:r>
          </w:p>
        </w:tc>
        <w:tc>
          <w:tcPr>
            <w:tcW w:type="dxa" w:w="45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Opinionated TypeScript framework. Built-in DI, guards, interceptors — clean architecture by default. Strong ecosystem for enterprise backends.</w:t>
            </w:r>
          </w:p>
        </w:tc>
      </w:tr>
      <w:tr>
        <w:tc>
          <w:tcPr>
            <w:tcW w:type="dxa" w:w="4500"/>
            <w:tcMar>
              <w:top w:type="dxa" w:w="80"/>
              <w:left w:type="dxa" w:w="120"/>
              <w:bottom w:type="dxa" w:w="80"/>
              <w:right w:type="dxa" w:w="120"/>
            </w:tcMar>
          </w:tcPr>
          <w:p>
            <w:r>
              <w:rPr>
                <w:b/>
                <w:bCs/>
                <w:color w:val="1F1B17"/>
                <w:sz w:val="20"/>
                <w:szCs w:val="20"/>
                <w:rFonts w:ascii="Arial" w:cs="Arial" w:eastAsia="Arial" w:hAnsi="Arial"/>
              </w:rPr>
              <w:t xml:space="preserve">Neon Postgres</w:t>
            </w:r>
          </w:p>
        </w:tc>
        <w:tc>
          <w:tcPr>
            <w:tcW w:type="dxa" w:w="4500"/>
            <w:tcMar>
              <w:top w:type="dxa" w:w="80"/>
              <w:left w:type="dxa" w:w="120"/>
              <w:bottom w:type="dxa" w:w="80"/>
              <w:right w:type="dxa" w:w="120"/>
            </w:tcMar>
          </w:tcPr>
          <w:p>
            <w:r>
              <w:rPr>
                <w:b w:val="false"/>
                <w:bCs w:val="false"/>
                <w:color w:val="1F1B17"/>
                <w:sz w:val="20"/>
                <w:szCs w:val="20"/>
                <w:rFonts w:ascii="Arial" w:cs="Arial" w:eastAsia="Arial" w:hAnsi="Arial"/>
              </w:rPr>
              <w:t xml:space="preserve">Serverless Postgres with branching (instant DB clones). Pay only for compute used. Built-in PITR and read replicas.</w:t>
            </w:r>
          </w:p>
        </w:tc>
      </w:tr>
      <w:tr>
        <w:tc>
          <w:tcPr>
            <w:tcW w:type="dxa" w:w="4500"/>
            <w:shd w:color="FAF8F2" w:val="solid"/>
            <w:tcMar>
              <w:top w:type="dxa" w:w="80"/>
              <w:left w:type="dxa" w:w="120"/>
              <w:bottom w:type="dxa" w:w="80"/>
              <w:right w:type="dxa" w:w="120"/>
            </w:tcMar>
          </w:tcPr>
          <w:p>
            <w:r>
              <w:rPr>
                <w:b/>
                <w:bCs/>
                <w:color w:val="1F1B17"/>
                <w:sz w:val="20"/>
                <w:szCs w:val="20"/>
                <w:rFonts w:ascii="Arial" w:cs="Arial" w:eastAsia="Arial" w:hAnsi="Arial"/>
              </w:rPr>
              <w:t xml:space="preserve">Render</w:t>
            </w:r>
          </w:p>
        </w:tc>
        <w:tc>
          <w:tcPr>
            <w:tcW w:type="dxa" w:w="45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Better DX than AWS for solo dev. Auto-scale, zero-downtime deploys, managed TLS. Easy migration path to AWS/GCP at scale.</w:t>
            </w:r>
          </w:p>
        </w:tc>
      </w:tr>
    </w:tbl>
    <w:p>
      <w:pPr>
        <w:spacing w:before="480" w:after="80"/>
      </w:pPr>
      <w:r>
        <w:rPr>
          <w:b/>
          <w:bCs/>
          <w:color w:val="C6583E"/>
          <w:sz w:val="20"/>
          <w:szCs w:val="20"/>
          <w:rFonts w:ascii="Arial" w:cs="Arial" w:eastAsia="Arial" w:hAnsi="Arial"/>
        </w:rPr>
        <w:t xml:space="preserve">SECTION 04</w:t>
      </w:r>
    </w:p>
    <w:p>
      <w:pPr>
        <w:spacing w:after="240"/>
      </w:pPr>
      <w:r>
        <w:rPr>
          <w:b/>
          <w:bCs/>
          <w:color w:val="1F1B17"/>
          <w:sz w:val="44"/>
          <w:szCs w:val="44"/>
          <w:rFonts w:ascii="Georgia" w:cs="Georgia" w:eastAsia="Georgia" w:hAnsi="Georgia"/>
        </w:rPr>
        <w:t xml:space="preserve">Technology Stack</w:t>
      </w:r>
    </w:p>
    <w:p>
      <w:pPr>
        <w:spacing w:before="360" w:after="120"/>
      </w:pPr>
      <w:r>
        <w:rPr>
          <w:b/>
          <w:bCs/>
          <w:color w:val="1F1B17"/>
          <w:sz w:val="28"/>
          <w:szCs w:val="28"/>
          <w:rFonts w:ascii="Georgia" w:cs="Georgia" w:eastAsia="Georgia" w:hAnsi="Georgia"/>
        </w:rPr>
        <w:t xml:space="preserve">4.1 Frontend</w:t>
      </w:r>
    </w:p>
    <w:tbl>
      <w:tblPr>
        <w:tblW w:type="pct" w:w="100%"/>
        <w:tblBorders>
          <w:top w:val="single" w:color="1F1B17" w:sz="4"/>
          <w:left w:val="none"/>
          <w:bottom w:val="single" w:color="1F1B17" w:sz="4"/>
          <w:right w:val="none"/>
          <w:insideH w:val="single" w:color="D5D0C8" w:sz="2"/>
          <w:insideV w:val="none"/>
        </w:tblBorders>
      </w:tblPr>
      <w:tblGrid>
        <w:gridCol w:w="100"/>
        <w:gridCol w:w="100"/>
      </w:tblGrid>
      <w:tr>
        <w:tc>
          <w:tcPr>
            <w:tcW w:type="dxa" w:w="45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Component</w:t>
            </w:r>
          </w:p>
        </w:tc>
        <w:tc>
          <w:tcPr>
            <w:tcW w:type="dxa" w:w="45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Detail</w:t>
            </w:r>
          </w:p>
        </w:tc>
      </w:tr>
      <w:tr>
        <w:tc>
          <w:tcPr>
            <w:tcW w:type="dxa" w:w="4500"/>
            <w:tcMar>
              <w:top w:type="dxa" w:w="80"/>
              <w:left w:type="dxa" w:w="120"/>
              <w:bottom w:type="dxa" w:w="80"/>
              <w:right w:type="dxa" w:w="120"/>
            </w:tcMar>
          </w:tcPr>
          <w:p>
            <w:r>
              <w:rPr>
                <w:b/>
                <w:bCs/>
                <w:color w:val="1F1B17"/>
                <w:sz w:val="20"/>
                <w:szCs w:val="20"/>
                <w:rFonts w:ascii="Arial" w:cs="Arial" w:eastAsia="Arial" w:hAnsi="Arial"/>
              </w:rPr>
              <w:t xml:space="preserve">Languages</w:t>
            </w:r>
          </w:p>
        </w:tc>
        <w:tc>
          <w:tcPr>
            <w:tcW w:type="dxa" w:w="4500"/>
            <w:tcMar>
              <w:top w:type="dxa" w:w="80"/>
              <w:left w:type="dxa" w:w="120"/>
              <w:bottom w:type="dxa" w:w="80"/>
              <w:right w:type="dxa" w:w="120"/>
            </w:tcMar>
          </w:tcPr>
          <w:p>
            <w:r>
              <w:rPr>
                <w:b w:val="false"/>
                <w:bCs w:val="false"/>
                <w:color w:val="1F1B17"/>
                <w:sz w:val="20"/>
                <w:szCs w:val="20"/>
                <w:rFonts w:ascii="Arial" w:cs="Arial" w:eastAsia="Arial" w:hAnsi="Arial"/>
              </w:rPr>
              <w:t xml:space="preserve">HTML5 · CSS3 · Vanilla JavaScript (ES2022)</w:t>
            </w:r>
          </w:p>
        </w:tc>
      </w:tr>
      <w:tr>
        <w:tc>
          <w:tcPr>
            <w:tcW w:type="dxa" w:w="4500"/>
            <w:shd w:color="FAF8F2" w:val="solid"/>
            <w:tcMar>
              <w:top w:type="dxa" w:w="80"/>
              <w:left w:type="dxa" w:w="120"/>
              <w:bottom w:type="dxa" w:w="80"/>
              <w:right w:type="dxa" w:w="120"/>
            </w:tcMar>
          </w:tcPr>
          <w:p>
            <w:r>
              <w:rPr>
                <w:b/>
                <w:bCs/>
                <w:color w:val="1F1B17"/>
                <w:sz w:val="20"/>
                <w:szCs w:val="20"/>
                <w:rFonts w:ascii="Arial" w:cs="Arial" w:eastAsia="Arial" w:hAnsi="Arial"/>
              </w:rPr>
              <w:t xml:space="preserve">Typography</w:t>
            </w:r>
          </w:p>
        </w:tc>
        <w:tc>
          <w:tcPr>
            <w:tcW w:type="dxa" w:w="45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Fraunces (display, serif) · Inter (body) · JetBrains Mono (code)</w:t>
            </w:r>
          </w:p>
        </w:tc>
      </w:tr>
      <w:tr>
        <w:tc>
          <w:tcPr>
            <w:tcW w:type="dxa" w:w="4500"/>
            <w:tcMar>
              <w:top w:type="dxa" w:w="80"/>
              <w:left w:type="dxa" w:w="120"/>
              <w:bottom w:type="dxa" w:w="80"/>
              <w:right w:type="dxa" w:w="120"/>
            </w:tcMar>
          </w:tcPr>
          <w:p>
            <w:r>
              <w:rPr>
                <w:b/>
                <w:bCs/>
                <w:color w:val="1F1B17"/>
                <w:sz w:val="20"/>
                <w:szCs w:val="20"/>
                <w:rFonts w:ascii="Arial" w:cs="Arial" w:eastAsia="Arial" w:hAnsi="Arial"/>
              </w:rPr>
              <w:t xml:space="preserve">Build</w:t>
            </w:r>
          </w:p>
        </w:tc>
        <w:tc>
          <w:tcPr>
            <w:tcW w:type="dxa" w:w="4500"/>
            <w:tcMar>
              <w:top w:type="dxa" w:w="80"/>
              <w:left w:type="dxa" w:w="120"/>
              <w:bottom w:type="dxa" w:w="80"/>
              <w:right w:type="dxa" w:w="120"/>
            </w:tcMar>
          </w:tcPr>
          <w:p>
            <w:r>
              <w:rPr>
                <w:b w:val="false"/>
                <w:bCs w:val="false"/>
                <w:color w:val="1F1B17"/>
                <w:sz w:val="20"/>
                <w:szCs w:val="20"/>
                <w:rFonts w:ascii="Arial" w:cs="Arial" w:eastAsia="Arial" w:hAnsi="Arial"/>
              </w:rPr>
              <w:t xml:space="preserve">None — static HTML deployed as-is. Wrangler for Cloudflare Pages</w:t>
            </w:r>
          </w:p>
        </w:tc>
      </w:tr>
      <w:tr>
        <w:tc>
          <w:tcPr>
            <w:tcW w:type="dxa" w:w="4500"/>
            <w:shd w:color="FAF8F2" w:val="solid"/>
            <w:tcMar>
              <w:top w:type="dxa" w:w="80"/>
              <w:left w:type="dxa" w:w="120"/>
              <w:bottom w:type="dxa" w:w="80"/>
              <w:right w:type="dxa" w:w="120"/>
            </w:tcMar>
          </w:tcPr>
          <w:p>
            <w:r>
              <w:rPr>
                <w:b/>
                <w:bCs/>
                <w:color w:val="1F1B17"/>
                <w:sz w:val="20"/>
                <w:szCs w:val="20"/>
                <w:rFonts w:ascii="Arial" w:cs="Arial" w:eastAsia="Arial" w:hAnsi="Arial"/>
              </w:rPr>
              <w:t xml:space="preserve">State</w:t>
            </w:r>
          </w:p>
        </w:tc>
        <w:tc>
          <w:tcPr>
            <w:tcW w:type="dxa" w:w="45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localStorage for session (sp_token, sp_user). No SPA framework</w:t>
            </w:r>
          </w:p>
        </w:tc>
      </w:tr>
      <w:tr>
        <w:tc>
          <w:tcPr>
            <w:tcW w:type="dxa" w:w="4500"/>
            <w:tcMar>
              <w:top w:type="dxa" w:w="80"/>
              <w:left w:type="dxa" w:w="120"/>
              <w:bottom w:type="dxa" w:w="80"/>
              <w:right w:type="dxa" w:w="120"/>
            </w:tcMar>
          </w:tcPr>
          <w:p>
            <w:r>
              <w:rPr>
                <w:b/>
                <w:bCs/>
                <w:color w:val="1F1B17"/>
                <w:sz w:val="20"/>
                <w:szCs w:val="20"/>
                <w:rFonts w:ascii="Arial" w:cs="Arial" w:eastAsia="Arial" w:hAnsi="Arial"/>
              </w:rPr>
              <w:t xml:space="preserve">Hosting</w:t>
            </w:r>
          </w:p>
        </w:tc>
        <w:tc>
          <w:tcPr>
            <w:tcW w:type="dxa" w:w="4500"/>
            <w:tcMar>
              <w:top w:type="dxa" w:w="80"/>
              <w:left w:type="dxa" w:w="120"/>
              <w:bottom w:type="dxa" w:w="80"/>
              <w:right w:type="dxa" w:w="120"/>
            </w:tcMar>
          </w:tcPr>
          <w:p>
            <w:r>
              <w:rPr>
                <w:b w:val="false"/>
                <w:bCs w:val="false"/>
                <w:color w:val="1F1B17"/>
                <w:sz w:val="20"/>
                <w:szCs w:val="20"/>
                <w:rFonts w:ascii="Arial" w:cs="Arial" w:eastAsia="Arial" w:hAnsi="Arial"/>
              </w:rPr>
              <w:t xml:space="preserve">Cloudflare Pages — opslix.com (Active SSL, global edge)</w:t>
            </w:r>
          </w:p>
        </w:tc>
      </w:tr>
    </w:tbl>
    <w:p>
      <w:pPr>
        <w:spacing w:after="80"/>
      </w:pPr>
      <w:r>
        <w:t xml:space="preserve"> </w:t>
      </w:r>
    </w:p>
    <w:p>
      <w:pPr>
        <w:spacing w:before="360" w:after="120"/>
      </w:pPr>
      <w:r>
        <w:rPr>
          <w:b/>
          <w:bCs/>
          <w:color w:val="1F1B17"/>
          <w:sz w:val="28"/>
          <w:szCs w:val="28"/>
          <w:rFonts w:ascii="Georgia" w:cs="Georgia" w:eastAsia="Georgia" w:hAnsi="Georgia"/>
        </w:rPr>
        <w:t xml:space="preserve">4.2 Backend</w:t>
      </w:r>
    </w:p>
    <w:tbl>
      <w:tblPr>
        <w:tblW w:type="pct" w:w="100%"/>
        <w:tblBorders>
          <w:top w:val="single" w:color="1F1B17" w:sz="4"/>
          <w:left w:val="none"/>
          <w:bottom w:val="single" w:color="1F1B17" w:sz="4"/>
          <w:right w:val="none"/>
          <w:insideH w:val="single" w:color="D5D0C8" w:sz="2"/>
          <w:insideV w:val="none"/>
        </w:tblBorders>
      </w:tblPr>
      <w:tblGrid>
        <w:gridCol w:w="100"/>
        <w:gridCol w:w="100"/>
      </w:tblGrid>
      <w:tr>
        <w:tc>
          <w:tcPr>
            <w:tcW w:type="dxa" w:w="45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Component</w:t>
            </w:r>
          </w:p>
        </w:tc>
        <w:tc>
          <w:tcPr>
            <w:tcW w:type="dxa" w:w="45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Detail</w:t>
            </w:r>
          </w:p>
        </w:tc>
      </w:tr>
      <w:tr>
        <w:tc>
          <w:tcPr>
            <w:tcW w:type="dxa" w:w="4500"/>
            <w:tcMar>
              <w:top w:type="dxa" w:w="80"/>
              <w:left w:type="dxa" w:w="120"/>
              <w:bottom w:type="dxa" w:w="80"/>
              <w:right w:type="dxa" w:w="120"/>
            </w:tcMar>
          </w:tcPr>
          <w:p>
            <w:r>
              <w:rPr>
                <w:b/>
                <w:bCs/>
                <w:color w:val="1F1B17"/>
                <w:sz w:val="20"/>
                <w:szCs w:val="20"/>
                <w:rFonts w:ascii="Arial" w:cs="Arial" w:eastAsia="Arial" w:hAnsi="Arial"/>
              </w:rPr>
              <w:t xml:space="preserve">Runtime</w:t>
            </w:r>
          </w:p>
        </w:tc>
        <w:tc>
          <w:tcPr>
            <w:tcW w:type="dxa" w:w="4500"/>
            <w:tcMar>
              <w:top w:type="dxa" w:w="80"/>
              <w:left w:type="dxa" w:w="120"/>
              <w:bottom w:type="dxa" w:w="80"/>
              <w:right w:type="dxa" w:w="120"/>
            </w:tcMar>
          </w:tcPr>
          <w:p>
            <w:r>
              <w:rPr>
                <w:b w:val="false"/>
                <w:bCs w:val="false"/>
                <w:color w:val="1F1B17"/>
                <w:sz w:val="20"/>
                <w:szCs w:val="20"/>
                <w:rFonts w:ascii="Arial" w:cs="Arial" w:eastAsia="Arial" w:hAnsi="Arial"/>
              </w:rPr>
              <w:t xml:space="preserve">Node.js 20 LTS</w:t>
            </w:r>
          </w:p>
        </w:tc>
      </w:tr>
      <w:tr>
        <w:tc>
          <w:tcPr>
            <w:tcW w:type="dxa" w:w="4500"/>
            <w:shd w:color="FAF8F2" w:val="solid"/>
            <w:tcMar>
              <w:top w:type="dxa" w:w="80"/>
              <w:left w:type="dxa" w:w="120"/>
              <w:bottom w:type="dxa" w:w="80"/>
              <w:right w:type="dxa" w:w="120"/>
            </w:tcMar>
          </w:tcPr>
          <w:p>
            <w:r>
              <w:rPr>
                <w:b/>
                <w:bCs/>
                <w:color w:val="1F1B17"/>
                <w:sz w:val="20"/>
                <w:szCs w:val="20"/>
                <w:rFonts w:ascii="Arial" w:cs="Arial" w:eastAsia="Arial" w:hAnsi="Arial"/>
              </w:rPr>
              <w:t xml:space="preserve">Framework</w:t>
            </w:r>
          </w:p>
        </w:tc>
        <w:tc>
          <w:tcPr>
            <w:tcW w:type="dxa" w:w="45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NestJS 10 (TypeScript, opinionated DI architecture)</w:t>
            </w:r>
          </w:p>
        </w:tc>
      </w:tr>
      <w:tr>
        <w:tc>
          <w:tcPr>
            <w:tcW w:type="dxa" w:w="4500"/>
            <w:tcMar>
              <w:top w:type="dxa" w:w="80"/>
              <w:left w:type="dxa" w:w="120"/>
              <w:bottom w:type="dxa" w:w="80"/>
              <w:right w:type="dxa" w:w="120"/>
            </w:tcMar>
          </w:tcPr>
          <w:p>
            <w:r>
              <w:rPr>
                <w:b/>
                <w:bCs/>
                <w:color w:val="1F1B17"/>
                <w:sz w:val="20"/>
                <w:szCs w:val="20"/>
                <w:rFonts w:ascii="Arial" w:cs="Arial" w:eastAsia="Arial" w:hAnsi="Arial"/>
              </w:rPr>
              <w:t xml:space="preserve">ORM</w:t>
            </w:r>
          </w:p>
        </w:tc>
        <w:tc>
          <w:tcPr>
            <w:tcW w:type="dxa" w:w="4500"/>
            <w:tcMar>
              <w:top w:type="dxa" w:w="80"/>
              <w:left w:type="dxa" w:w="120"/>
              <w:bottom w:type="dxa" w:w="80"/>
              <w:right w:type="dxa" w:w="120"/>
            </w:tcMar>
          </w:tcPr>
          <w:p>
            <w:r>
              <w:rPr>
                <w:b w:val="false"/>
                <w:bCs w:val="false"/>
                <w:color w:val="1F1B17"/>
                <w:sz w:val="20"/>
                <w:szCs w:val="20"/>
                <w:rFonts w:ascii="Arial" w:cs="Arial" w:eastAsia="Arial" w:hAnsi="Arial"/>
              </w:rPr>
              <w:t xml:space="preserve">Prisma 5 (type-safe queries, migrations, schema versioning)</w:t>
            </w:r>
          </w:p>
        </w:tc>
      </w:tr>
      <w:tr>
        <w:tc>
          <w:tcPr>
            <w:tcW w:type="dxa" w:w="4500"/>
            <w:shd w:color="FAF8F2" w:val="solid"/>
            <w:tcMar>
              <w:top w:type="dxa" w:w="80"/>
              <w:left w:type="dxa" w:w="120"/>
              <w:bottom w:type="dxa" w:w="80"/>
              <w:right w:type="dxa" w:w="120"/>
            </w:tcMar>
          </w:tcPr>
          <w:p>
            <w:r>
              <w:rPr>
                <w:b/>
                <w:bCs/>
                <w:color w:val="1F1B17"/>
                <w:sz w:val="20"/>
                <w:szCs w:val="20"/>
                <w:rFonts w:ascii="Arial" w:cs="Arial" w:eastAsia="Arial" w:hAnsi="Arial"/>
              </w:rPr>
              <w:t xml:space="preserve">Auth</w:t>
            </w:r>
          </w:p>
        </w:tc>
        <w:tc>
          <w:tcPr>
            <w:tcW w:type="dxa" w:w="45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JWT (jsonwebtoken) · bcrypt for password hashing</w:t>
            </w:r>
          </w:p>
        </w:tc>
      </w:tr>
      <w:tr>
        <w:tc>
          <w:tcPr>
            <w:tcW w:type="dxa" w:w="4500"/>
            <w:tcMar>
              <w:top w:type="dxa" w:w="80"/>
              <w:left w:type="dxa" w:w="120"/>
              <w:bottom w:type="dxa" w:w="80"/>
              <w:right w:type="dxa" w:w="120"/>
            </w:tcMar>
          </w:tcPr>
          <w:p>
            <w:r>
              <w:rPr>
                <w:b/>
                <w:bCs/>
                <w:color w:val="1F1B17"/>
                <w:sz w:val="20"/>
                <w:szCs w:val="20"/>
                <w:rFonts w:ascii="Arial" w:cs="Arial" w:eastAsia="Arial" w:hAnsi="Arial"/>
              </w:rPr>
              <w:t xml:space="preserve">Validation</w:t>
            </w:r>
          </w:p>
        </w:tc>
        <w:tc>
          <w:tcPr>
            <w:tcW w:type="dxa" w:w="4500"/>
            <w:tcMar>
              <w:top w:type="dxa" w:w="80"/>
              <w:left w:type="dxa" w:w="120"/>
              <w:bottom w:type="dxa" w:w="80"/>
              <w:right w:type="dxa" w:w="120"/>
            </w:tcMar>
          </w:tcPr>
          <w:p>
            <w:r>
              <w:rPr>
                <w:b w:val="false"/>
                <w:bCs w:val="false"/>
                <w:color w:val="1F1B17"/>
                <w:sz w:val="20"/>
                <w:szCs w:val="20"/>
                <w:rFonts w:ascii="Arial" w:cs="Arial" w:eastAsia="Arial" w:hAnsi="Arial"/>
              </w:rPr>
              <w:t xml:space="preserve">class-validator + class-transformer (DTO validation)</w:t>
            </w:r>
          </w:p>
        </w:tc>
      </w:tr>
      <w:tr>
        <w:tc>
          <w:tcPr>
            <w:tcW w:type="dxa" w:w="4500"/>
            <w:shd w:color="FAF8F2" w:val="solid"/>
            <w:tcMar>
              <w:top w:type="dxa" w:w="80"/>
              <w:left w:type="dxa" w:w="120"/>
              <w:bottom w:type="dxa" w:w="80"/>
              <w:right w:type="dxa" w:w="120"/>
            </w:tcMar>
          </w:tcPr>
          <w:p>
            <w:r>
              <w:rPr>
                <w:b/>
                <w:bCs/>
                <w:color w:val="1F1B17"/>
                <w:sz w:val="20"/>
                <w:szCs w:val="20"/>
                <w:rFonts w:ascii="Arial" w:cs="Arial" w:eastAsia="Arial" w:hAnsi="Arial"/>
              </w:rPr>
              <w:t xml:space="preserve">Hosting</w:t>
            </w:r>
          </w:p>
        </w:tc>
        <w:tc>
          <w:tcPr>
            <w:tcW w:type="dxa" w:w="45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Render (Singapore region for India proximity)</w:t>
            </w:r>
          </w:p>
        </w:tc>
      </w:tr>
    </w:tbl>
    <w:p>
      <w:pPr>
        <w:spacing w:after="80"/>
      </w:pPr>
      <w:r>
        <w:t xml:space="preserve"> </w:t>
      </w:r>
    </w:p>
    <w:p>
      <w:pPr>
        <w:spacing w:before="360" w:after="120"/>
      </w:pPr>
      <w:r>
        <w:rPr>
          <w:b/>
          <w:bCs/>
          <w:color w:val="1F1B17"/>
          <w:sz w:val="28"/>
          <w:szCs w:val="28"/>
          <w:rFonts w:ascii="Georgia" w:cs="Georgia" w:eastAsia="Georgia" w:hAnsi="Georgia"/>
        </w:rPr>
        <w:t xml:space="preserve">4.3 Database</w:t>
      </w:r>
    </w:p>
    <w:tbl>
      <w:tblPr>
        <w:tblW w:type="pct" w:w="100%"/>
        <w:tblBorders>
          <w:top w:val="single" w:color="1F1B17" w:sz="4"/>
          <w:left w:val="none"/>
          <w:bottom w:val="single" w:color="1F1B17" w:sz="4"/>
          <w:right w:val="none"/>
          <w:insideH w:val="single" w:color="D5D0C8" w:sz="2"/>
          <w:insideV w:val="none"/>
        </w:tblBorders>
      </w:tblPr>
      <w:tblGrid>
        <w:gridCol w:w="100"/>
        <w:gridCol w:w="100"/>
      </w:tblGrid>
      <w:tr>
        <w:tc>
          <w:tcPr>
            <w:tcW w:type="dxa" w:w="45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Component</w:t>
            </w:r>
          </w:p>
        </w:tc>
        <w:tc>
          <w:tcPr>
            <w:tcW w:type="dxa" w:w="45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Detail</w:t>
            </w:r>
          </w:p>
        </w:tc>
      </w:tr>
      <w:tr>
        <w:tc>
          <w:tcPr>
            <w:tcW w:type="dxa" w:w="4500"/>
            <w:tcMar>
              <w:top w:type="dxa" w:w="80"/>
              <w:left w:type="dxa" w:w="120"/>
              <w:bottom w:type="dxa" w:w="80"/>
              <w:right w:type="dxa" w:w="120"/>
            </w:tcMar>
          </w:tcPr>
          <w:p>
            <w:r>
              <w:rPr>
                <w:b/>
                <w:bCs/>
                <w:color w:val="1F1B17"/>
                <w:sz w:val="20"/>
                <w:szCs w:val="20"/>
                <w:rFonts w:ascii="Arial" w:cs="Arial" w:eastAsia="Arial" w:hAnsi="Arial"/>
              </w:rPr>
              <w:t xml:space="preserve">Engine</w:t>
            </w:r>
          </w:p>
        </w:tc>
        <w:tc>
          <w:tcPr>
            <w:tcW w:type="dxa" w:w="4500"/>
            <w:tcMar>
              <w:top w:type="dxa" w:w="80"/>
              <w:left w:type="dxa" w:w="120"/>
              <w:bottom w:type="dxa" w:w="80"/>
              <w:right w:type="dxa" w:w="120"/>
            </w:tcMar>
          </w:tcPr>
          <w:p>
            <w:r>
              <w:rPr>
                <w:b w:val="false"/>
                <w:bCs w:val="false"/>
                <w:color w:val="1F1B17"/>
                <w:sz w:val="20"/>
                <w:szCs w:val="20"/>
                <w:rFonts w:ascii="Arial" w:cs="Arial" w:eastAsia="Arial" w:hAnsi="Arial"/>
              </w:rPr>
              <w:t xml:space="preserve">PostgreSQL 15</w:t>
            </w:r>
          </w:p>
        </w:tc>
      </w:tr>
      <w:tr>
        <w:tc>
          <w:tcPr>
            <w:tcW w:type="dxa" w:w="4500"/>
            <w:shd w:color="FAF8F2" w:val="solid"/>
            <w:tcMar>
              <w:top w:type="dxa" w:w="80"/>
              <w:left w:type="dxa" w:w="120"/>
              <w:bottom w:type="dxa" w:w="80"/>
              <w:right w:type="dxa" w:w="120"/>
            </w:tcMar>
          </w:tcPr>
          <w:p>
            <w:r>
              <w:rPr>
                <w:b/>
                <w:bCs/>
                <w:color w:val="1F1B17"/>
                <w:sz w:val="20"/>
                <w:szCs w:val="20"/>
                <w:rFonts w:ascii="Arial" w:cs="Arial" w:eastAsia="Arial" w:hAnsi="Arial"/>
              </w:rPr>
              <w:t xml:space="preserve">Provider</w:t>
            </w:r>
          </w:p>
        </w:tc>
        <w:tc>
          <w:tcPr>
            <w:tcW w:type="dxa" w:w="45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Neon (serverless, branching, PITR)</w:t>
            </w:r>
          </w:p>
        </w:tc>
      </w:tr>
      <w:tr>
        <w:tc>
          <w:tcPr>
            <w:tcW w:type="dxa" w:w="4500"/>
            <w:tcMar>
              <w:top w:type="dxa" w:w="80"/>
              <w:left w:type="dxa" w:w="120"/>
              <w:bottom w:type="dxa" w:w="80"/>
              <w:right w:type="dxa" w:w="120"/>
            </w:tcMar>
          </w:tcPr>
          <w:p>
            <w:r>
              <w:rPr>
                <w:b/>
                <w:bCs/>
                <w:color w:val="1F1B17"/>
                <w:sz w:val="20"/>
                <w:szCs w:val="20"/>
                <w:rFonts w:ascii="Arial" w:cs="Arial" w:eastAsia="Arial" w:hAnsi="Arial"/>
              </w:rPr>
              <w:t xml:space="preserve">Connection</w:t>
            </w:r>
          </w:p>
        </w:tc>
        <w:tc>
          <w:tcPr>
            <w:tcW w:type="dxa" w:w="4500"/>
            <w:tcMar>
              <w:top w:type="dxa" w:w="80"/>
              <w:left w:type="dxa" w:w="120"/>
              <w:bottom w:type="dxa" w:w="80"/>
              <w:right w:type="dxa" w:w="120"/>
            </w:tcMar>
          </w:tcPr>
          <w:p>
            <w:r>
              <w:rPr>
                <w:b w:val="false"/>
                <w:bCs w:val="false"/>
                <w:color w:val="1F1B17"/>
                <w:sz w:val="20"/>
                <w:szCs w:val="20"/>
                <w:rFonts w:ascii="Arial" w:cs="Arial" w:eastAsia="Arial" w:hAnsi="Arial"/>
              </w:rPr>
              <w:t xml:space="preserve">Pgbouncer-pooled connection string from backend</w:t>
            </w:r>
          </w:p>
        </w:tc>
      </w:tr>
      <w:tr>
        <w:tc>
          <w:tcPr>
            <w:tcW w:type="dxa" w:w="4500"/>
            <w:shd w:color="FAF8F2" w:val="solid"/>
            <w:tcMar>
              <w:top w:type="dxa" w:w="80"/>
              <w:left w:type="dxa" w:w="120"/>
              <w:bottom w:type="dxa" w:w="80"/>
              <w:right w:type="dxa" w:w="120"/>
            </w:tcMar>
          </w:tcPr>
          <w:p>
            <w:r>
              <w:rPr>
                <w:b/>
                <w:bCs/>
                <w:color w:val="1F1B17"/>
                <w:sz w:val="20"/>
                <w:szCs w:val="20"/>
                <w:rFonts w:ascii="Arial" w:cs="Arial" w:eastAsia="Arial" w:hAnsi="Arial"/>
              </w:rPr>
              <w:t xml:space="preserve">Backup</w:t>
            </w:r>
          </w:p>
        </w:tc>
        <w:tc>
          <w:tcPr>
            <w:tcW w:type="dxa" w:w="45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7-day point-in-time recovery (PITR), daily snapshots</w:t>
            </w:r>
          </w:p>
        </w:tc>
      </w:tr>
      <w:tr>
        <w:tc>
          <w:tcPr>
            <w:tcW w:type="dxa" w:w="4500"/>
            <w:tcMar>
              <w:top w:type="dxa" w:w="80"/>
              <w:left w:type="dxa" w:w="120"/>
              <w:bottom w:type="dxa" w:w="80"/>
              <w:right w:type="dxa" w:w="120"/>
            </w:tcMar>
          </w:tcPr>
          <w:p>
            <w:r>
              <w:rPr>
                <w:b/>
                <w:bCs/>
                <w:color w:val="1F1B17"/>
                <w:sz w:val="20"/>
                <w:szCs w:val="20"/>
                <w:rFonts w:ascii="Arial" w:cs="Arial" w:eastAsia="Arial" w:hAnsi="Arial"/>
              </w:rPr>
              <w:t xml:space="preserve">Region</w:t>
            </w:r>
          </w:p>
        </w:tc>
        <w:tc>
          <w:tcPr>
            <w:tcW w:type="dxa" w:w="4500"/>
            <w:tcMar>
              <w:top w:type="dxa" w:w="80"/>
              <w:left w:type="dxa" w:w="120"/>
              <w:bottom w:type="dxa" w:w="80"/>
              <w:right w:type="dxa" w:w="120"/>
            </w:tcMar>
          </w:tcPr>
          <w:p>
            <w:r>
              <w:rPr>
                <w:b w:val="false"/>
                <w:bCs w:val="false"/>
                <w:color w:val="1F1B17"/>
                <w:sz w:val="20"/>
                <w:szCs w:val="20"/>
                <w:rFonts w:ascii="Arial" w:cs="Arial" w:eastAsia="Arial" w:hAnsi="Arial"/>
              </w:rPr>
              <w:t xml:space="preserve">AWS Singapore (ap-southeast-1)</w:t>
            </w:r>
          </w:p>
        </w:tc>
      </w:tr>
    </w:tbl>
    <w:p>
      <w:pPr>
        <w:spacing w:before="480" w:after="80"/>
      </w:pPr>
      <w:r>
        <w:rPr>
          <w:b/>
          <w:bCs/>
          <w:color w:val="C6583E"/>
          <w:sz w:val="20"/>
          <w:szCs w:val="20"/>
          <w:rFonts w:ascii="Arial" w:cs="Arial" w:eastAsia="Arial" w:hAnsi="Arial"/>
        </w:rPr>
        <w:t xml:space="preserve">SECTION 05</w:t>
      </w:r>
    </w:p>
    <w:p>
      <w:pPr>
        <w:spacing w:after="240"/>
      </w:pPr>
      <w:r>
        <w:rPr>
          <w:b/>
          <w:bCs/>
          <w:color w:val="1F1B17"/>
          <w:sz w:val="44"/>
          <w:szCs w:val="44"/>
          <w:rFonts w:ascii="Georgia" w:cs="Georgia" w:eastAsia="Georgia" w:hAnsi="Georgia"/>
        </w:rPr>
        <w:t xml:space="preserve">Multi-Tenancy Strategy</w:t>
      </w:r>
    </w:p>
    <w:p>
      <w:pPr>
        <w:spacing w:after="120"/>
        <w:jc w:val="both"/>
      </w:pPr>
      <w:r>
        <w:rPr>
          <w:color w:val="1F1B17"/>
          <w:sz w:val="22"/>
          <w:szCs w:val="22"/>
          <w:rFonts w:ascii="Arial" w:cs="Arial" w:eastAsia="Arial" w:hAnsi="Arial"/>
        </w:rPr>
        <w:t xml:space="preserve">Multi-tenancy — the ability for one platform instance to serve many independent customer organizations — is the central architectural decision for any enterprise SaaS. OpsLix has evaluated three industry-standard models against operational cost, isolation strength, and deployment flexibility.</w:t>
      </w:r>
    </w:p>
    <w:p>
      <w:pPr>
        <w:spacing w:after="80"/>
      </w:pPr>
      <w:r>
        <w:t xml:space="preserve"> </w:t>
      </w:r>
    </w:p>
    <w:p>
      <w:pPr>
        <w:spacing w:before="200" w:after="100"/>
        <w:jc w:val="center"/>
      </w:pPr>
      <w:r>
        <w:rPr>
          <w:i/>
          <w:iCs/>
          <w:color w:val="6B6661"/>
          <w:sz w:val="20"/>
          <w:szCs w:val="20"/>
          <w:rFonts w:ascii="Arial" w:cs="Arial" w:eastAsia="Arial" w:hAnsi="Arial"/>
        </w:rPr>
        <w:t xml:space="preserve">[FIGURE 2: Three Multi-Tenancy Models]</w:t>
      </w:r>
    </w:p>
    <w:p>
      <w:pPr>
        <w:spacing w:before="360" w:after="120"/>
      </w:pPr>
      <w:r>
        <w:rPr>
          <w:b/>
          <w:bCs/>
          <w:color w:val="1F1B17"/>
          <w:sz w:val="28"/>
          <w:szCs w:val="28"/>
          <w:rFonts w:ascii="Georgia" w:cs="Georgia" w:eastAsia="Georgia" w:hAnsi="Georgia"/>
        </w:rPr>
        <w:t xml:space="preserve">5.1 Comparison of Three Models</w:t>
      </w:r>
    </w:p>
    <w:tbl>
      <w:tblPr>
        <w:tblW w:type="pct" w:w="100%"/>
        <w:tblBorders>
          <w:top w:val="single" w:color="1F1B17" w:sz="4"/>
          <w:left w:val="none"/>
          <w:bottom w:val="single" w:color="1F1B17" w:sz="4"/>
          <w:right w:val="none"/>
          <w:insideH w:val="single" w:color="D5D0C8" w:sz="2"/>
          <w:insideV w:val="none"/>
        </w:tblBorders>
      </w:tblPr>
      <w:tblGrid>
        <w:gridCol w:w="100"/>
        <w:gridCol w:w="100"/>
        <w:gridCol w:w="100"/>
        <w:gridCol w:w="100"/>
      </w:tblGrid>
      <w:tr>
        <w:tc>
          <w:tcPr>
            <w:tcW w:type="dxa" w:w="225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Dimension</w:t>
            </w:r>
          </w:p>
        </w:tc>
        <w:tc>
          <w:tcPr>
            <w:tcW w:type="dxa" w:w="225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A. Shared DB + RLS</w:t>
            </w:r>
          </w:p>
        </w:tc>
        <w:tc>
          <w:tcPr>
            <w:tcW w:type="dxa" w:w="225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B. Schema-per-Tenant</w:t>
            </w:r>
          </w:p>
        </w:tc>
        <w:tc>
          <w:tcPr>
            <w:tcW w:type="dxa" w:w="225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C. Database-per-Tenant</w:t>
            </w:r>
          </w:p>
        </w:tc>
      </w:tr>
      <w:tr>
        <w:tc>
          <w:tcPr>
            <w:tcW w:type="dxa" w:w="2250"/>
            <w:tcMar>
              <w:top w:type="dxa" w:w="80"/>
              <w:left w:type="dxa" w:w="120"/>
              <w:bottom w:type="dxa" w:w="80"/>
              <w:right w:type="dxa" w:w="120"/>
            </w:tcMar>
          </w:tcPr>
          <w:p>
            <w:r>
              <w:rPr>
                <w:b/>
                <w:bCs/>
                <w:color w:val="1F1B17"/>
                <w:sz w:val="20"/>
                <w:szCs w:val="20"/>
                <w:rFonts w:ascii="Arial" w:cs="Arial" w:eastAsia="Arial" w:hAnsi="Arial"/>
              </w:rPr>
              <w:t xml:space="preserve">Tenant Isolation</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Logical (RLS)</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Schema-level</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Physical (separate DB)</w:t>
            </w:r>
          </w:p>
        </w:tc>
      </w:tr>
      <w:tr>
        <w:tc>
          <w:tcPr>
            <w:tcW w:type="dxa" w:w="2250"/>
            <w:shd w:color="FAF8F2" w:val="solid"/>
            <w:tcMar>
              <w:top w:type="dxa" w:w="80"/>
              <w:left w:type="dxa" w:w="120"/>
              <w:bottom w:type="dxa" w:w="80"/>
              <w:right w:type="dxa" w:w="120"/>
            </w:tcMar>
          </w:tcPr>
          <w:p>
            <w:r>
              <w:rPr>
                <w:b/>
                <w:bCs/>
                <w:color w:val="1F1B17"/>
                <w:sz w:val="20"/>
                <w:szCs w:val="20"/>
                <w:rFonts w:ascii="Arial" w:cs="Arial" w:eastAsia="Arial" w:hAnsi="Arial"/>
              </w:rPr>
              <w:t xml:space="preserve">Cost per Tenant</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Lowest</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Medium</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Highest</w:t>
            </w:r>
          </w:p>
        </w:tc>
      </w:tr>
      <w:tr>
        <w:tc>
          <w:tcPr>
            <w:tcW w:type="dxa" w:w="2250"/>
            <w:tcMar>
              <w:top w:type="dxa" w:w="80"/>
              <w:left w:type="dxa" w:w="120"/>
              <w:bottom w:type="dxa" w:w="80"/>
              <w:right w:type="dxa" w:w="120"/>
            </w:tcMar>
          </w:tcPr>
          <w:p>
            <w:r>
              <w:rPr>
                <w:b/>
                <w:bCs/>
                <w:color w:val="1F1B17"/>
                <w:sz w:val="20"/>
                <w:szCs w:val="20"/>
                <w:rFonts w:ascii="Arial" w:cs="Arial" w:eastAsia="Arial" w:hAnsi="Arial"/>
              </w:rPr>
              <w:t xml:space="preserve">Operational Complexity</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Lowest</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Medium</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Highest</w:t>
            </w:r>
          </w:p>
        </w:tc>
      </w:tr>
      <w:tr>
        <w:tc>
          <w:tcPr>
            <w:tcW w:type="dxa" w:w="2250"/>
            <w:shd w:color="FAF8F2" w:val="solid"/>
            <w:tcMar>
              <w:top w:type="dxa" w:w="80"/>
              <w:left w:type="dxa" w:w="120"/>
              <w:bottom w:type="dxa" w:w="80"/>
              <w:right w:type="dxa" w:w="120"/>
            </w:tcMar>
          </w:tcPr>
          <w:p>
            <w:r>
              <w:rPr>
                <w:b/>
                <w:bCs/>
                <w:color w:val="1F1B17"/>
                <w:sz w:val="20"/>
                <w:szCs w:val="20"/>
                <w:rFonts w:ascii="Arial" w:cs="Arial" w:eastAsia="Arial" w:hAnsi="Arial"/>
              </w:rPr>
              <w:t xml:space="preserve">Scalability</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10,000+ tenants</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~500 per DB</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1 per DB</w:t>
            </w:r>
          </w:p>
        </w:tc>
      </w:tr>
      <w:tr>
        <w:tc>
          <w:tcPr>
            <w:tcW w:type="dxa" w:w="2250"/>
            <w:tcMar>
              <w:top w:type="dxa" w:w="80"/>
              <w:left w:type="dxa" w:w="120"/>
              <w:bottom w:type="dxa" w:w="80"/>
              <w:right w:type="dxa" w:w="120"/>
            </w:tcMar>
          </w:tcPr>
          <w:p>
            <w:r>
              <w:rPr>
                <w:b/>
                <w:bCs/>
                <w:color w:val="1F1B17"/>
                <w:sz w:val="20"/>
                <w:szCs w:val="20"/>
                <w:rFonts w:ascii="Arial" w:cs="Arial" w:eastAsia="Arial" w:hAnsi="Arial"/>
              </w:rPr>
              <w:t xml:space="preserve">Schema Migrations</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Single migration</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Per schema</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Per database</w:t>
            </w:r>
          </w:p>
        </w:tc>
      </w:tr>
      <w:tr>
        <w:tc>
          <w:tcPr>
            <w:tcW w:type="dxa" w:w="2250"/>
            <w:shd w:color="FAF8F2" w:val="solid"/>
            <w:tcMar>
              <w:top w:type="dxa" w:w="80"/>
              <w:left w:type="dxa" w:w="120"/>
              <w:bottom w:type="dxa" w:w="80"/>
              <w:right w:type="dxa" w:w="120"/>
            </w:tcMar>
          </w:tcPr>
          <w:p>
            <w:r>
              <w:rPr>
                <w:b/>
                <w:bCs/>
                <w:color w:val="1F1B17"/>
                <w:sz w:val="20"/>
                <w:szCs w:val="20"/>
                <w:rFonts w:ascii="Arial" w:cs="Arial" w:eastAsia="Arial" w:hAnsi="Arial"/>
              </w:rPr>
              <w:t xml:space="preserve">Backup &amp; Restore</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Whole DB only</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Per schema possible</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Per tenant trivial</w:t>
            </w:r>
          </w:p>
        </w:tc>
      </w:tr>
      <w:tr>
        <w:tc>
          <w:tcPr>
            <w:tcW w:type="dxa" w:w="2250"/>
            <w:tcMar>
              <w:top w:type="dxa" w:w="80"/>
              <w:left w:type="dxa" w:w="120"/>
              <w:bottom w:type="dxa" w:w="80"/>
              <w:right w:type="dxa" w:w="120"/>
            </w:tcMar>
          </w:tcPr>
          <w:p>
            <w:r>
              <w:rPr>
                <w:b/>
                <w:bCs/>
                <w:color w:val="1F1B17"/>
                <w:sz w:val="20"/>
                <w:szCs w:val="20"/>
                <w:rFonts w:ascii="Arial" w:cs="Arial" w:eastAsia="Arial" w:hAnsi="Arial"/>
              </w:rPr>
              <w:t xml:space="preserve">Performance Impact</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Noisy neighbor risk</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Some isolation</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Full isolation</w:t>
            </w:r>
          </w:p>
        </w:tc>
      </w:tr>
      <w:tr>
        <w:tc>
          <w:tcPr>
            <w:tcW w:type="dxa" w:w="2250"/>
            <w:shd w:color="FAF8F2" w:val="solid"/>
            <w:tcMar>
              <w:top w:type="dxa" w:w="80"/>
              <w:left w:type="dxa" w:w="120"/>
              <w:bottom w:type="dxa" w:w="80"/>
              <w:right w:type="dxa" w:w="120"/>
            </w:tcMar>
          </w:tcPr>
          <w:p>
            <w:r>
              <w:rPr>
                <w:b/>
                <w:bCs/>
                <w:color w:val="1F1B17"/>
                <w:sz w:val="20"/>
                <w:szCs w:val="20"/>
                <w:rFonts w:ascii="Arial" w:cs="Arial" w:eastAsia="Arial" w:hAnsi="Arial"/>
              </w:rPr>
              <w:t xml:space="preserve">Compliance Fit</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SaaS standard</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Mid-market</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Enterprise/regulated</w:t>
            </w:r>
          </w:p>
        </w:tc>
      </w:tr>
      <w:tr>
        <w:tc>
          <w:tcPr>
            <w:tcW w:type="dxa" w:w="2250"/>
            <w:tcMar>
              <w:top w:type="dxa" w:w="80"/>
              <w:left w:type="dxa" w:w="120"/>
              <w:bottom w:type="dxa" w:w="80"/>
              <w:right w:type="dxa" w:w="120"/>
            </w:tcMar>
          </w:tcPr>
          <w:p>
            <w:r>
              <w:rPr>
                <w:b/>
                <w:bCs/>
                <w:color w:val="1F1B17"/>
                <w:sz w:val="20"/>
                <w:szCs w:val="20"/>
                <w:rFonts w:ascii="Arial" w:cs="Arial" w:eastAsia="Arial" w:hAnsi="Arial"/>
              </w:rPr>
              <w:t xml:space="preserve">Best For</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SMB SaaS</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Mid-market scale</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Banking, healthcare, gov</w:t>
            </w:r>
          </w:p>
        </w:tc>
      </w:tr>
    </w:tbl>
    <w:p>
      <w:pPr>
        <w:spacing w:after="80"/>
      </w:pPr>
      <w:r>
        <w:t xml:space="preserve"> </w:t>
      </w:r>
    </w:p>
    <w:p>
      <w:pPr>
        <w:spacing w:before="360" w:after="120"/>
      </w:pPr>
      <w:r>
        <w:rPr>
          <w:b/>
          <w:bCs/>
          <w:color w:val="1F1B17"/>
          <w:sz w:val="28"/>
          <w:szCs w:val="28"/>
          <w:rFonts w:ascii="Georgia" w:cs="Georgia" w:eastAsia="Georgia" w:hAnsi="Georgia"/>
        </w:rPr>
        <w:t xml:space="preserve">5.2 OpsLixs Planned Approach: Hybrid by Tier</w:t>
      </w:r>
    </w:p>
    <w:p>
      <w:pPr>
        <w:spacing w:after="120"/>
        <w:jc w:val="both"/>
      </w:pPr>
      <w:r>
        <w:rPr>
          <w:color w:val="1F1B17"/>
          <w:sz w:val="22"/>
          <w:szCs w:val="22"/>
          <w:rFonts w:ascii="Arial" w:cs="Arial" w:eastAsia="Arial" w:hAnsi="Arial"/>
        </w:rPr>
        <w:t xml:space="preserve">Rather than picking one model, OpsLix maps each model to a customer tier:</w:t>
      </w:r>
    </w:p>
    <w:p>
      <w:pPr>
        <w:pStyle w:val="ListParagraph"/>
        <w:numPr>
          <w:ilvl w:val="0"/>
          <w:numId w:val="1"/>
        </w:numPr>
        <w:spacing w:after="60"/>
      </w:pPr>
      <w:r>
        <w:rPr>
          <w:b/>
          <w:bCs/>
          <w:color w:val="1F1B17"/>
          <w:sz w:val="22"/>
          <w:szCs w:val="22"/>
          <w:rFonts w:ascii="Arial" w:cs="Arial" w:eastAsia="Arial" w:hAnsi="Arial"/>
        </w:rPr>
        <w:t xml:space="preserve">Standard tier (INR 50K-1.25L/month):</w:t>
      </w:r>
      <w:r>
        <w:rPr>
          <w:color w:val="1F1B17"/>
          <w:sz w:val="22"/>
          <w:szCs w:val="22"/>
          <w:rFonts w:ascii="Arial" w:cs="Arial" w:eastAsia="Arial" w:hAnsi="Arial"/>
        </w:rPr>
        <w:t xml:space="preserve"> Model A — Shared DB with Row-Level Security. Optimal economics for SMB.</w:t>
      </w:r>
    </w:p>
    <w:p>
      <w:pPr>
        <w:pStyle w:val="ListParagraph"/>
        <w:numPr>
          <w:ilvl w:val="0"/>
          <w:numId w:val="1"/>
        </w:numPr>
        <w:spacing w:after="60"/>
      </w:pPr>
      <w:r>
        <w:rPr>
          <w:b/>
          <w:bCs/>
          <w:color w:val="1F1B17"/>
          <w:sz w:val="22"/>
          <w:szCs w:val="22"/>
          <w:rFonts w:ascii="Arial" w:cs="Arial" w:eastAsia="Arial" w:hAnsi="Arial"/>
        </w:rPr>
        <w:t xml:space="preserve">Enterprise tier (custom pricing):</w:t>
      </w:r>
      <w:r>
        <w:rPr>
          <w:color w:val="1F1B17"/>
          <w:sz w:val="22"/>
          <w:szCs w:val="22"/>
          <w:rFonts w:ascii="Arial" w:cs="Arial" w:eastAsia="Arial" w:hAnsi="Arial"/>
        </w:rPr>
        <w:t xml:space="preserve"> Model C — Dedicated database. Strongest isolation, on-demand backups, compliance-friendly.</w:t>
      </w:r>
    </w:p>
    <w:p>
      <w:pPr>
        <w:pStyle w:val="ListParagraph"/>
        <w:numPr>
          <w:ilvl w:val="0"/>
          <w:numId w:val="1"/>
        </w:numPr>
        <w:spacing w:after="60"/>
      </w:pPr>
      <w:r>
        <w:rPr>
          <w:b/>
          <w:bCs/>
          <w:color w:val="1F1B17"/>
          <w:sz w:val="22"/>
          <w:szCs w:val="22"/>
          <w:rFonts w:ascii="Arial" w:cs="Arial" w:eastAsia="Arial" w:hAnsi="Arial"/>
        </w:rPr>
        <w:t xml:space="preserve">On-Premise:</w:t>
      </w:r>
      <w:r>
        <w:rPr>
          <w:color w:val="1F1B17"/>
          <w:sz w:val="22"/>
          <w:szCs w:val="22"/>
          <w:rFonts w:ascii="Arial" w:cs="Arial" w:eastAsia="Arial" w:hAnsi="Arial"/>
        </w:rPr>
        <w:t xml:space="preserve"> Customer chooses — typically deploys with Model A internally.</w:t>
      </w:r>
    </w:p>
    <w:p>
      <w:pPr>
        <w:spacing w:before="360" w:after="120"/>
      </w:pPr>
      <w:r>
        <w:rPr>
          <w:b/>
          <w:bCs/>
          <w:color w:val="1F1B17"/>
          <w:sz w:val="28"/>
          <w:szCs w:val="28"/>
          <w:rFonts w:ascii="Georgia" w:cs="Georgia" w:eastAsia="Georgia" w:hAnsi="Georgia"/>
        </w:rPr>
        <w:t xml:space="preserve">5.3 Implementation: Row-Level Security (Model A)</w:t>
      </w:r>
    </w:p>
    <w:p>
      <w:pPr>
        <w:spacing w:after="120"/>
        <w:jc w:val="both"/>
      </w:pPr>
      <w:r>
        <w:rPr>
          <w:color w:val="1F1B17"/>
          <w:sz w:val="22"/>
          <w:szCs w:val="22"/>
          <w:rFonts w:ascii="Arial" w:cs="Arial" w:eastAsia="Arial" w:hAnsi="Arial"/>
        </w:rPr>
        <w:t xml:space="preserve">Every tenant-scoped table includes a tenant_id UUID NOT NULL column with a foreign key to tenants(id). Postgres Row-Level Security policies enforce that queries can only access rows matching the current sessions tenant_id.</w:t>
      </w:r>
    </w:p>
    <w:p>
      <w:pPr>
        <w:shd w:color="F5F2EB" w:val="solid"/>
        <w:spacing w:before="120" w:after="120"/>
        <w:ind w:left="240" w:right="240"/>
      </w:pPr>
      <w:r>
        <w:rPr>
          <w:color w:val="1F1B17"/>
          <w:sz w:val="18"/>
          <w:szCs w:val="18"/>
          <w:rFonts w:ascii="Consolas" w:cs="Consolas" w:eastAsia="Consolas" w:hAnsi="Consolas"/>
        </w:rPr>
        <w:t xml:space="preserve">-- Enable RLS on table</w:t>
      </w:r>
    </w:p>
    <w:p>
      <w:pPr>
        <w:shd w:color="F5F2EB" w:val="solid"/>
        <w:spacing w:before="120" w:after="120"/>
        <w:ind w:left="240" w:right="240"/>
      </w:pPr>
      <w:r>
        <w:rPr>
          <w:color w:val="1F1B17"/>
          <w:sz w:val="18"/>
          <w:szCs w:val="18"/>
          <w:rFonts w:ascii="Consolas" w:cs="Consolas" w:eastAsia="Consolas" w:hAnsi="Consolas"/>
        </w:rPr>
        <w:t xml:space="preserve">ALTER TABLE incidents ENABLE ROW LEVEL SECURITY;</w:t>
      </w:r>
    </w:p>
    <w:p>
      <w:pPr>
        <w:shd w:color="F5F2EB" w:val="solid"/>
        <w:spacing w:before="120" w:after="120"/>
        <w:ind w:left="240" w:right="240"/>
      </w:pPr>
      <w:r>
        <w:rPr>
          <w:color w:val="1F1B17"/>
          <w:sz w:val="18"/>
          <w:szCs w:val="18"/>
          <w:rFonts w:ascii="Consolas" w:cs="Consolas" w:eastAsia="Consolas" w:hAnsi="Consolas"/>
        </w:rPr>
      </w:r>
    </w:p>
    <w:p>
      <w:pPr>
        <w:shd w:color="F5F2EB" w:val="solid"/>
        <w:spacing w:before="120" w:after="120"/>
        <w:ind w:left="240" w:right="240"/>
      </w:pPr>
      <w:r>
        <w:rPr>
          <w:color w:val="1F1B17"/>
          <w:sz w:val="18"/>
          <w:szCs w:val="18"/>
          <w:rFonts w:ascii="Consolas" w:cs="Consolas" w:eastAsia="Consolas" w:hAnsi="Consolas"/>
        </w:rPr>
        <w:t xml:space="preserve">-- Create policy: tenant isolation</w:t>
      </w:r>
    </w:p>
    <w:p>
      <w:pPr>
        <w:shd w:color="F5F2EB" w:val="solid"/>
        <w:spacing w:before="120" w:after="120"/>
        <w:ind w:left="240" w:right="240"/>
      </w:pPr>
      <w:r>
        <w:rPr>
          <w:color w:val="1F1B17"/>
          <w:sz w:val="18"/>
          <w:szCs w:val="18"/>
          <w:rFonts w:ascii="Consolas" w:cs="Consolas" w:eastAsia="Consolas" w:hAnsi="Consolas"/>
        </w:rPr>
        <w:t xml:space="preserve">CREATE POLICY tenant_isolation_policy ON incidents</w:t>
      </w:r>
    </w:p>
    <w:p>
      <w:pPr>
        <w:shd w:color="F5F2EB" w:val="solid"/>
        <w:spacing w:before="120" w:after="120"/>
        <w:ind w:left="240" w:right="240"/>
      </w:pPr>
      <w:r>
        <w:rPr>
          <w:color w:val="1F1B17"/>
          <w:sz w:val="18"/>
          <w:szCs w:val="18"/>
          <w:rFonts w:ascii="Consolas" w:cs="Consolas" w:eastAsia="Consolas" w:hAnsi="Consolas"/>
        </w:rPr>
        <w:t xml:space="preserve">  USING (tenant_id = current_setting('app.current_tenant')::uuid);</w:t>
      </w:r>
    </w:p>
    <w:p>
      <w:pPr>
        <w:shd w:color="F5F2EB" w:val="solid"/>
        <w:spacing w:before="120" w:after="120"/>
        <w:ind w:left="240" w:right="240"/>
      </w:pPr>
      <w:r>
        <w:rPr>
          <w:color w:val="1F1B17"/>
          <w:sz w:val="18"/>
          <w:szCs w:val="18"/>
          <w:rFonts w:ascii="Consolas" w:cs="Consolas" w:eastAsia="Consolas" w:hAnsi="Consolas"/>
        </w:rPr>
      </w:r>
    </w:p>
    <w:p>
      <w:pPr>
        <w:shd w:color="F5F2EB" w:val="solid"/>
        <w:spacing w:before="120" w:after="120"/>
        <w:ind w:left="240" w:right="240"/>
      </w:pPr>
      <w:r>
        <w:rPr>
          <w:color w:val="1F1B17"/>
          <w:sz w:val="18"/>
          <w:szCs w:val="18"/>
          <w:rFonts w:ascii="Consolas" w:cs="Consolas" w:eastAsia="Consolas" w:hAnsi="Consolas"/>
        </w:rPr>
        <w:t xml:space="preserve">-- Backend sets session variable per request</w:t>
      </w:r>
    </w:p>
    <w:p>
      <w:pPr>
        <w:shd w:color="F5F2EB" w:val="solid"/>
        <w:spacing w:before="120" w:after="120"/>
        <w:ind w:left="240" w:right="240"/>
      </w:pPr>
      <w:r>
        <w:rPr>
          <w:color w:val="1F1B17"/>
          <w:sz w:val="18"/>
          <w:szCs w:val="18"/>
          <w:rFonts w:ascii="Consolas" w:cs="Consolas" w:eastAsia="Consolas" w:hAnsi="Consolas"/>
        </w:rPr>
        <w:t xml:space="preserve">SET LOCAL app.current_tenant = 'a3b4c5d6-e7f8-...';</w:t>
      </w:r>
    </w:p>
    <w:p>
      <w:pPr>
        <w:shd w:color="F5F2EB" w:val="solid"/>
        <w:spacing w:before="120" w:after="120"/>
        <w:ind w:left="240" w:right="240"/>
      </w:pPr>
      <w:r>
        <w:rPr>
          <w:color w:val="1F1B17"/>
          <w:sz w:val="18"/>
          <w:szCs w:val="18"/>
          <w:rFonts w:ascii="Consolas" w:cs="Consolas" w:eastAsia="Consolas" w:hAnsi="Consolas"/>
        </w:rPr>
        <w:t xml:space="preserve">SELECT * FROM incidents; -- Returns only this tenants rows</w:t>
      </w:r>
    </w:p>
    <w:p>
      <w:pPr>
        <w:pBdr>
          <w:left w:val="single" w:color="B8935C" w:sz="24" w:space="8"/>
        </w:pBdr>
        <w:shd w:color="F5F2EB" w:val="solid"/>
        <w:spacing w:before="200" w:after="200"/>
        <w:ind w:left="240" w:right="240"/>
      </w:pPr>
      <w:r>
        <w:rPr>
          <w:b/>
          <w:bCs/>
          <w:color w:val="B8935C"/>
          <w:sz w:val="22"/>
          <w:szCs w:val="22"/>
          <w:rFonts w:ascii="Arial" w:cs="Arial" w:eastAsia="Arial" w:hAnsi="Arial"/>
        </w:rPr>
        <w:t xml:space="preserve">Migration Path: </w:t>
      </w:r>
      <w:r>
        <w:rPr>
          <w:color w:val="1F1B17"/>
          <w:sz w:val="22"/>
          <w:szCs w:val="22"/>
          <w:rFonts w:ascii="Arial" w:cs="Arial" w:eastAsia="Arial" w:hAnsi="Arial"/>
        </w:rPr>
        <w:t xml:space="preserve">The current OpsLix prototype is single-tenant. Migration to multi-tenant Model A requires: (1) schema migration adding tenant_id to every table, (2) backfill existing rows with default tenant ID, (3) RLS policies on all tables, (4) JWT payload updated with tenantId, (5) backend middleware sets SET LOCAL app.current_tenant per request. Estimated effort: 3-4 weeks for solo dev.</w:t>
      </w:r>
    </w:p>
    <w:p>
      <w:pPr>
        <w:spacing w:before="480" w:after="80"/>
      </w:pPr>
      <w:r>
        <w:rPr>
          <w:b/>
          <w:bCs/>
          <w:color w:val="C6583E"/>
          <w:sz w:val="20"/>
          <w:szCs w:val="20"/>
          <w:rFonts w:ascii="Arial" w:cs="Arial" w:eastAsia="Arial" w:hAnsi="Arial"/>
        </w:rPr>
        <w:t xml:space="preserve">SECTION 06</w:t>
      </w:r>
    </w:p>
    <w:p>
      <w:pPr>
        <w:spacing w:after="240"/>
      </w:pPr>
      <w:r>
        <w:rPr>
          <w:b/>
          <w:bCs/>
          <w:color w:val="1F1B17"/>
          <w:sz w:val="44"/>
          <w:szCs w:val="44"/>
          <w:rFonts w:ascii="Georgia" w:cs="Georgia" w:eastAsia="Georgia" w:hAnsi="Georgia"/>
        </w:rPr>
        <w:t xml:space="preserve">Database Architecture</w:t>
      </w:r>
    </w:p>
    <w:p>
      <w:pPr>
        <w:spacing w:before="360" w:after="120"/>
      </w:pPr>
      <w:r>
        <w:rPr>
          <w:b/>
          <w:bCs/>
          <w:color w:val="1F1B17"/>
          <w:sz w:val="28"/>
          <w:szCs w:val="28"/>
          <w:rFonts w:ascii="Georgia" w:cs="Georgia" w:eastAsia="Georgia" w:hAnsi="Georgia"/>
        </w:rPr>
        <w:t xml:space="preserve">6.1 Core Schema (Tenant-Scoped)</w:t>
      </w:r>
    </w:p>
    <w:p>
      <w:pPr>
        <w:spacing w:after="120"/>
        <w:jc w:val="both"/>
      </w:pPr>
      <w:r>
        <w:rPr>
          <w:color w:val="1F1B17"/>
          <w:sz w:val="22"/>
          <w:szCs w:val="22"/>
          <w:rFonts w:ascii="Arial" w:cs="Arial" w:eastAsia="Arial" w:hAnsi="Arial"/>
        </w:rPr>
        <w:t xml:space="preserve">The data model centers on a tenants table that anchors all customer data. Every other table includes a foreign key to tenants.id.</w:t>
      </w:r>
    </w:p>
    <w:p>
      <w:pPr>
        <w:shd w:color="F5F2EB" w:val="solid"/>
        <w:spacing w:before="120" w:after="120"/>
        <w:ind w:left="240" w:right="240"/>
      </w:pPr>
      <w:r>
        <w:rPr>
          <w:color w:val="1F1B17"/>
          <w:sz w:val="18"/>
          <w:szCs w:val="18"/>
          <w:rFonts w:ascii="Consolas" w:cs="Consolas" w:eastAsia="Consolas" w:hAnsi="Consolas"/>
        </w:rPr>
        <w:t xml:space="preserve">CREATE TABLE tenants (</w:t>
      </w:r>
    </w:p>
    <w:p>
      <w:pPr>
        <w:shd w:color="F5F2EB" w:val="solid"/>
        <w:spacing w:before="120" w:after="120"/>
        <w:ind w:left="240" w:right="240"/>
      </w:pPr>
      <w:r>
        <w:rPr>
          <w:color w:val="1F1B17"/>
          <w:sz w:val="18"/>
          <w:szCs w:val="18"/>
          <w:rFonts w:ascii="Consolas" w:cs="Consolas" w:eastAsia="Consolas" w:hAnsi="Consolas"/>
        </w:rPr>
        <w:t xml:space="preserve">  id           UUID PRIMARY KEY DEFAULT gen_random_uuid(),</w:t>
      </w:r>
    </w:p>
    <w:p>
      <w:pPr>
        <w:shd w:color="F5F2EB" w:val="solid"/>
        <w:spacing w:before="120" w:after="120"/>
        <w:ind w:left="240" w:right="240"/>
      </w:pPr>
      <w:r>
        <w:rPr>
          <w:color w:val="1F1B17"/>
          <w:sz w:val="18"/>
          <w:szCs w:val="18"/>
          <w:rFonts w:ascii="Consolas" w:cs="Consolas" w:eastAsia="Consolas" w:hAnsi="Consolas"/>
        </w:rPr>
        <w:t xml:space="preserve">  slug         VARCHAR(50) UNIQUE NOT NULL,</w:t>
      </w:r>
    </w:p>
    <w:p>
      <w:pPr>
        <w:shd w:color="F5F2EB" w:val="solid"/>
        <w:spacing w:before="120" w:after="120"/>
        <w:ind w:left="240" w:right="240"/>
      </w:pPr>
      <w:r>
        <w:rPr>
          <w:color w:val="1F1B17"/>
          <w:sz w:val="18"/>
          <w:szCs w:val="18"/>
          <w:rFonts w:ascii="Consolas" w:cs="Consolas" w:eastAsia="Consolas" w:hAnsi="Consolas"/>
        </w:rPr>
        <w:t xml:space="preserve">  legal_name   VARCHAR(200) NOT NULL,</w:t>
      </w:r>
    </w:p>
    <w:p>
      <w:pPr>
        <w:shd w:color="F5F2EB" w:val="solid"/>
        <w:spacing w:before="120" w:after="120"/>
        <w:ind w:left="240" w:right="240"/>
      </w:pPr>
      <w:r>
        <w:rPr>
          <w:color w:val="1F1B17"/>
          <w:sz w:val="18"/>
          <w:szCs w:val="18"/>
          <w:rFonts w:ascii="Consolas" w:cs="Consolas" w:eastAsia="Consolas" w:hAnsi="Consolas"/>
        </w:rPr>
        <w:t xml:space="preserve">  display_name VARCHAR(200) NOT NULL,</w:t>
      </w:r>
    </w:p>
    <w:p>
      <w:pPr>
        <w:shd w:color="F5F2EB" w:val="solid"/>
        <w:spacing w:before="120" w:after="120"/>
        <w:ind w:left="240" w:right="240"/>
      </w:pPr>
      <w:r>
        <w:rPr>
          <w:color w:val="1F1B17"/>
          <w:sz w:val="18"/>
          <w:szCs w:val="18"/>
          <w:rFonts w:ascii="Consolas" w:cs="Consolas" w:eastAsia="Consolas" w:hAnsi="Consolas"/>
        </w:rPr>
        <w:t xml:space="preserve">  plan         VARCHAR(20) NOT NULL DEFAULT 'pilot',</w:t>
      </w:r>
    </w:p>
    <w:p>
      <w:pPr>
        <w:shd w:color="F5F2EB" w:val="solid"/>
        <w:spacing w:before="120" w:after="120"/>
        <w:ind w:left="240" w:right="240"/>
      </w:pPr>
      <w:r>
        <w:rPr>
          <w:color w:val="1F1B17"/>
          <w:sz w:val="18"/>
          <w:szCs w:val="18"/>
          <w:rFonts w:ascii="Consolas" w:cs="Consolas" w:eastAsia="Consolas" w:hAnsi="Consolas"/>
        </w:rPr>
        <w:t xml:space="preserve">  region       VARCHAR(2)  NOT NULL DEFAULT 'IN',</w:t>
      </w:r>
    </w:p>
    <w:p>
      <w:pPr>
        <w:shd w:color="F5F2EB" w:val="solid"/>
        <w:spacing w:before="120" w:after="120"/>
        <w:ind w:left="240" w:right="240"/>
      </w:pPr>
      <w:r>
        <w:rPr>
          <w:color w:val="1F1B17"/>
          <w:sz w:val="18"/>
          <w:szCs w:val="18"/>
          <w:rFonts w:ascii="Consolas" w:cs="Consolas" w:eastAsia="Consolas" w:hAnsi="Consolas"/>
        </w:rPr>
        <w:t xml:space="preserve">  created_at   TIMESTAMPTZ NOT NULL DEFAULT now()</w:t>
      </w:r>
    </w:p>
    <w:p>
      <w:pPr>
        <w:shd w:color="F5F2EB" w:val="solid"/>
        <w:spacing w:before="120" w:after="120"/>
        <w:ind w:left="240" w:right="240"/>
      </w:pPr>
      <w:r>
        <w:rPr>
          <w:color w:val="1F1B17"/>
          <w:sz w:val="18"/>
          <w:szCs w:val="18"/>
          <w:rFonts w:ascii="Consolas" w:cs="Consolas" w:eastAsia="Consolas" w:hAnsi="Consolas"/>
        </w:rPr>
        <w:t xml:space="preserve">);</w:t>
      </w:r>
    </w:p>
    <w:p>
      <w:pPr>
        <w:shd w:color="F5F2EB" w:val="solid"/>
        <w:spacing w:before="120" w:after="120"/>
        <w:ind w:left="240" w:right="240"/>
      </w:pPr>
      <w:r>
        <w:rPr>
          <w:color w:val="1F1B17"/>
          <w:sz w:val="18"/>
          <w:szCs w:val="18"/>
          <w:rFonts w:ascii="Consolas" w:cs="Consolas" w:eastAsia="Consolas" w:hAnsi="Consolas"/>
        </w:rPr>
      </w:r>
    </w:p>
    <w:p>
      <w:pPr>
        <w:shd w:color="F5F2EB" w:val="solid"/>
        <w:spacing w:before="120" w:after="120"/>
        <w:ind w:left="240" w:right="240"/>
      </w:pPr>
      <w:r>
        <w:rPr>
          <w:color w:val="1F1B17"/>
          <w:sz w:val="18"/>
          <w:szCs w:val="18"/>
          <w:rFonts w:ascii="Consolas" w:cs="Consolas" w:eastAsia="Consolas" w:hAnsi="Consolas"/>
        </w:rPr>
        <w:t xml:space="preserve">CREATE TABLE users (</w:t>
      </w:r>
    </w:p>
    <w:p>
      <w:pPr>
        <w:shd w:color="F5F2EB" w:val="solid"/>
        <w:spacing w:before="120" w:after="120"/>
        <w:ind w:left="240" w:right="240"/>
      </w:pPr>
      <w:r>
        <w:rPr>
          <w:color w:val="1F1B17"/>
          <w:sz w:val="18"/>
          <w:szCs w:val="18"/>
          <w:rFonts w:ascii="Consolas" w:cs="Consolas" w:eastAsia="Consolas" w:hAnsi="Consolas"/>
        </w:rPr>
        <w:t xml:space="preserve">  id        UUID PRIMARY KEY DEFAULT gen_random_uuid(),</w:t>
      </w:r>
    </w:p>
    <w:p>
      <w:pPr>
        <w:shd w:color="F5F2EB" w:val="solid"/>
        <w:spacing w:before="120" w:after="120"/>
        <w:ind w:left="240" w:right="240"/>
      </w:pPr>
      <w:r>
        <w:rPr>
          <w:color w:val="1F1B17"/>
          <w:sz w:val="18"/>
          <w:szCs w:val="18"/>
          <w:rFonts w:ascii="Consolas" w:cs="Consolas" w:eastAsia="Consolas" w:hAnsi="Consolas"/>
        </w:rPr>
        <w:t xml:space="preserve">  tenant_id UUID NOT NULL REFERENCES tenants(id) ON DELETE CASCADE,</w:t>
      </w:r>
    </w:p>
    <w:p>
      <w:pPr>
        <w:shd w:color="F5F2EB" w:val="solid"/>
        <w:spacing w:before="120" w:after="120"/>
        <w:ind w:left="240" w:right="240"/>
      </w:pPr>
      <w:r>
        <w:rPr>
          <w:color w:val="1F1B17"/>
          <w:sz w:val="18"/>
          <w:szCs w:val="18"/>
          <w:rFonts w:ascii="Consolas" w:cs="Consolas" w:eastAsia="Consolas" w:hAnsi="Consolas"/>
        </w:rPr>
        <w:t xml:space="preserve">  email     VARCHAR(255) NOT NULL,</w:t>
      </w:r>
    </w:p>
    <w:p>
      <w:pPr>
        <w:shd w:color="F5F2EB" w:val="solid"/>
        <w:spacing w:before="120" w:after="120"/>
        <w:ind w:left="240" w:right="240"/>
      </w:pPr>
      <w:r>
        <w:rPr>
          <w:color w:val="1F1B17"/>
          <w:sz w:val="18"/>
          <w:szCs w:val="18"/>
          <w:rFonts w:ascii="Consolas" w:cs="Consolas" w:eastAsia="Consolas" w:hAnsi="Consolas"/>
        </w:rPr>
        <w:t xml:space="preserve">  password  VARCHAR(255) NOT NULL,        -- bcrypt hash</w:t>
      </w:r>
    </w:p>
    <w:p>
      <w:pPr>
        <w:shd w:color="F5F2EB" w:val="solid"/>
        <w:spacing w:before="120" w:after="120"/>
        <w:ind w:left="240" w:right="240"/>
      </w:pPr>
      <w:r>
        <w:rPr>
          <w:color w:val="1F1B17"/>
          <w:sz w:val="18"/>
          <w:szCs w:val="18"/>
          <w:rFonts w:ascii="Consolas" w:cs="Consolas" w:eastAsia="Consolas" w:hAnsi="Consolas"/>
        </w:rPr>
        <w:t xml:space="preserve">  role      VARCHAR(20)  NOT NULL DEFAULT 'USER',</w:t>
      </w:r>
    </w:p>
    <w:p>
      <w:pPr>
        <w:shd w:color="F5F2EB" w:val="solid"/>
        <w:spacing w:before="120" w:after="120"/>
        <w:ind w:left="240" w:right="240"/>
      </w:pPr>
      <w:r>
        <w:rPr>
          <w:color w:val="1F1B17"/>
          <w:sz w:val="18"/>
          <w:szCs w:val="18"/>
          <w:rFonts w:ascii="Consolas" w:cs="Consolas" w:eastAsia="Consolas" w:hAnsi="Consolas"/>
        </w:rPr>
        <w:t xml:space="preserve">  UNIQUE (tenant_id, email)</w:t>
      </w:r>
    </w:p>
    <w:p>
      <w:pPr>
        <w:shd w:color="F5F2EB" w:val="solid"/>
        <w:spacing w:before="120" w:after="120"/>
        <w:ind w:left="240" w:right="240"/>
      </w:pPr>
      <w:r>
        <w:rPr>
          <w:color w:val="1F1B17"/>
          <w:sz w:val="18"/>
          <w:szCs w:val="18"/>
          <w:rFonts w:ascii="Consolas" w:cs="Consolas" w:eastAsia="Consolas" w:hAnsi="Consolas"/>
        </w:rPr>
        <w:t xml:space="preserve">);</w:t>
      </w:r>
    </w:p>
    <w:p>
      <w:pPr>
        <w:spacing w:before="360" w:after="120"/>
      </w:pPr>
      <w:r>
        <w:rPr>
          <w:b/>
          <w:bCs/>
          <w:color w:val="1F1B17"/>
          <w:sz w:val="28"/>
          <w:szCs w:val="28"/>
          <w:rFonts w:ascii="Georgia" w:cs="Georgia" w:eastAsia="Georgia" w:hAnsi="Georgia"/>
        </w:rPr>
        <w:t xml:space="preserve">6.2 Index Strategy</w:t>
      </w:r>
    </w:p>
    <w:p>
      <w:pPr>
        <w:spacing w:after="120"/>
        <w:jc w:val="both"/>
      </w:pPr>
      <w:r>
        <w:rPr>
          <w:color w:val="1F1B17"/>
          <w:sz w:val="22"/>
          <w:szCs w:val="22"/>
          <w:rFonts w:ascii="Arial" w:cs="Arial" w:eastAsia="Arial" w:hAnsi="Arial"/>
        </w:rPr>
        <w:t xml:space="preserve">Every tenant-scoped table has a composite index on (tenant_id, query_field) to ensure tenant filtering is the first index step.</w:t>
      </w:r>
    </w:p>
    <w:p>
      <w:pPr>
        <w:shd w:color="F5F2EB" w:val="solid"/>
        <w:spacing w:before="120" w:after="120"/>
        <w:ind w:left="240" w:right="240"/>
      </w:pPr>
      <w:r>
        <w:rPr>
          <w:color w:val="1F1B17"/>
          <w:sz w:val="18"/>
          <w:szCs w:val="18"/>
          <w:rFonts w:ascii="Consolas" w:cs="Consolas" w:eastAsia="Consolas" w:hAnsi="Consolas"/>
        </w:rPr>
        <w:t xml:space="preserve">CREATE INDEX idx_incidents_tenant_reported</w:t>
      </w:r>
    </w:p>
    <w:p>
      <w:pPr>
        <w:shd w:color="F5F2EB" w:val="solid"/>
        <w:spacing w:before="120" w:after="120"/>
        <w:ind w:left="240" w:right="240"/>
      </w:pPr>
      <w:r>
        <w:rPr>
          <w:color w:val="1F1B17"/>
          <w:sz w:val="18"/>
          <w:szCs w:val="18"/>
          <w:rFonts w:ascii="Consolas" w:cs="Consolas" w:eastAsia="Consolas" w:hAnsi="Consolas"/>
        </w:rPr>
        <w:t xml:space="preserve">  ON incidents(tenant_id, reported_at DESC);</w:t>
      </w:r>
    </w:p>
    <w:p>
      <w:pPr>
        <w:shd w:color="F5F2EB" w:val="solid"/>
        <w:spacing w:before="120" w:after="120"/>
        <w:ind w:left="240" w:right="240"/>
      </w:pPr>
      <w:r>
        <w:rPr>
          <w:color w:val="1F1B17"/>
          <w:sz w:val="18"/>
          <w:szCs w:val="18"/>
          <w:rFonts w:ascii="Consolas" w:cs="Consolas" w:eastAsia="Consolas" w:hAnsi="Consolas"/>
        </w:rPr>
        <w:t xml:space="preserve">CREATE INDEX idx_users_tenant_email</w:t>
      </w:r>
    </w:p>
    <w:p>
      <w:pPr>
        <w:shd w:color="F5F2EB" w:val="solid"/>
        <w:spacing w:before="120" w:after="120"/>
        <w:ind w:left="240" w:right="240"/>
      </w:pPr>
      <w:r>
        <w:rPr>
          <w:color w:val="1F1B17"/>
          <w:sz w:val="18"/>
          <w:szCs w:val="18"/>
          <w:rFonts w:ascii="Consolas" w:cs="Consolas" w:eastAsia="Consolas" w:hAnsi="Consolas"/>
        </w:rPr>
        <w:t xml:space="preserve">  ON users(tenant_id, email);</w:t>
      </w:r>
    </w:p>
    <w:p>
      <w:pPr>
        <w:spacing w:before="480" w:after="80"/>
      </w:pPr>
      <w:r>
        <w:rPr>
          <w:b/>
          <w:bCs/>
          <w:color w:val="C6583E"/>
          <w:sz w:val="20"/>
          <w:szCs w:val="20"/>
          <w:rFonts w:ascii="Arial" w:cs="Arial" w:eastAsia="Arial" w:hAnsi="Arial"/>
        </w:rPr>
        <w:t xml:space="preserve">SECTION 07</w:t>
      </w:r>
    </w:p>
    <w:p>
      <w:pPr>
        <w:spacing w:after="240"/>
      </w:pPr>
      <w:r>
        <w:rPr>
          <w:b/>
          <w:bCs/>
          <w:color w:val="1F1B17"/>
          <w:sz w:val="44"/>
          <w:szCs w:val="44"/>
          <w:rFonts w:ascii="Georgia" w:cs="Georgia" w:eastAsia="Georgia" w:hAnsi="Georgia"/>
        </w:rPr>
        <w:t xml:space="preserve">Security Architecture</w:t>
      </w:r>
    </w:p>
    <w:p>
      <w:pPr>
        <w:spacing w:after="120"/>
        <w:jc w:val="both"/>
      </w:pPr>
      <w:r>
        <w:rPr>
          <w:color w:val="1F1B17"/>
          <w:sz w:val="22"/>
          <w:szCs w:val="22"/>
          <w:rFonts w:ascii="Arial" w:cs="Arial" w:eastAsia="Arial" w:hAnsi="Arial"/>
        </w:rPr>
        <w:t xml:space="preserve">OpsLix implements defense-in-depth — six independent layers of security, each preventing a different class of attack.</w:t>
      </w:r>
    </w:p>
    <w:p>
      <w:pPr>
        <w:spacing w:after="80"/>
      </w:pPr>
      <w:r>
        <w:t xml:space="preserve"> </w:t>
      </w:r>
    </w:p>
    <w:p>
      <w:pPr>
        <w:spacing w:before="200" w:after="100"/>
        <w:jc w:val="center"/>
      </w:pPr>
      <w:r>
        <w:rPr>
          <w:i/>
          <w:iCs/>
          <w:color w:val="6B6661"/>
          <w:sz w:val="20"/>
          <w:szCs w:val="20"/>
          <w:rFonts w:ascii="Arial" w:cs="Arial" w:eastAsia="Arial" w:hAnsi="Arial"/>
        </w:rPr>
        <w:t xml:space="preserve">[FIGURE 3: Six-Layer Security Onion]</w:t>
      </w:r>
    </w:p>
    <w:p>
      <w:pPr>
        <w:spacing w:before="240" w:after="80"/>
      </w:pPr>
      <w:r>
        <w:rPr>
          <w:b/>
          <w:bCs/>
          <w:color w:val="1F1B17"/>
          <w:sz w:val="22"/>
          <w:szCs w:val="22"/>
          <w:rFonts w:ascii="Arial" w:cs="Arial" w:eastAsia="Arial" w:hAnsi="Arial"/>
        </w:rPr>
        <w:t xml:space="preserve">Layer 1 — Network</w:t>
      </w:r>
    </w:p>
    <w:p>
      <w:pPr>
        <w:pStyle w:val="ListParagraph"/>
        <w:numPr>
          <w:ilvl w:val="0"/>
          <w:numId w:val="1"/>
        </w:numPr>
        <w:spacing w:after="60"/>
      </w:pPr>
      <w:r>
        <w:rPr>
          <w:color w:val="1F1B17"/>
          <w:sz w:val="22"/>
          <w:szCs w:val="22"/>
          <w:rFonts w:ascii="Arial" w:cs="Arial" w:eastAsia="Arial" w:hAnsi="Arial"/>
        </w:rPr>
        <w:t xml:space="preserve">TLS 1.3 for all traffic (Cloudflare auto-provisioned)</w:t>
      </w:r>
    </w:p>
    <w:p>
      <w:pPr>
        <w:pStyle w:val="ListParagraph"/>
        <w:numPr>
          <w:ilvl w:val="0"/>
          <w:numId w:val="1"/>
        </w:numPr>
        <w:spacing w:after="60"/>
      </w:pPr>
      <w:r>
        <w:rPr>
          <w:color w:val="1F1B17"/>
          <w:sz w:val="22"/>
          <w:szCs w:val="22"/>
          <w:rFonts w:ascii="Arial" w:cs="Arial" w:eastAsia="Arial" w:hAnsi="Arial"/>
        </w:rPr>
        <w:t xml:space="preserve">HSTS enforced (browsers refuse HTTP fallback)</w:t>
      </w:r>
    </w:p>
    <w:p>
      <w:pPr>
        <w:pStyle w:val="ListParagraph"/>
        <w:numPr>
          <w:ilvl w:val="0"/>
          <w:numId w:val="1"/>
        </w:numPr>
        <w:spacing w:after="60"/>
      </w:pPr>
      <w:r>
        <w:rPr>
          <w:color w:val="1F1B17"/>
          <w:sz w:val="22"/>
          <w:szCs w:val="22"/>
          <w:rFonts w:ascii="Arial" w:cs="Arial" w:eastAsia="Arial" w:hAnsi="Arial"/>
        </w:rPr>
        <w:t xml:space="preserve">DDoS protection via Cloudflare (10+ Tbps capacity)</w:t>
      </w:r>
    </w:p>
    <w:p>
      <w:pPr>
        <w:pStyle w:val="ListParagraph"/>
        <w:numPr>
          <w:ilvl w:val="0"/>
          <w:numId w:val="1"/>
        </w:numPr>
        <w:spacing w:after="60"/>
      </w:pPr>
      <w:r>
        <w:rPr>
          <w:color w:val="1F1B17"/>
          <w:sz w:val="22"/>
          <w:szCs w:val="22"/>
          <w:rFonts w:ascii="Arial" w:cs="Arial" w:eastAsia="Arial" w:hAnsi="Arial"/>
        </w:rPr>
        <w:t xml:space="preserve">WAF rules blocking common exploits (OWASP Top 10)</w:t>
      </w:r>
    </w:p>
    <w:p>
      <w:pPr>
        <w:spacing w:before="240" w:after="80"/>
      </w:pPr>
      <w:r>
        <w:rPr>
          <w:b/>
          <w:bCs/>
          <w:color w:val="1F1B17"/>
          <w:sz w:val="22"/>
          <w:szCs w:val="22"/>
          <w:rFonts w:ascii="Arial" w:cs="Arial" w:eastAsia="Arial" w:hAnsi="Arial"/>
        </w:rPr>
        <w:t xml:space="preserve">Layer 2 — Application</w:t>
      </w:r>
    </w:p>
    <w:p>
      <w:pPr>
        <w:pStyle w:val="ListParagraph"/>
        <w:numPr>
          <w:ilvl w:val="0"/>
          <w:numId w:val="1"/>
        </w:numPr>
        <w:spacing w:after="60"/>
      </w:pPr>
      <w:r>
        <w:rPr>
          <w:color w:val="1F1B17"/>
          <w:sz w:val="22"/>
          <w:szCs w:val="22"/>
          <w:rFonts w:ascii="Arial" w:cs="Arial" w:eastAsia="Arial" w:hAnsi="Arial"/>
        </w:rPr>
        <w:t xml:space="preserve">CORS whitelist (only opslix.com origins allowed)</w:t>
      </w:r>
    </w:p>
    <w:p>
      <w:pPr>
        <w:pStyle w:val="ListParagraph"/>
        <w:numPr>
          <w:ilvl w:val="0"/>
          <w:numId w:val="1"/>
        </w:numPr>
        <w:spacing w:after="60"/>
      </w:pPr>
      <w:r>
        <w:rPr>
          <w:color w:val="1F1B17"/>
          <w:sz w:val="22"/>
          <w:szCs w:val="22"/>
          <w:rFonts w:ascii="Arial" w:cs="Arial" w:eastAsia="Arial" w:hAnsi="Arial"/>
        </w:rPr>
        <w:t xml:space="preserve">CSP headers restricting inline scripts (planned)</w:t>
      </w:r>
    </w:p>
    <w:p>
      <w:pPr>
        <w:pStyle w:val="ListParagraph"/>
        <w:numPr>
          <w:ilvl w:val="0"/>
          <w:numId w:val="1"/>
        </w:numPr>
        <w:spacing w:after="60"/>
      </w:pPr>
      <w:r>
        <w:rPr>
          <w:color w:val="1F1B17"/>
          <w:sz w:val="22"/>
          <w:szCs w:val="22"/>
          <w:rFonts w:ascii="Arial" w:cs="Arial" w:eastAsia="Arial" w:hAnsi="Arial"/>
        </w:rPr>
        <w:t xml:space="preserve">Rate limiting per IP and per user (NestJS throttler)</w:t>
      </w:r>
    </w:p>
    <w:p>
      <w:pPr>
        <w:pStyle w:val="ListParagraph"/>
        <w:numPr>
          <w:ilvl w:val="0"/>
          <w:numId w:val="1"/>
        </w:numPr>
        <w:spacing w:after="60"/>
      </w:pPr>
      <w:r>
        <w:rPr>
          <w:color w:val="1F1B17"/>
          <w:sz w:val="22"/>
          <w:szCs w:val="22"/>
          <w:rFonts w:ascii="Arial" w:cs="Arial" w:eastAsia="Arial" w:hAnsi="Arial"/>
        </w:rPr>
        <w:t xml:space="preserve">Input validation via class-validator on every DTO</w:t>
      </w:r>
    </w:p>
    <w:p>
      <w:pPr>
        <w:spacing w:before="240" w:after="80"/>
      </w:pPr>
      <w:r>
        <w:rPr>
          <w:b/>
          <w:bCs/>
          <w:color w:val="1F1B17"/>
          <w:sz w:val="22"/>
          <w:szCs w:val="22"/>
          <w:rFonts w:ascii="Arial" w:cs="Arial" w:eastAsia="Arial" w:hAnsi="Arial"/>
        </w:rPr>
        <w:t xml:space="preserve">Layer 3 — Authentication</w:t>
      </w:r>
    </w:p>
    <w:p>
      <w:pPr>
        <w:pStyle w:val="ListParagraph"/>
        <w:numPr>
          <w:ilvl w:val="0"/>
          <w:numId w:val="1"/>
        </w:numPr>
        <w:spacing w:after="60"/>
      </w:pPr>
      <w:r>
        <w:rPr>
          <w:color w:val="1F1B17"/>
          <w:sz w:val="22"/>
          <w:szCs w:val="22"/>
          <w:rFonts w:ascii="Arial" w:cs="Arial" w:eastAsia="Arial" w:hAnsi="Arial"/>
        </w:rPr>
        <w:t xml:space="preserve">JWT issued on login, expires in 24 hours (refresh planned)</w:t>
      </w:r>
    </w:p>
    <w:p>
      <w:pPr>
        <w:pStyle w:val="ListParagraph"/>
        <w:numPr>
          <w:ilvl w:val="0"/>
          <w:numId w:val="1"/>
        </w:numPr>
        <w:spacing w:after="60"/>
      </w:pPr>
      <w:r>
        <w:rPr>
          <w:color w:val="1F1B17"/>
          <w:sz w:val="22"/>
          <w:szCs w:val="22"/>
          <w:rFonts w:ascii="Arial" w:cs="Arial" w:eastAsia="Arial" w:hAnsi="Arial"/>
        </w:rPr>
        <w:t xml:space="preserve">bcrypt with cost factor 12 for password hashing</w:t>
      </w:r>
    </w:p>
    <w:p>
      <w:pPr>
        <w:pStyle w:val="ListParagraph"/>
        <w:numPr>
          <w:ilvl w:val="0"/>
          <w:numId w:val="1"/>
        </w:numPr>
        <w:spacing w:after="60"/>
      </w:pPr>
      <w:r>
        <w:rPr>
          <w:color w:val="1F1B17"/>
          <w:sz w:val="22"/>
          <w:szCs w:val="22"/>
          <w:rFonts w:ascii="Arial" w:cs="Arial" w:eastAsia="Arial" w:hAnsi="Arial"/>
        </w:rPr>
        <w:t xml:space="preserve">2FA planned for enterprise tier (TOTP via authenticator app)</w:t>
      </w:r>
    </w:p>
    <w:p>
      <w:pPr>
        <w:pStyle w:val="ListParagraph"/>
        <w:numPr>
          <w:ilvl w:val="0"/>
          <w:numId w:val="1"/>
        </w:numPr>
        <w:spacing w:after="60"/>
      </w:pPr>
      <w:r>
        <w:rPr>
          <w:color w:val="1F1B17"/>
          <w:sz w:val="22"/>
          <w:szCs w:val="22"/>
          <w:rFonts w:ascii="Arial" w:cs="Arial" w:eastAsia="Arial" w:hAnsi="Arial"/>
        </w:rPr>
        <w:t xml:space="preserve">SSO planned via SAML/OAuth (Microsoft, Google, Okta)</w:t>
      </w:r>
    </w:p>
    <w:p>
      <w:pPr>
        <w:spacing w:before="240" w:after="80"/>
      </w:pPr>
      <w:r>
        <w:rPr>
          <w:b/>
          <w:bCs/>
          <w:color w:val="1F1B17"/>
          <w:sz w:val="22"/>
          <w:szCs w:val="22"/>
          <w:rFonts w:ascii="Arial" w:cs="Arial" w:eastAsia="Arial" w:hAnsi="Arial"/>
        </w:rPr>
        <w:t xml:space="preserve">Layer 4 — Authorization (RBAC)</w:t>
      </w:r>
    </w:p>
    <w:tbl>
      <w:tblPr>
        <w:tblW w:type="pct" w:w="100%"/>
        <w:tblBorders>
          <w:top w:val="single" w:color="1F1B17" w:sz="4"/>
          <w:left w:val="none"/>
          <w:bottom w:val="single" w:color="1F1B17" w:sz="4"/>
          <w:right w:val="none"/>
          <w:insideH w:val="single" w:color="D5D0C8" w:sz="2"/>
          <w:insideV w:val="none"/>
        </w:tblBorders>
      </w:tblPr>
      <w:tblGrid>
        <w:gridCol w:w="100"/>
        <w:gridCol w:w="100"/>
      </w:tblGrid>
      <w:tr>
        <w:tc>
          <w:tcPr>
            <w:tcW w:type="dxa" w:w="45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Role</w:t>
            </w:r>
          </w:p>
        </w:tc>
        <w:tc>
          <w:tcPr>
            <w:tcW w:type="dxa" w:w="45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Permissions</w:t>
            </w:r>
          </w:p>
        </w:tc>
      </w:tr>
      <w:tr>
        <w:tc>
          <w:tcPr>
            <w:tcW w:type="dxa" w:w="4500"/>
            <w:tcMar>
              <w:top w:type="dxa" w:w="80"/>
              <w:left w:type="dxa" w:w="120"/>
              <w:bottom w:type="dxa" w:w="80"/>
              <w:right w:type="dxa" w:w="120"/>
            </w:tcMar>
          </w:tcPr>
          <w:p>
            <w:r>
              <w:rPr>
                <w:b/>
                <w:bCs/>
                <w:color w:val="1F1B17"/>
                <w:sz w:val="20"/>
                <w:szCs w:val="20"/>
                <w:rFonts w:ascii="Arial" w:cs="Arial" w:eastAsia="Arial" w:hAnsi="Arial"/>
              </w:rPr>
              <w:t xml:space="preserve">ADMIN</w:t>
            </w:r>
          </w:p>
        </w:tc>
        <w:tc>
          <w:tcPr>
            <w:tcW w:type="dxa" w:w="4500"/>
            <w:tcMar>
              <w:top w:type="dxa" w:w="80"/>
              <w:left w:type="dxa" w:w="120"/>
              <w:bottom w:type="dxa" w:w="80"/>
              <w:right w:type="dxa" w:w="120"/>
            </w:tcMar>
          </w:tcPr>
          <w:p>
            <w:r>
              <w:rPr>
                <w:b w:val="false"/>
                <w:bCs w:val="false"/>
                <w:color w:val="1F1B17"/>
                <w:sz w:val="20"/>
                <w:szCs w:val="20"/>
                <w:rFonts w:ascii="Arial" w:cs="Arial" w:eastAsia="Arial" w:hAnsi="Arial"/>
              </w:rPr>
              <w:t xml:space="preserve">Full read/write access. Manage users, projects, settings, billing.</w:t>
            </w:r>
          </w:p>
        </w:tc>
      </w:tr>
      <w:tr>
        <w:tc>
          <w:tcPr>
            <w:tcW w:type="dxa" w:w="4500"/>
            <w:shd w:color="FAF8F2" w:val="solid"/>
            <w:tcMar>
              <w:top w:type="dxa" w:w="80"/>
              <w:left w:type="dxa" w:w="120"/>
              <w:bottom w:type="dxa" w:w="80"/>
              <w:right w:type="dxa" w:w="120"/>
            </w:tcMar>
          </w:tcPr>
          <w:p>
            <w:r>
              <w:rPr>
                <w:b/>
                <w:bCs/>
                <w:color w:val="1F1B17"/>
                <w:sz w:val="20"/>
                <w:szCs w:val="20"/>
                <w:rFonts w:ascii="Arial" w:cs="Arial" w:eastAsia="Arial" w:hAnsi="Arial"/>
              </w:rPr>
              <w:t xml:space="preserve">USER</w:t>
            </w:r>
          </w:p>
        </w:tc>
        <w:tc>
          <w:tcPr>
            <w:tcW w:type="dxa" w:w="45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Read all tenant data. Create incidents, audits, attendance entries.</w:t>
            </w:r>
          </w:p>
        </w:tc>
      </w:tr>
      <w:tr>
        <w:tc>
          <w:tcPr>
            <w:tcW w:type="dxa" w:w="4500"/>
            <w:tcMar>
              <w:top w:type="dxa" w:w="80"/>
              <w:left w:type="dxa" w:w="120"/>
              <w:bottom w:type="dxa" w:w="80"/>
              <w:right w:type="dxa" w:w="120"/>
            </w:tcMar>
          </w:tcPr>
          <w:p>
            <w:r>
              <w:rPr>
                <w:b/>
                <w:bCs/>
                <w:color w:val="1F1B17"/>
                <w:sz w:val="20"/>
                <w:szCs w:val="20"/>
                <w:rFonts w:ascii="Arial" w:cs="Arial" w:eastAsia="Arial" w:hAnsi="Arial"/>
              </w:rPr>
              <w:t xml:space="preserve">AUDITOR</w:t>
            </w:r>
          </w:p>
        </w:tc>
        <w:tc>
          <w:tcPr>
            <w:tcW w:type="dxa" w:w="4500"/>
            <w:tcMar>
              <w:top w:type="dxa" w:w="80"/>
              <w:left w:type="dxa" w:w="120"/>
              <w:bottom w:type="dxa" w:w="80"/>
              <w:right w:type="dxa" w:w="120"/>
            </w:tcMar>
          </w:tcPr>
          <w:p>
            <w:r>
              <w:rPr>
                <w:b w:val="false"/>
                <w:bCs w:val="false"/>
                <w:color w:val="1F1B17"/>
                <w:sz w:val="20"/>
                <w:szCs w:val="20"/>
                <w:rFonts w:ascii="Arial" w:cs="Arial" w:eastAsia="Arial" w:hAnsi="Arial"/>
              </w:rPr>
              <w:t xml:space="preserve">Read-only access to all tenant data. Cannot create or modify.</w:t>
            </w:r>
          </w:p>
        </w:tc>
      </w:tr>
    </w:tbl>
    <w:p>
      <w:pPr>
        <w:spacing w:after="80"/>
      </w:pPr>
      <w:r>
        <w:t xml:space="preserve"> </w:t>
      </w:r>
    </w:p>
    <w:p>
      <w:pPr>
        <w:spacing w:before="240" w:after="80"/>
      </w:pPr>
      <w:r>
        <w:rPr>
          <w:b/>
          <w:bCs/>
          <w:color w:val="1F1B17"/>
          <w:sz w:val="22"/>
          <w:szCs w:val="22"/>
          <w:rFonts w:ascii="Arial" w:cs="Arial" w:eastAsia="Arial" w:hAnsi="Arial"/>
        </w:rPr>
        <w:t xml:space="preserve">Layer 5 — Tenant Isolation (RLS)</w:t>
      </w:r>
    </w:p>
    <w:p>
      <w:pPr>
        <w:spacing w:after="120"/>
        <w:jc w:val="both"/>
      </w:pPr>
      <w:r>
        <w:rPr>
          <w:color w:val="1F1B17"/>
          <w:sz w:val="22"/>
          <w:szCs w:val="22"/>
          <w:rFonts w:ascii="Arial" w:cs="Arial" w:eastAsia="Arial" w:hAnsi="Arial"/>
        </w:rPr>
        <w:t xml:space="preserve">Postgres Row-Level Security policies on every tenant-scoped table. Even if application-level auth is bypassed (e.g., SQL injection), the database itself refuses to return rows from other tenants.</w:t>
      </w:r>
    </w:p>
    <w:p>
      <w:pPr>
        <w:spacing w:before="240" w:after="80"/>
      </w:pPr>
      <w:r>
        <w:rPr>
          <w:b/>
          <w:bCs/>
          <w:color w:val="1F1B17"/>
          <w:sz w:val="22"/>
          <w:szCs w:val="22"/>
          <w:rFonts w:ascii="Arial" w:cs="Arial" w:eastAsia="Arial" w:hAnsi="Arial"/>
        </w:rPr>
        <w:t xml:space="preserve">Layer 6 — Data Encryption</w:t>
      </w:r>
    </w:p>
    <w:p>
      <w:pPr>
        <w:pStyle w:val="ListParagraph"/>
        <w:numPr>
          <w:ilvl w:val="0"/>
          <w:numId w:val="1"/>
        </w:numPr>
        <w:spacing w:after="60"/>
      </w:pPr>
      <w:r>
        <w:rPr>
          <w:b/>
          <w:bCs/>
          <w:color w:val="1F1B17"/>
          <w:sz w:val="22"/>
          <w:szCs w:val="22"/>
          <w:rFonts w:ascii="Arial" w:cs="Arial" w:eastAsia="Arial" w:hAnsi="Arial"/>
        </w:rPr>
        <w:t xml:space="preserve">At rest:</w:t>
      </w:r>
      <w:r>
        <w:rPr>
          <w:color w:val="1F1B17"/>
          <w:sz w:val="22"/>
          <w:szCs w:val="22"/>
          <w:rFonts w:ascii="Arial" w:cs="Arial" w:eastAsia="Arial" w:hAnsi="Arial"/>
        </w:rPr>
        <w:t xml:space="preserve"> AES-256 encryption on Neon Postgres storage</w:t>
      </w:r>
    </w:p>
    <w:p>
      <w:pPr>
        <w:pStyle w:val="ListParagraph"/>
        <w:numPr>
          <w:ilvl w:val="0"/>
          <w:numId w:val="1"/>
        </w:numPr>
        <w:spacing w:after="60"/>
      </w:pPr>
      <w:r>
        <w:rPr>
          <w:b/>
          <w:bCs/>
          <w:color w:val="1F1B17"/>
          <w:sz w:val="22"/>
          <w:szCs w:val="22"/>
          <w:rFonts w:ascii="Arial" w:cs="Arial" w:eastAsia="Arial" w:hAnsi="Arial"/>
        </w:rPr>
        <w:t xml:space="preserve">In transit:</w:t>
      </w:r>
      <w:r>
        <w:rPr>
          <w:color w:val="1F1B17"/>
          <w:sz w:val="22"/>
          <w:szCs w:val="22"/>
          <w:rFonts w:ascii="Arial" w:cs="Arial" w:eastAsia="Arial" w:hAnsi="Arial"/>
        </w:rPr>
        <w:t xml:space="preserve"> TLS 1.3 for all network traffic</w:t>
      </w:r>
    </w:p>
    <w:p>
      <w:pPr>
        <w:pStyle w:val="ListParagraph"/>
        <w:numPr>
          <w:ilvl w:val="0"/>
          <w:numId w:val="1"/>
        </w:numPr>
        <w:spacing w:after="60"/>
      </w:pPr>
      <w:r>
        <w:rPr>
          <w:b/>
          <w:bCs/>
          <w:color w:val="1F1B17"/>
          <w:sz w:val="22"/>
          <w:szCs w:val="22"/>
          <w:rFonts w:ascii="Arial" w:cs="Arial" w:eastAsia="Arial" w:hAnsi="Arial"/>
        </w:rPr>
        <w:t xml:space="preserve">Sensitive fields:</w:t>
      </w:r>
      <w:r>
        <w:rPr>
          <w:color w:val="1F1B17"/>
          <w:sz w:val="22"/>
          <w:szCs w:val="22"/>
          <w:rFonts w:ascii="Arial" w:cs="Arial" w:eastAsia="Arial" w:hAnsi="Arial"/>
        </w:rPr>
        <w:t xml:space="preserve"> Application-level encryption for PII (SSN, ID numbers, salary)</w:t>
      </w:r>
    </w:p>
    <w:p>
      <w:pPr>
        <w:pStyle w:val="ListParagraph"/>
        <w:numPr>
          <w:ilvl w:val="0"/>
          <w:numId w:val="1"/>
        </w:numPr>
        <w:spacing w:after="60"/>
      </w:pPr>
      <w:r>
        <w:rPr>
          <w:b/>
          <w:bCs/>
          <w:color w:val="1F1B17"/>
          <w:sz w:val="22"/>
          <w:szCs w:val="22"/>
          <w:rFonts w:ascii="Arial" w:cs="Arial" w:eastAsia="Arial" w:hAnsi="Arial"/>
        </w:rPr>
        <w:t xml:space="preserve">Biometric data:</w:t>
      </w:r>
      <w:r>
        <w:rPr>
          <w:color w:val="1F1B17"/>
          <w:sz w:val="22"/>
          <w:szCs w:val="22"/>
          <w:rFonts w:ascii="Arial" w:cs="Arial" w:eastAsia="Arial" w:hAnsi="Arial"/>
        </w:rPr>
        <w:t xml:space="preserve"> Face embeddings stored as one-way hashes, never reversible</w:t>
      </w:r>
    </w:p>
    <w:p>
      <w:pPr>
        <w:pStyle w:val="ListParagraph"/>
        <w:numPr>
          <w:ilvl w:val="0"/>
          <w:numId w:val="1"/>
        </w:numPr>
        <w:spacing w:after="60"/>
      </w:pPr>
      <w:r>
        <w:rPr>
          <w:b/>
          <w:bCs/>
          <w:color w:val="1F1B17"/>
          <w:sz w:val="22"/>
          <w:szCs w:val="22"/>
          <w:rFonts w:ascii="Arial" w:cs="Arial" w:eastAsia="Arial" w:hAnsi="Arial"/>
        </w:rPr>
        <w:t xml:space="preserve">Backups:</w:t>
      </w:r>
      <w:r>
        <w:rPr>
          <w:color w:val="1F1B17"/>
          <w:sz w:val="22"/>
          <w:szCs w:val="22"/>
          <w:rFonts w:ascii="Arial" w:cs="Arial" w:eastAsia="Arial" w:hAnsi="Arial"/>
        </w:rPr>
        <w:t xml:space="preserve"> Encrypted and stored in separate AWS region</w:t>
      </w:r>
    </w:p>
    <w:p>
      <w:pPr>
        <w:pBdr>
          <w:left w:val="single" w:color="C6583E" w:sz="24" w:space="8"/>
        </w:pBdr>
        <w:shd w:color="F5F2EB" w:val="solid"/>
        <w:spacing w:before="200" w:after="200"/>
        <w:ind w:left="240" w:right="240"/>
      </w:pPr>
      <w:r>
        <w:rPr>
          <w:b/>
          <w:bCs/>
          <w:color w:val="C6583E"/>
          <w:sz w:val="22"/>
          <w:szCs w:val="22"/>
          <w:rFonts w:ascii="Arial" w:cs="Arial" w:eastAsia="Arial" w:hAnsi="Arial"/>
        </w:rPr>
        <w:t xml:space="preserve">Audit Trail: </w:t>
      </w:r>
      <w:r>
        <w:rPr>
          <w:color w:val="1F1B17"/>
          <w:sz w:val="22"/>
          <w:szCs w:val="22"/>
          <w:rFonts w:ascii="Arial" w:cs="Arial" w:eastAsia="Arial" w:hAnsi="Arial"/>
        </w:rPr>
        <w:t xml:space="preserve">Every data modification is logged to an append-only audit_log table — capturing actor, action, before/after values, IP address, timestamp. Logs are retained for 7 years (regulatory compliance).</w:t>
      </w:r>
    </w:p>
    <w:p>
      <w:pPr>
        <w:spacing w:before="480" w:after="80"/>
      </w:pPr>
      <w:r>
        <w:rPr>
          <w:b/>
          <w:bCs/>
          <w:color w:val="C6583E"/>
          <w:sz w:val="20"/>
          <w:szCs w:val="20"/>
          <w:rFonts w:ascii="Arial" w:cs="Arial" w:eastAsia="Arial" w:hAnsi="Arial"/>
        </w:rPr>
        <w:t xml:space="preserve">SECTION 08</w:t>
      </w:r>
    </w:p>
    <w:p>
      <w:pPr>
        <w:spacing w:after="240"/>
      </w:pPr>
      <w:r>
        <w:rPr>
          <w:b/>
          <w:bCs/>
          <w:color w:val="1F1B17"/>
          <w:sz w:val="44"/>
          <w:szCs w:val="44"/>
          <w:rFonts w:ascii="Georgia" w:cs="Georgia" w:eastAsia="Georgia" w:hAnsi="Georgia"/>
        </w:rPr>
        <w:t xml:space="preserve">Authentication &amp; Session Flow</w:t>
      </w:r>
    </w:p>
    <w:p>
      <w:pPr>
        <w:spacing w:after="80"/>
      </w:pPr>
      <w:r>
        <w:t xml:space="preserve"> </w:t>
      </w:r>
    </w:p>
    <w:p>
      <w:pPr>
        <w:spacing w:before="200" w:after="100"/>
        <w:jc w:val="center"/>
      </w:pPr>
      <w:r>
        <w:rPr>
          <w:i/>
          <w:iCs/>
          <w:color w:val="6B6661"/>
          <w:sz w:val="20"/>
          <w:szCs w:val="20"/>
          <w:rFonts w:ascii="Arial" w:cs="Arial" w:eastAsia="Arial" w:hAnsi="Arial"/>
        </w:rPr>
        <w:t xml:space="preserve">[FIGURE 4: JWT Authentication Sequence]</w:t>
      </w:r>
    </w:p>
    <w:p>
      <w:pPr>
        <w:spacing w:before="360" w:after="120"/>
      </w:pPr>
      <w:r>
        <w:rPr>
          <w:b/>
          <w:bCs/>
          <w:color w:val="1F1B17"/>
          <w:sz w:val="28"/>
          <w:szCs w:val="28"/>
          <w:rFonts w:ascii="Georgia" w:cs="Georgia" w:eastAsia="Georgia" w:hAnsi="Georgia"/>
        </w:rPr>
        <w:t xml:space="preserve">8.1 Login Sequence</w:t>
      </w:r>
    </w:p>
    <w:p>
      <w:pPr>
        <w:pStyle w:val="ListParagraph"/>
        <w:numPr>
          <w:ilvl w:val="0"/>
          <w:numId w:val="2"/>
        </w:numPr>
        <w:spacing w:after="60"/>
      </w:pPr>
      <w:r>
        <w:rPr>
          <w:color w:val="1F1B17"/>
          <w:sz w:val="22"/>
          <w:szCs w:val="22"/>
          <w:rFonts w:ascii="Arial" w:cs="Arial" w:eastAsia="Arial" w:hAnsi="Arial"/>
        </w:rPr>
        <w:t xml:space="preserve">User submits company-id, email, password to frontend</w:t>
      </w:r>
    </w:p>
    <w:p>
      <w:pPr>
        <w:pStyle w:val="ListParagraph"/>
        <w:numPr>
          <w:ilvl w:val="0"/>
          <w:numId w:val="2"/>
        </w:numPr>
        <w:spacing w:after="60"/>
      </w:pPr>
      <w:r>
        <w:rPr>
          <w:color w:val="1F1B17"/>
          <w:sz w:val="22"/>
          <w:szCs w:val="22"/>
          <w:rFonts w:ascii="Arial" w:cs="Arial" w:eastAsia="Arial" w:hAnsi="Arial"/>
        </w:rPr>
        <w:t xml:space="preserve">Frontend POSTs to /api/v1/auth/login</w:t>
      </w:r>
    </w:p>
    <w:p>
      <w:pPr>
        <w:pStyle w:val="ListParagraph"/>
        <w:numPr>
          <w:ilvl w:val="0"/>
          <w:numId w:val="2"/>
        </w:numPr>
        <w:spacing w:after="60"/>
      </w:pPr>
      <w:r>
        <w:rPr>
          <w:color w:val="1F1B17"/>
          <w:sz w:val="22"/>
          <w:szCs w:val="22"/>
          <w:rFonts w:ascii="Arial" w:cs="Arial" w:eastAsia="Arial" w:hAnsi="Arial"/>
        </w:rPr>
        <w:t xml:space="preserve">Backend validates credentials, looks up user record (filtered by company-id)</w:t>
      </w:r>
    </w:p>
    <w:p>
      <w:pPr>
        <w:pStyle w:val="ListParagraph"/>
        <w:numPr>
          <w:ilvl w:val="0"/>
          <w:numId w:val="2"/>
        </w:numPr>
        <w:spacing w:after="60"/>
      </w:pPr>
      <w:r>
        <w:rPr>
          <w:color w:val="1F1B17"/>
          <w:sz w:val="22"/>
          <w:szCs w:val="22"/>
          <w:rFonts w:ascii="Arial" w:cs="Arial" w:eastAsia="Arial" w:hAnsi="Arial"/>
        </w:rPr>
        <w:t xml:space="preserve">On success, backend generates JWT containing { userId, tenantId, role, exp }</w:t>
      </w:r>
    </w:p>
    <w:p>
      <w:pPr>
        <w:pStyle w:val="ListParagraph"/>
        <w:numPr>
          <w:ilvl w:val="0"/>
          <w:numId w:val="2"/>
        </w:numPr>
        <w:spacing w:after="60"/>
      </w:pPr>
      <w:r>
        <w:rPr>
          <w:color w:val="1F1B17"/>
          <w:sz w:val="22"/>
          <w:szCs w:val="22"/>
          <w:rFonts w:ascii="Arial" w:cs="Arial" w:eastAsia="Arial" w:hAnsi="Arial"/>
        </w:rPr>
        <w:t xml:space="preserve">JWT returned to frontend, stored as sp_token in localStorage</w:t>
      </w:r>
    </w:p>
    <w:p>
      <w:pPr>
        <w:pStyle w:val="ListParagraph"/>
        <w:numPr>
          <w:ilvl w:val="0"/>
          <w:numId w:val="2"/>
        </w:numPr>
        <w:spacing w:after="60"/>
      </w:pPr>
      <w:r>
        <w:rPr>
          <w:color w:val="1F1B17"/>
          <w:sz w:val="22"/>
          <w:szCs w:val="22"/>
          <w:rFonts w:ascii="Arial" w:cs="Arial" w:eastAsia="Arial" w:hAnsi="Arial"/>
        </w:rPr>
        <w:t xml:space="preserve">User payload stored as sp_user for UI personalization</w:t>
      </w:r>
    </w:p>
    <w:p>
      <w:pPr>
        <w:pStyle w:val="ListParagraph"/>
        <w:numPr>
          <w:ilvl w:val="0"/>
          <w:numId w:val="2"/>
        </w:numPr>
        <w:spacing w:after="60"/>
      </w:pPr>
      <w:r>
        <w:rPr>
          <w:color w:val="1F1B17"/>
          <w:sz w:val="22"/>
          <w:szCs w:val="22"/>
          <w:rFonts w:ascii="Arial" w:cs="Arial" w:eastAsia="Arial" w:hAnsi="Arial"/>
        </w:rPr>
        <w:t xml:space="preserve">Frontend redirects to /safetypro_workspaces</w:t>
      </w:r>
    </w:p>
    <w:p>
      <w:pPr>
        <w:spacing w:before="360" w:after="120"/>
      </w:pPr>
      <w:r>
        <w:rPr>
          <w:b/>
          <w:bCs/>
          <w:color w:val="1F1B17"/>
          <w:sz w:val="28"/>
          <w:szCs w:val="28"/>
          <w:rFonts w:ascii="Georgia" w:cs="Georgia" w:eastAsia="Georgia" w:hAnsi="Georgia"/>
        </w:rPr>
        <w:t xml:space="preserve">8.2 Authenticated Request Flow</w:t>
      </w:r>
    </w:p>
    <w:p>
      <w:pPr>
        <w:pStyle w:val="ListParagraph"/>
        <w:numPr>
          <w:ilvl w:val="0"/>
          <w:numId w:val="2"/>
        </w:numPr>
        <w:spacing w:after="60"/>
      </w:pPr>
      <w:r>
        <w:rPr>
          <w:color w:val="1F1B17"/>
          <w:sz w:val="22"/>
          <w:szCs w:val="22"/>
          <w:rFonts w:ascii="Arial" w:cs="Arial" w:eastAsia="Arial" w:hAnsi="Arial"/>
        </w:rPr>
        <w:t xml:space="preserve">User triggers an action requiring data</w:t>
      </w:r>
    </w:p>
    <w:p>
      <w:pPr>
        <w:pStyle w:val="ListParagraph"/>
        <w:numPr>
          <w:ilvl w:val="0"/>
          <w:numId w:val="2"/>
        </w:numPr>
        <w:spacing w:after="60"/>
      </w:pPr>
      <w:r>
        <w:rPr>
          <w:color w:val="1F1B17"/>
          <w:sz w:val="22"/>
          <w:szCs w:val="22"/>
          <w:rFonts w:ascii="Arial" w:cs="Arial" w:eastAsia="Arial" w:hAnsi="Arial"/>
        </w:rPr>
        <w:t xml:space="preserve">Frontend reads sp_token from localStorage</w:t>
      </w:r>
    </w:p>
    <w:p>
      <w:pPr>
        <w:pStyle w:val="ListParagraph"/>
        <w:numPr>
          <w:ilvl w:val="0"/>
          <w:numId w:val="2"/>
        </w:numPr>
        <w:spacing w:after="60"/>
      </w:pPr>
      <w:r>
        <w:rPr>
          <w:color w:val="1F1B17"/>
          <w:sz w:val="22"/>
          <w:szCs w:val="22"/>
          <w:rFonts w:ascii="Arial" w:cs="Arial" w:eastAsia="Arial" w:hAnsi="Arial"/>
        </w:rPr>
        <w:t xml:space="preserve">Adds header: Authorization: Bearer &lt;jwt&gt;</w:t>
      </w:r>
    </w:p>
    <w:p>
      <w:pPr>
        <w:pStyle w:val="ListParagraph"/>
        <w:numPr>
          <w:ilvl w:val="0"/>
          <w:numId w:val="2"/>
        </w:numPr>
        <w:spacing w:after="60"/>
      </w:pPr>
      <w:r>
        <w:rPr>
          <w:color w:val="1F1B17"/>
          <w:sz w:val="22"/>
          <w:szCs w:val="22"/>
          <w:rFonts w:ascii="Arial" w:cs="Arial" w:eastAsia="Arial" w:hAnsi="Arial"/>
        </w:rPr>
        <w:t xml:space="preserve">Backends JWT guard validates signature and expiry</w:t>
      </w:r>
    </w:p>
    <w:p>
      <w:pPr>
        <w:pStyle w:val="ListParagraph"/>
        <w:numPr>
          <w:ilvl w:val="0"/>
          <w:numId w:val="2"/>
        </w:numPr>
        <w:spacing w:after="60"/>
      </w:pPr>
      <w:r>
        <w:rPr>
          <w:color w:val="1F1B17"/>
          <w:sz w:val="22"/>
          <w:szCs w:val="22"/>
          <w:rFonts w:ascii="Arial" w:cs="Arial" w:eastAsia="Arial" w:hAnsi="Arial"/>
        </w:rPr>
        <w:t xml:space="preserve">Tenant context extracted from JWT payload, stored in request scope</w:t>
      </w:r>
    </w:p>
    <w:p>
      <w:pPr>
        <w:pStyle w:val="ListParagraph"/>
        <w:numPr>
          <w:ilvl w:val="0"/>
          <w:numId w:val="2"/>
        </w:numPr>
        <w:spacing w:after="60"/>
      </w:pPr>
      <w:r>
        <w:rPr>
          <w:color w:val="1F1B17"/>
          <w:sz w:val="22"/>
          <w:szCs w:val="22"/>
          <w:rFonts w:ascii="Arial" w:cs="Arial" w:eastAsia="Arial" w:hAnsi="Arial"/>
        </w:rPr>
        <w:t xml:space="preserve">Postgres session variable set: SET LOCAL app.current_tenant = &lt;tenantId&gt;</w:t>
      </w:r>
    </w:p>
    <w:p>
      <w:pPr>
        <w:pStyle w:val="ListParagraph"/>
        <w:numPr>
          <w:ilvl w:val="0"/>
          <w:numId w:val="2"/>
        </w:numPr>
        <w:spacing w:after="60"/>
      </w:pPr>
      <w:r>
        <w:rPr>
          <w:color w:val="1F1B17"/>
          <w:sz w:val="22"/>
          <w:szCs w:val="22"/>
          <w:rFonts w:ascii="Arial" w:cs="Arial" w:eastAsia="Arial" w:hAnsi="Arial"/>
        </w:rPr>
        <w:t xml:space="preserve">RLS policies enforce row filtering</w:t>
      </w:r>
    </w:p>
    <w:p>
      <w:pPr>
        <w:pStyle w:val="ListParagraph"/>
        <w:numPr>
          <w:ilvl w:val="0"/>
          <w:numId w:val="2"/>
        </w:numPr>
        <w:spacing w:after="60"/>
      </w:pPr>
      <w:r>
        <w:rPr>
          <w:color w:val="1F1B17"/>
          <w:sz w:val="22"/>
          <w:szCs w:val="22"/>
          <w:rFonts w:ascii="Arial" w:cs="Arial" w:eastAsia="Arial" w:hAnsi="Arial"/>
        </w:rPr>
        <w:t xml:space="preserve">Tenant-scoped data returned to user</w:t>
      </w:r>
    </w:p>
    <w:p>
      <w:pPr>
        <w:spacing w:before="480" w:after="80"/>
      </w:pPr>
      <w:r>
        <w:rPr>
          <w:b/>
          <w:bCs/>
          <w:color w:val="C6583E"/>
          <w:sz w:val="20"/>
          <w:szCs w:val="20"/>
          <w:rFonts w:ascii="Arial" w:cs="Arial" w:eastAsia="Arial" w:hAnsi="Arial"/>
        </w:rPr>
        <w:t xml:space="preserve">SECTION 09</w:t>
      </w:r>
    </w:p>
    <w:p>
      <w:pPr>
        <w:spacing w:after="240"/>
      </w:pPr>
      <w:r>
        <w:rPr>
          <w:b/>
          <w:bCs/>
          <w:color w:val="1F1B17"/>
          <w:sz w:val="44"/>
          <w:szCs w:val="44"/>
          <w:rFonts w:ascii="Georgia" w:cs="Georgia" w:eastAsia="Georgia" w:hAnsi="Georgia"/>
        </w:rPr>
        <w:t xml:space="preserve">Deployment Models</w:t>
      </w:r>
    </w:p>
    <w:p>
      <w:pPr>
        <w:spacing w:after="120"/>
        <w:jc w:val="both"/>
      </w:pPr>
      <w:r>
        <w:rPr>
          <w:color w:val="1F1B17"/>
          <w:sz w:val="22"/>
          <w:szCs w:val="22"/>
          <w:rFonts w:ascii="Arial" w:cs="Arial" w:eastAsia="Arial" w:hAnsi="Arial"/>
        </w:rPr>
        <w:t xml:space="preserve">OpsLix offers three deployment options to match different customer security postures, regulatory requirements, and IT capabilities.</w:t>
      </w:r>
    </w:p>
    <w:p>
      <w:pPr>
        <w:spacing w:before="360" w:after="120"/>
      </w:pPr>
      <w:r>
        <w:rPr>
          <w:b/>
          <w:bCs/>
          <w:color w:val="1F1B17"/>
          <w:sz w:val="28"/>
          <w:szCs w:val="28"/>
          <w:rFonts w:ascii="Georgia" w:cs="Georgia" w:eastAsia="Georgia" w:hAnsi="Georgia"/>
        </w:rPr>
        <w:t xml:space="preserve">9.1 Model 1 — SaaS (Cloud-Hosted)</w:t>
      </w:r>
    </w:p>
    <w:p>
      <w:pPr>
        <w:spacing w:after="120"/>
        <w:jc w:val="both"/>
      </w:pPr>
      <w:r>
        <w:rPr>
          <w:color w:val="1F1B17"/>
          <w:sz w:val="22"/>
          <w:szCs w:val="22"/>
          <w:rFonts w:ascii="Arial" w:cs="Arial" w:eastAsia="Arial" w:hAnsi="Arial"/>
        </w:rPr>
        <w:t xml:space="preserve">Standard offering. Customer signs up, OpsLix provisions a tenant within 1 day, customer logs in and starts using.</w:t>
      </w:r>
    </w:p>
    <w:p>
      <w:pPr>
        <w:pStyle w:val="ListParagraph"/>
        <w:numPr>
          <w:ilvl w:val="0"/>
          <w:numId w:val="1"/>
        </w:numPr>
        <w:spacing w:after="60"/>
      </w:pPr>
      <w:r>
        <w:rPr>
          <w:b/>
          <w:bCs/>
          <w:color w:val="1F1B17"/>
          <w:sz w:val="22"/>
          <w:szCs w:val="22"/>
          <w:rFonts w:ascii="Arial" w:cs="Arial" w:eastAsia="Arial" w:hAnsi="Arial"/>
        </w:rPr>
        <w:t xml:space="preserve">Infrastructure:</w:t>
      </w:r>
      <w:r>
        <w:rPr>
          <w:color w:val="1F1B17"/>
          <w:sz w:val="22"/>
          <w:szCs w:val="22"/>
          <w:rFonts w:ascii="Arial" w:cs="Arial" w:eastAsia="Arial" w:hAnsi="Arial"/>
        </w:rPr>
        <w:t xml:space="preserve"> 100% OpsLix-managed (Cloudflare + Render + Neon)</w:t>
      </w:r>
    </w:p>
    <w:p>
      <w:pPr>
        <w:pStyle w:val="ListParagraph"/>
        <w:numPr>
          <w:ilvl w:val="0"/>
          <w:numId w:val="1"/>
        </w:numPr>
        <w:spacing w:after="60"/>
      </w:pPr>
      <w:r>
        <w:rPr>
          <w:b/>
          <w:bCs/>
          <w:color w:val="1F1B17"/>
          <w:sz w:val="22"/>
          <w:szCs w:val="22"/>
          <w:rFonts w:ascii="Arial" w:cs="Arial" w:eastAsia="Arial" w:hAnsi="Arial"/>
        </w:rPr>
        <w:t xml:space="preserve">Updates:</w:t>
      </w:r>
      <w:r>
        <w:rPr>
          <w:color w:val="1F1B17"/>
          <w:sz w:val="22"/>
          <w:szCs w:val="22"/>
          <w:rFonts w:ascii="Arial" w:cs="Arial" w:eastAsia="Arial" w:hAnsi="Arial"/>
        </w:rPr>
        <w:t xml:space="preserve"> Automatic, deployed continuously</w:t>
      </w:r>
    </w:p>
    <w:p>
      <w:pPr>
        <w:pStyle w:val="ListParagraph"/>
        <w:numPr>
          <w:ilvl w:val="0"/>
          <w:numId w:val="1"/>
        </w:numPr>
        <w:spacing w:after="60"/>
      </w:pPr>
      <w:r>
        <w:rPr>
          <w:b/>
          <w:bCs/>
          <w:color w:val="1F1B17"/>
          <w:sz w:val="22"/>
          <w:szCs w:val="22"/>
          <w:rFonts w:ascii="Arial" w:cs="Arial" w:eastAsia="Arial" w:hAnsi="Arial"/>
        </w:rPr>
        <w:t xml:space="preserve">Setup time:</w:t>
      </w:r>
      <w:r>
        <w:rPr>
          <w:color w:val="1F1B17"/>
          <w:sz w:val="22"/>
          <w:szCs w:val="22"/>
          <w:rFonts w:ascii="Arial" w:cs="Arial" w:eastAsia="Arial" w:hAnsi="Arial"/>
        </w:rPr>
        <w:t xml:space="preserve"> 1 day</w:t>
      </w:r>
    </w:p>
    <w:p>
      <w:pPr>
        <w:pStyle w:val="ListParagraph"/>
        <w:numPr>
          <w:ilvl w:val="0"/>
          <w:numId w:val="1"/>
        </w:numPr>
        <w:spacing w:after="60"/>
      </w:pPr>
      <w:r>
        <w:rPr>
          <w:b/>
          <w:bCs/>
          <w:color w:val="1F1B17"/>
          <w:sz w:val="22"/>
          <w:szCs w:val="22"/>
          <w:rFonts w:ascii="Arial" w:cs="Arial" w:eastAsia="Arial" w:hAnsi="Arial"/>
        </w:rPr>
        <w:t xml:space="preserve">Pricing:</w:t>
      </w:r>
      <w:r>
        <w:rPr>
          <w:color w:val="1F1B17"/>
          <w:sz w:val="22"/>
          <w:szCs w:val="22"/>
          <w:rFonts w:ascii="Arial" w:cs="Arial" w:eastAsia="Arial" w:hAnsi="Arial"/>
        </w:rPr>
        <w:t xml:space="preserve"> INR 50K-1.25L/month subscription</w:t>
      </w:r>
    </w:p>
    <w:p>
      <w:pPr>
        <w:pStyle w:val="ListParagraph"/>
        <w:numPr>
          <w:ilvl w:val="0"/>
          <w:numId w:val="1"/>
        </w:numPr>
        <w:spacing w:after="60"/>
      </w:pPr>
      <w:r>
        <w:rPr>
          <w:b/>
          <w:bCs/>
          <w:color w:val="1F1B17"/>
          <w:sz w:val="22"/>
          <w:szCs w:val="22"/>
          <w:rFonts w:ascii="Arial" w:cs="Arial" w:eastAsia="Arial" w:hAnsi="Arial"/>
        </w:rPr>
        <w:t xml:space="preserve">Best fit:</w:t>
      </w:r>
      <w:r>
        <w:rPr>
          <w:color w:val="1F1B17"/>
          <w:sz w:val="22"/>
          <w:szCs w:val="22"/>
          <w:rFonts w:ascii="Arial" w:cs="Arial" w:eastAsia="Arial" w:hAnsi="Arial"/>
        </w:rPr>
        <w:t xml:space="preserve"> SMB, mid-market, fast-moving teams</w:t>
      </w:r>
    </w:p>
    <w:p>
      <w:pPr>
        <w:pStyle w:val="ListParagraph"/>
        <w:numPr>
          <w:ilvl w:val="0"/>
          <w:numId w:val="1"/>
        </w:numPr>
        <w:spacing w:after="60"/>
      </w:pPr>
      <w:r>
        <w:rPr>
          <w:b/>
          <w:bCs/>
          <w:color w:val="1F1B17"/>
          <w:sz w:val="22"/>
          <w:szCs w:val="22"/>
          <w:rFonts w:ascii="Arial" w:cs="Arial" w:eastAsia="Arial" w:hAnsi="Arial"/>
        </w:rPr>
        <w:t xml:space="preserve">Data residency:</w:t>
      </w:r>
      <w:r>
        <w:rPr>
          <w:color w:val="1F1B17"/>
          <w:sz w:val="22"/>
          <w:szCs w:val="22"/>
          <w:rFonts w:ascii="Arial" w:cs="Arial" w:eastAsia="Arial" w:hAnsi="Arial"/>
        </w:rPr>
        <w:t xml:space="preserve"> AWS Singapore (default), AWS Mumbai available on request</w:t>
      </w:r>
    </w:p>
    <w:p>
      <w:pPr>
        <w:spacing w:before="360" w:after="120"/>
      </w:pPr>
      <w:r>
        <w:rPr>
          <w:b/>
          <w:bCs/>
          <w:color w:val="1F1B17"/>
          <w:sz w:val="28"/>
          <w:szCs w:val="28"/>
          <w:rFonts w:ascii="Georgia" w:cs="Georgia" w:eastAsia="Georgia" w:hAnsi="Georgia"/>
        </w:rPr>
        <w:t xml:space="preserve">9.2 Model 2 — On-Premise</w:t>
      </w:r>
    </w:p>
    <w:p>
      <w:pPr>
        <w:spacing w:after="120"/>
        <w:jc w:val="both"/>
      </w:pPr>
      <w:r>
        <w:rPr>
          <w:color w:val="1F1B17"/>
          <w:sz w:val="22"/>
          <w:szCs w:val="22"/>
          <w:rFonts w:ascii="Arial" w:cs="Arial" w:eastAsia="Arial" w:hAnsi="Arial"/>
        </w:rPr>
        <w:t xml:space="preserve">OpsLix delivered as Docker images for customer to deploy on their own infrastructure (private datacenter, AWS VPC, on-prem servers).</w:t>
      </w:r>
    </w:p>
    <w:p>
      <w:pPr>
        <w:pStyle w:val="ListParagraph"/>
        <w:numPr>
          <w:ilvl w:val="0"/>
          <w:numId w:val="1"/>
        </w:numPr>
        <w:spacing w:after="60"/>
      </w:pPr>
      <w:r>
        <w:rPr>
          <w:b/>
          <w:bCs/>
          <w:color w:val="1F1B17"/>
          <w:sz w:val="22"/>
          <w:szCs w:val="22"/>
          <w:rFonts w:ascii="Arial" w:cs="Arial" w:eastAsia="Arial" w:hAnsi="Arial"/>
        </w:rPr>
        <w:t xml:space="preserve">Infrastructure:</w:t>
      </w:r>
      <w:r>
        <w:rPr>
          <w:color w:val="1F1B17"/>
          <w:sz w:val="22"/>
          <w:szCs w:val="22"/>
          <w:rFonts w:ascii="Arial" w:cs="Arial" w:eastAsia="Arial" w:hAnsi="Arial"/>
        </w:rPr>
        <w:t xml:space="preserve"> 100% customer-managed</w:t>
      </w:r>
    </w:p>
    <w:p>
      <w:pPr>
        <w:pStyle w:val="ListParagraph"/>
        <w:numPr>
          <w:ilvl w:val="0"/>
          <w:numId w:val="1"/>
        </w:numPr>
        <w:spacing w:after="60"/>
      </w:pPr>
      <w:r>
        <w:rPr>
          <w:b/>
          <w:bCs/>
          <w:color w:val="1F1B17"/>
          <w:sz w:val="22"/>
          <w:szCs w:val="22"/>
          <w:rFonts w:ascii="Arial" w:cs="Arial" w:eastAsia="Arial" w:hAnsi="Arial"/>
        </w:rPr>
        <w:t xml:space="preserve">Components:</w:t>
      </w:r>
      <w:r>
        <w:rPr>
          <w:color w:val="1F1B17"/>
          <w:sz w:val="22"/>
          <w:szCs w:val="22"/>
          <w:rFonts w:ascii="Arial" w:cs="Arial" w:eastAsia="Arial" w:hAnsi="Arial"/>
        </w:rPr>
        <w:t xml:space="preserve"> 3 Docker containers (frontend, backend, postgres) + Redis (optional cache)</w:t>
      </w:r>
    </w:p>
    <w:p>
      <w:pPr>
        <w:pStyle w:val="ListParagraph"/>
        <w:numPr>
          <w:ilvl w:val="0"/>
          <w:numId w:val="1"/>
        </w:numPr>
        <w:spacing w:after="60"/>
      </w:pPr>
      <w:r>
        <w:rPr>
          <w:b/>
          <w:bCs/>
          <w:color w:val="1F1B17"/>
          <w:sz w:val="22"/>
          <w:szCs w:val="22"/>
          <w:rFonts w:ascii="Arial" w:cs="Arial" w:eastAsia="Arial" w:hAnsi="Arial"/>
        </w:rPr>
        <w:t xml:space="preserve">Updates:</w:t>
      </w:r>
      <w:r>
        <w:rPr>
          <w:color w:val="1F1B17"/>
          <w:sz w:val="22"/>
          <w:szCs w:val="22"/>
          <w:rFonts w:ascii="Arial" w:cs="Arial" w:eastAsia="Arial" w:hAnsi="Arial"/>
        </w:rPr>
        <w:t xml:space="preserve"> Manual — customer pulls new images on their schedule</w:t>
      </w:r>
    </w:p>
    <w:p>
      <w:pPr>
        <w:pStyle w:val="ListParagraph"/>
        <w:numPr>
          <w:ilvl w:val="0"/>
          <w:numId w:val="1"/>
        </w:numPr>
        <w:spacing w:after="60"/>
      </w:pPr>
      <w:r>
        <w:rPr>
          <w:b/>
          <w:bCs/>
          <w:color w:val="1F1B17"/>
          <w:sz w:val="22"/>
          <w:szCs w:val="22"/>
          <w:rFonts w:ascii="Arial" w:cs="Arial" w:eastAsia="Arial" w:hAnsi="Arial"/>
        </w:rPr>
        <w:t xml:space="preserve">Setup time:</w:t>
      </w:r>
      <w:r>
        <w:rPr>
          <w:color w:val="1F1B17"/>
          <w:sz w:val="22"/>
          <w:szCs w:val="22"/>
          <w:rFonts w:ascii="Arial" w:cs="Arial" w:eastAsia="Arial" w:hAnsi="Arial"/>
        </w:rPr>
        <w:t xml:space="preserve"> 2-4 weeks (deployment, network config, training)</w:t>
      </w:r>
    </w:p>
    <w:p>
      <w:pPr>
        <w:pStyle w:val="ListParagraph"/>
        <w:numPr>
          <w:ilvl w:val="0"/>
          <w:numId w:val="1"/>
        </w:numPr>
        <w:spacing w:after="60"/>
      </w:pPr>
      <w:r>
        <w:rPr>
          <w:b/>
          <w:bCs/>
          <w:color w:val="1F1B17"/>
          <w:sz w:val="22"/>
          <w:szCs w:val="22"/>
          <w:rFonts w:ascii="Arial" w:cs="Arial" w:eastAsia="Arial" w:hAnsi="Arial"/>
        </w:rPr>
        <w:t xml:space="preserve">Pricing:</w:t>
      </w:r>
      <w:r>
        <w:rPr>
          <w:color w:val="1F1B17"/>
          <w:sz w:val="22"/>
          <w:szCs w:val="22"/>
          <w:rFonts w:ascii="Arial" w:cs="Arial" w:eastAsia="Arial" w:hAnsi="Arial"/>
        </w:rPr>
        <w:t xml:space="preserve"> Annual license (custom)</w:t>
      </w:r>
    </w:p>
    <w:p>
      <w:pPr>
        <w:pStyle w:val="ListParagraph"/>
        <w:numPr>
          <w:ilvl w:val="0"/>
          <w:numId w:val="1"/>
        </w:numPr>
        <w:spacing w:after="60"/>
      </w:pPr>
      <w:r>
        <w:rPr>
          <w:b/>
          <w:bCs/>
          <w:color w:val="1F1B17"/>
          <w:sz w:val="22"/>
          <w:szCs w:val="22"/>
          <w:rFonts w:ascii="Arial" w:cs="Arial" w:eastAsia="Arial" w:hAnsi="Arial"/>
        </w:rPr>
        <w:t xml:space="preserve">Best fit:</w:t>
      </w:r>
      <w:r>
        <w:rPr>
          <w:color w:val="1F1B17"/>
          <w:sz w:val="22"/>
          <w:szCs w:val="22"/>
          <w:rFonts w:ascii="Arial" w:cs="Arial" w:eastAsia="Arial" w:hAnsi="Arial"/>
        </w:rPr>
        <w:t xml:space="preserve"> Banking, defense, government, healthcare with strict data residency or air-gap requirements</w:t>
      </w:r>
    </w:p>
    <w:p>
      <w:pPr>
        <w:pStyle w:val="ListParagraph"/>
        <w:numPr>
          <w:ilvl w:val="0"/>
          <w:numId w:val="1"/>
        </w:numPr>
        <w:spacing w:after="60"/>
      </w:pPr>
      <w:r>
        <w:rPr>
          <w:b/>
          <w:bCs/>
          <w:color w:val="1F1B17"/>
          <w:sz w:val="22"/>
          <w:szCs w:val="22"/>
          <w:rFonts w:ascii="Arial" w:cs="Arial" w:eastAsia="Arial" w:hAnsi="Arial"/>
        </w:rPr>
        <w:t xml:space="preserve">Support:</w:t>
      </w:r>
      <w:r>
        <w:rPr>
          <w:color w:val="1F1B17"/>
          <w:sz w:val="22"/>
          <w:szCs w:val="22"/>
          <w:rFonts w:ascii="Arial" w:cs="Arial" w:eastAsia="Arial" w:hAnsi="Arial"/>
        </w:rPr>
        <w:t xml:space="preserve"> Quarterly health checks, 24x7 incident response, dedicated success manager</w:t>
      </w:r>
    </w:p>
    <w:p>
      <w:pPr>
        <w:spacing w:before="360" w:after="120"/>
      </w:pPr>
      <w:r>
        <w:rPr>
          <w:b/>
          <w:bCs/>
          <w:color w:val="1F1B17"/>
          <w:sz w:val="28"/>
          <w:szCs w:val="28"/>
          <w:rFonts w:ascii="Georgia" w:cs="Georgia" w:eastAsia="Georgia" w:hAnsi="Georgia"/>
        </w:rPr>
        <w:t xml:space="preserve">9.3 Model 3 — Private Cloud (Hybrid)</w:t>
      </w:r>
    </w:p>
    <w:p>
      <w:pPr>
        <w:spacing w:after="120"/>
        <w:jc w:val="both"/>
      </w:pPr>
      <w:r>
        <w:rPr>
          <w:color w:val="1F1B17"/>
          <w:sz w:val="22"/>
          <w:szCs w:val="22"/>
          <w:rFonts w:ascii="Arial" w:cs="Arial" w:eastAsia="Arial" w:hAnsi="Arial"/>
        </w:rPr>
        <w:t xml:space="preserve">Frontend stays SaaS (CDN-delivered), but backend and database live in customers own VPC. Best of both worlds: SaaS UX, enterprise data control.</w:t>
      </w:r>
    </w:p>
    <w:p>
      <w:pPr>
        <w:pStyle w:val="ListParagraph"/>
        <w:numPr>
          <w:ilvl w:val="0"/>
          <w:numId w:val="1"/>
        </w:numPr>
        <w:spacing w:after="60"/>
      </w:pPr>
      <w:r>
        <w:rPr>
          <w:b/>
          <w:bCs/>
          <w:color w:val="1F1B17"/>
          <w:sz w:val="22"/>
          <w:szCs w:val="22"/>
          <w:rFonts w:ascii="Arial" w:cs="Arial" w:eastAsia="Arial" w:hAnsi="Arial"/>
        </w:rPr>
        <w:t xml:space="preserve">Infrastructure:</w:t>
      </w:r>
      <w:r>
        <w:rPr>
          <w:color w:val="1F1B17"/>
          <w:sz w:val="22"/>
          <w:szCs w:val="22"/>
          <w:rFonts w:ascii="Arial" w:cs="Arial" w:eastAsia="Arial" w:hAnsi="Arial"/>
        </w:rPr>
        <w:t xml:space="preserve"> SaaS frontend, customer-hosted backend + DB</w:t>
      </w:r>
    </w:p>
    <w:p>
      <w:pPr>
        <w:pStyle w:val="ListParagraph"/>
        <w:numPr>
          <w:ilvl w:val="0"/>
          <w:numId w:val="1"/>
        </w:numPr>
        <w:spacing w:after="60"/>
      </w:pPr>
      <w:r>
        <w:rPr>
          <w:b/>
          <w:bCs/>
          <w:color w:val="1F1B17"/>
          <w:sz w:val="22"/>
          <w:szCs w:val="22"/>
          <w:rFonts w:ascii="Arial" w:cs="Arial" w:eastAsia="Arial" w:hAnsi="Arial"/>
        </w:rPr>
        <w:t xml:space="preserve">Updates:</w:t>
      </w:r>
      <w:r>
        <w:rPr>
          <w:color w:val="1F1B17"/>
          <w:sz w:val="22"/>
          <w:szCs w:val="22"/>
          <w:rFonts w:ascii="Arial" w:cs="Arial" w:eastAsia="Arial" w:hAnsi="Arial"/>
        </w:rPr>
        <w:t xml:space="preserve"> Frontend auto, backend coordinated</w:t>
      </w:r>
    </w:p>
    <w:p>
      <w:pPr>
        <w:pStyle w:val="ListParagraph"/>
        <w:numPr>
          <w:ilvl w:val="0"/>
          <w:numId w:val="1"/>
        </w:numPr>
        <w:spacing w:after="60"/>
      </w:pPr>
      <w:r>
        <w:rPr>
          <w:b/>
          <w:bCs/>
          <w:color w:val="1F1B17"/>
          <w:sz w:val="22"/>
          <w:szCs w:val="22"/>
          <w:rFonts w:ascii="Arial" w:cs="Arial" w:eastAsia="Arial" w:hAnsi="Arial"/>
        </w:rPr>
        <w:t xml:space="preserve">Setup time:</w:t>
      </w:r>
      <w:r>
        <w:rPr>
          <w:color w:val="1F1B17"/>
          <w:sz w:val="22"/>
          <w:szCs w:val="22"/>
          <w:rFonts w:ascii="Arial" w:cs="Arial" w:eastAsia="Arial" w:hAnsi="Arial"/>
        </w:rPr>
        <w:t xml:space="preserve"> 1-2 weeks</w:t>
      </w:r>
    </w:p>
    <w:p>
      <w:pPr>
        <w:pStyle w:val="ListParagraph"/>
        <w:numPr>
          <w:ilvl w:val="0"/>
          <w:numId w:val="1"/>
        </w:numPr>
        <w:spacing w:after="60"/>
      </w:pPr>
      <w:r>
        <w:rPr>
          <w:b/>
          <w:bCs/>
          <w:color w:val="1F1B17"/>
          <w:sz w:val="22"/>
          <w:szCs w:val="22"/>
          <w:rFonts w:ascii="Arial" w:cs="Arial" w:eastAsia="Arial" w:hAnsi="Arial"/>
        </w:rPr>
        <w:t xml:space="preserve">Pricing:</w:t>
      </w:r>
      <w:r>
        <w:rPr>
          <w:color w:val="1F1B17"/>
          <w:sz w:val="22"/>
          <w:szCs w:val="22"/>
          <w:rFonts w:ascii="Arial" w:cs="Arial" w:eastAsia="Arial" w:hAnsi="Arial"/>
        </w:rPr>
        <w:t xml:space="preserve"> Annual contract + infrastructure fees</w:t>
      </w:r>
    </w:p>
    <w:p>
      <w:pPr>
        <w:pStyle w:val="ListParagraph"/>
        <w:numPr>
          <w:ilvl w:val="0"/>
          <w:numId w:val="1"/>
        </w:numPr>
        <w:spacing w:after="60"/>
      </w:pPr>
      <w:r>
        <w:rPr>
          <w:b/>
          <w:bCs/>
          <w:color w:val="1F1B17"/>
          <w:sz w:val="22"/>
          <w:szCs w:val="22"/>
          <w:rFonts w:ascii="Arial" w:cs="Arial" w:eastAsia="Arial" w:hAnsi="Arial"/>
        </w:rPr>
        <w:t xml:space="preserve">Best fit:</w:t>
      </w:r>
      <w:r>
        <w:rPr>
          <w:color w:val="1F1B17"/>
          <w:sz w:val="22"/>
          <w:szCs w:val="22"/>
          <w:rFonts w:ascii="Arial" w:cs="Arial" w:eastAsia="Arial" w:hAnsi="Arial"/>
        </w:rPr>
        <w:t xml:space="preserve"> Mid-large enterprise, regulated industries, multi-region operations</w:t>
      </w:r>
    </w:p>
    <w:p>
      <w:pPr>
        <w:spacing w:before="360" w:after="120"/>
      </w:pPr>
      <w:r>
        <w:rPr>
          <w:b/>
          <w:bCs/>
          <w:color w:val="1F1B17"/>
          <w:sz w:val="28"/>
          <w:szCs w:val="28"/>
          <w:rFonts w:ascii="Georgia" w:cs="Georgia" w:eastAsia="Georgia" w:hAnsi="Georgia"/>
        </w:rPr>
        <w:t xml:space="preserve">9.4 Model Comparison</w:t>
      </w:r>
    </w:p>
    <w:tbl>
      <w:tblPr>
        <w:tblW w:type="pct" w:w="100%"/>
        <w:tblBorders>
          <w:top w:val="single" w:color="1F1B17" w:sz="4"/>
          <w:left w:val="none"/>
          <w:bottom w:val="single" w:color="1F1B17" w:sz="4"/>
          <w:right w:val="none"/>
          <w:insideH w:val="single" w:color="D5D0C8" w:sz="2"/>
          <w:insideV w:val="none"/>
        </w:tblBorders>
      </w:tblPr>
      <w:tblGrid>
        <w:gridCol w:w="100"/>
        <w:gridCol w:w="100"/>
        <w:gridCol w:w="100"/>
        <w:gridCol w:w="100"/>
      </w:tblGrid>
      <w:tr>
        <w:tc>
          <w:tcPr>
            <w:tcW w:type="dxa" w:w="225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Dimension</w:t>
            </w:r>
          </w:p>
        </w:tc>
        <w:tc>
          <w:tcPr>
            <w:tcW w:type="dxa" w:w="225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SaaS</w:t>
            </w:r>
          </w:p>
        </w:tc>
        <w:tc>
          <w:tcPr>
            <w:tcW w:type="dxa" w:w="225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On-Premise</w:t>
            </w:r>
          </w:p>
        </w:tc>
        <w:tc>
          <w:tcPr>
            <w:tcW w:type="dxa" w:w="225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Private Cloud</w:t>
            </w:r>
          </w:p>
        </w:tc>
      </w:tr>
      <w:tr>
        <w:tc>
          <w:tcPr>
            <w:tcW w:type="dxa" w:w="2250"/>
            <w:tcMar>
              <w:top w:type="dxa" w:w="80"/>
              <w:left w:type="dxa" w:w="120"/>
              <w:bottom w:type="dxa" w:w="80"/>
              <w:right w:type="dxa" w:w="120"/>
            </w:tcMar>
          </w:tcPr>
          <w:p>
            <w:r>
              <w:rPr>
                <w:b/>
                <w:bCs/>
                <w:color w:val="1F1B17"/>
                <w:sz w:val="20"/>
                <w:szCs w:val="20"/>
                <w:rFonts w:ascii="Arial" w:cs="Arial" w:eastAsia="Arial" w:hAnsi="Arial"/>
              </w:rPr>
              <w:t xml:space="preserve">Time to value</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1 day</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2-4 weeks</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1-2 weeks</w:t>
            </w:r>
          </w:p>
        </w:tc>
      </w:tr>
      <w:tr>
        <w:tc>
          <w:tcPr>
            <w:tcW w:type="dxa" w:w="2250"/>
            <w:shd w:color="FAF8F2" w:val="solid"/>
            <w:tcMar>
              <w:top w:type="dxa" w:w="80"/>
              <w:left w:type="dxa" w:w="120"/>
              <w:bottom w:type="dxa" w:w="80"/>
              <w:right w:type="dxa" w:w="120"/>
            </w:tcMar>
          </w:tcPr>
          <w:p>
            <w:r>
              <w:rPr>
                <w:b/>
                <w:bCs/>
                <w:color w:val="1F1B17"/>
                <w:sz w:val="20"/>
                <w:szCs w:val="20"/>
                <w:rFonts w:ascii="Arial" w:cs="Arial" w:eastAsia="Arial" w:hAnsi="Arial"/>
              </w:rPr>
              <w:t xml:space="preserve">TCO (3 years)</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Lowest</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Medium</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Medium-High</w:t>
            </w:r>
          </w:p>
        </w:tc>
      </w:tr>
      <w:tr>
        <w:tc>
          <w:tcPr>
            <w:tcW w:type="dxa" w:w="2250"/>
            <w:tcMar>
              <w:top w:type="dxa" w:w="80"/>
              <w:left w:type="dxa" w:w="120"/>
              <w:bottom w:type="dxa" w:w="80"/>
              <w:right w:type="dxa" w:w="120"/>
            </w:tcMar>
          </w:tcPr>
          <w:p>
            <w:r>
              <w:rPr>
                <w:b/>
                <w:bCs/>
                <w:color w:val="1F1B17"/>
                <w:sz w:val="20"/>
                <w:szCs w:val="20"/>
                <w:rFonts w:ascii="Arial" w:cs="Arial" w:eastAsia="Arial" w:hAnsi="Arial"/>
              </w:rPr>
              <w:t xml:space="preserve">Data residency</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Region selection</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Full control</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Full control</w:t>
            </w:r>
          </w:p>
        </w:tc>
      </w:tr>
      <w:tr>
        <w:tc>
          <w:tcPr>
            <w:tcW w:type="dxa" w:w="2250"/>
            <w:shd w:color="FAF8F2" w:val="solid"/>
            <w:tcMar>
              <w:top w:type="dxa" w:w="80"/>
              <w:left w:type="dxa" w:w="120"/>
              <w:bottom w:type="dxa" w:w="80"/>
              <w:right w:type="dxa" w:w="120"/>
            </w:tcMar>
          </w:tcPr>
          <w:p>
            <w:r>
              <w:rPr>
                <w:b/>
                <w:bCs/>
                <w:color w:val="1F1B17"/>
                <w:sz w:val="20"/>
                <w:szCs w:val="20"/>
                <w:rFonts w:ascii="Arial" w:cs="Arial" w:eastAsia="Arial" w:hAnsi="Arial"/>
              </w:rPr>
              <w:t xml:space="preserve">Update frequency</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Continuous</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Quarterly+</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Coordinated</w:t>
            </w:r>
          </w:p>
        </w:tc>
      </w:tr>
      <w:tr>
        <w:tc>
          <w:tcPr>
            <w:tcW w:type="dxa" w:w="2250"/>
            <w:tcMar>
              <w:top w:type="dxa" w:w="80"/>
              <w:left w:type="dxa" w:w="120"/>
              <w:bottom w:type="dxa" w:w="80"/>
              <w:right w:type="dxa" w:w="120"/>
            </w:tcMar>
          </w:tcPr>
          <w:p>
            <w:r>
              <w:rPr>
                <w:b/>
                <w:bCs/>
                <w:color w:val="1F1B17"/>
                <w:sz w:val="20"/>
                <w:szCs w:val="20"/>
                <w:rFonts w:ascii="Arial" w:cs="Arial" w:eastAsia="Arial" w:hAnsi="Arial"/>
              </w:rPr>
              <w:t xml:space="preserve">Customer IT effort</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None</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High</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Medium</w:t>
            </w:r>
          </w:p>
        </w:tc>
      </w:tr>
    </w:tbl>
    <w:p>
      <w:pPr>
        <w:spacing w:before="480" w:after="80"/>
      </w:pPr>
      <w:r>
        <w:rPr>
          <w:b/>
          <w:bCs/>
          <w:color w:val="C6583E"/>
          <w:sz w:val="20"/>
          <w:szCs w:val="20"/>
          <w:rFonts w:ascii="Arial" w:cs="Arial" w:eastAsia="Arial" w:hAnsi="Arial"/>
        </w:rPr>
        <w:t xml:space="preserve">SECTION 10</w:t>
      </w:r>
    </w:p>
    <w:p>
      <w:pPr>
        <w:spacing w:after="240"/>
      </w:pPr>
      <w:r>
        <w:rPr>
          <w:b/>
          <w:bCs/>
          <w:color w:val="1F1B17"/>
          <w:sz w:val="44"/>
          <w:szCs w:val="44"/>
          <w:rFonts w:ascii="Georgia" w:cs="Georgia" w:eastAsia="Georgia" w:hAnsi="Georgia"/>
        </w:rPr>
        <w:t xml:space="preserve">API Architecture</w:t>
      </w:r>
    </w:p>
    <w:p>
      <w:pPr>
        <w:spacing w:before="360" w:after="120"/>
      </w:pPr>
      <w:r>
        <w:rPr>
          <w:b/>
          <w:bCs/>
          <w:color w:val="1F1B17"/>
          <w:sz w:val="28"/>
          <w:szCs w:val="28"/>
          <w:rFonts w:ascii="Georgia" w:cs="Georgia" w:eastAsia="Georgia" w:hAnsi="Georgia"/>
        </w:rPr>
        <w:t xml:space="preserve">10.1 REST Conventions</w:t>
      </w:r>
    </w:p>
    <w:p>
      <w:pPr>
        <w:spacing w:after="120"/>
        <w:jc w:val="both"/>
      </w:pPr>
      <w:r>
        <w:rPr>
          <w:color w:val="1F1B17"/>
          <w:sz w:val="22"/>
          <w:szCs w:val="22"/>
          <w:rFonts w:ascii="Arial" w:cs="Arial" w:eastAsia="Arial" w:hAnsi="Arial"/>
        </w:rPr>
        <w:t xml:space="preserve">All APIs follow REST conventions with versioned endpoints under /api/v1/.</w:t>
      </w:r>
    </w:p>
    <w:p>
      <w:pPr>
        <w:shd w:color="F5F2EB" w:val="solid"/>
        <w:spacing w:before="120" w:after="120"/>
        <w:ind w:left="240" w:right="240"/>
      </w:pPr>
      <w:r>
        <w:rPr>
          <w:color w:val="1F1B17"/>
          <w:sz w:val="18"/>
          <w:szCs w:val="18"/>
          <w:rFonts w:ascii="Consolas" w:cs="Consolas" w:eastAsia="Consolas" w:hAnsi="Consolas"/>
        </w:rPr>
        <w:t xml:space="preserve"># Auth</w:t>
      </w:r>
    </w:p>
    <w:p>
      <w:pPr>
        <w:shd w:color="F5F2EB" w:val="solid"/>
        <w:spacing w:before="120" w:after="120"/>
        <w:ind w:left="240" w:right="240"/>
      </w:pPr>
      <w:r>
        <w:rPr>
          <w:color w:val="1F1B17"/>
          <w:sz w:val="18"/>
          <w:szCs w:val="18"/>
          <w:rFonts w:ascii="Consolas" w:cs="Consolas" w:eastAsia="Consolas" w:hAnsi="Consolas"/>
        </w:rPr>
        <w:t xml:space="preserve">POST   /api/v1/auth/login          # Returns JWT</w:t>
      </w:r>
    </w:p>
    <w:p>
      <w:pPr>
        <w:shd w:color="F5F2EB" w:val="solid"/>
        <w:spacing w:before="120" w:after="120"/>
        <w:ind w:left="240" w:right="240"/>
      </w:pPr>
      <w:r>
        <w:rPr>
          <w:color w:val="1F1B17"/>
          <w:sz w:val="18"/>
          <w:szCs w:val="18"/>
          <w:rFonts w:ascii="Consolas" w:cs="Consolas" w:eastAsia="Consolas" w:hAnsi="Consolas"/>
        </w:rPr>
        <w:t xml:space="preserve">POST   /api/v1/auth/logout         # Invalidates token</w:t>
      </w:r>
    </w:p>
    <w:p>
      <w:pPr>
        <w:shd w:color="F5F2EB" w:val="solid"/>
        <w:spacing w:before="120" w:after="120"/>
        <w:ind w:left="240" w:right="240"/>
      </w:pPr>
      <w:r>
        <w:rPr>
          <w:color w:val="1F1B17"/>
          <w:sz w:val="18"/>
          <w:szCs w:val="18"/>
          <w:rFonts w:ascii="Consolas" w:cs="Consolas" w:eastAsia="Consolas" w:hAnsi="Consolas"/>
        </w:rPr>
      </w:r>
    </w:p>
    <w:p>
      <w:pPr>
        <w:shd w:color="F5F2EB" w:val="solid"/>
        <w:spacing w:before="120" w:after="120"/>
        <w:ind w:left="240" w:right="240"/>
      </w:pPr>
      <w:r>
        <w:rPr>
          <w:color w:val="1F1B17"/>
          <w:sz w:val="18"/>
          <w:szCs w:val="18"/>
          <w:rFonts w:ascii="Consolas" w:cs="Consolas" w:eastAsia="Consolas" w:hAnsi="Consolas"/>
        </w:rPr>
        <w:t xml:space="preserve"># Tenant resources (require Bearer JWT)</w:t>
      </w:r>
    </w:p>
    <w:p>
      <w:pPr>
        <w:shd w:color="F5F2EB" w:val="solid"/>
        <w:spacing w:before="120" w:after="120"/>
        <w:ind w:left="240" w:right="240"/>
      </w:pPr>
      <w:r>
        <w:rPr>
          <w:color w:val="1F1B17"/>
          <w:sz w:val="18"/>
          <w:szCs w:val="18"/>
          <w:rFonts w:ascii="Consolas" w:cs="Consolas" w:eastAsia="Consolas" w:hAnsi="Consolas"/>
        </w:rPr>
        <w:t xml:space="preserve">GET    /api/v1/projects            # List tenants projects</w:t>
      </w:r>
    </w:p>
    <w:p>
      <w:pPr>
        <w:shd w:color="F5F2EB" w:val="solid"/>
        <w:spacing w:before="120" w:after="120"/>
        <w:ind w:left="240" w:right="240"/>
      </w:pPr>
      <w:r>
        <w:rPr>
          <w:color w:val="1F1B17"/>
          <w:sz w:val="18"/>
          <w:szCs w:val="18"/>
          <w:rFonts w:ascii="Consolas" w:cs="Consolas" w:eastAsia="Consolas" w:hAnsi="Consolas"/>
        </w:rPr>
        <w:t xml:space="preserve">POST   /api/v1/projects            # Create project</w:t>
      </w:r>
    </w:p>
    <w:p>
      <w:pPr>
        <w:shd w:color="F5F2EB" w:val="solid"/>
        <w:spacing w:before="120" w:after="120"/>
        <w:ind w:left="240" w:right="240"/>
      </w:pPr>
      <w:r>
        <w:rPr>
          <w:color w:val="1F1B17"/>
          <w:sz w:val="18"/>
          <w:szCs w:val="18"/>
          <w:rFonts w:ascii="Consolas" w:cs="Consolas" w:eastAsia="Consolas" w:hAnsi="Consolas"/>
        </w:rPr>
        <w:t xml:space="preserve">GET    /api/v1/incidents           # List incidents</w:t>
      </w:r>
    </w:p>
    <w:p>
      <w:pPr>
        <w:shd w:color="F5F2EB" w:val="solid"/>
        <w:spacing w:before="120" w:after="120"/>
        <w:ind w:left="240" w:right="240"/>
      </w:pPr>
      <w:r>
        <w:rPr>
          <w:color w:val="1F1B17"/>
          <w:sz w:val="18"/>
          <w:szCs w:val="18"/>
          <w:rFonts w:ascii="Consolas" w:cs="Consolas" w:eastAsia="Consolas" w:hAnsi="Consolas"/>
        </w:rPr>
        <w:t xml:space="preserve">POST   /api/v1/incidents           # Report incident</w:t>
      </w:r>
    </w:p>
    <w:p>
      <w:pPr>
        <w:spacing w:before="360" w:after="120"/>
      </w:pPr>
      <w:r>
        <w:rPr>
          <w:b/>
          <w:bCs/>
          <w:color w:val="1F1B17"/>
          <w:sz w:val="28"/>
          <w:szCs w:val="28"/>
          <w:rFonts w:ascii="Georgia" w:cs="Georgia" w:eastAsia="Georgia" w:hAnsi="Georgia"/>
        </w:rPr>
        <w:t xml:space="preserve">10.2 Standard Response Format</w:t>
      </w:r>
    </w:p>
    <w:p>
      <w:pPr>
        <w:shd w:color="F5F2EB" w:val="solid"/>
        <w:spacing w:before="120" w:after="120"/>
        <w:ind w:left="240" w:right="240"/>
      </w:pPr>
      <w:r>
        <w:rPr>
          <w:color w:val="1F1B17"/>
          <w:sz w:val="18"/>
          <w:szCs w:val="18"/>
          <w:rFonts w:ascii="Consolas" w:cs="Consolas" w:eastAsia="Consolas" w:hAnsi="Consolas"/>
        </w:rPr>
        <w:t xml:space="preserve">{</w:t>
      </w:r>
    </w:p>
    <w:p>
      <w:pPr>
        <w:shd w:color="F5F2EB" w:val="solid"/>
        <w:spacing w:before="120" w:after="120"/>
        <w:ind w:left="240" w:right="240"/>
      </w:pPr>
      <w:r>
        <w:rPr>
          <w:color w:val="1F1B17"/>
          <w:sz w:val="18"/>
          <w:szCs w:val="18"/>
          <w:rFonts w:ascii="Consolas" w:cs="Consolas" w:eastAsia="Consolas" w:hAnsi="Consolas"/>
        </w:rPr>
        <w:t xml:space="preserve">  "success": true,</w:t>
      </w:r>
    </w:p>
    <w:p>
      <w:pPr>
        <w:shd w:color="F5F2EB" w:val="solid"/>
        <w:spacing w:before="120" w:after="120"/>
        <w:ind w:left="240" w:right="240"/>
      </w:pPr>
      <w:r>
        <w:rPr>
          <w:color w:val="1F1B17"/>
          <w:sz w:val="18"/>
          <w:szCs w:val="18"/>
          <w:rFonts w:ascii="Consolas" w:cs="Consolas" w:eastAsia="Consolas" w:hAnsi="Consolas"/>
        </w:rPr>
        <w:t xml:space="preserve">  "data": { /* resource or array */ },</w:t>
      </w:r>
    </w:p>
    <w:p>
      <w:pPr>
        <w:shd w:color="F5F2EB" w:val="solid"/>
        <w:spacing w:before="120" w:after="120"/>
        <w:ind w:left="240" w:right="240"/>
      </w:pPr>
      <w:r>
        <w:rPr>
          <w:color w:val="1F1B17"/>
          <w:sz w:val="18"/>
          <w:szCs w:val="18"/>
          <w:rFonts w:ascii="Consolas" w:cs="Consolas" w:eastAsia="Consolas" w:hAnsi="Consolas"/>
        </w:rPr>
        <w:t xml:space="preserve">  "meta": { "page": 1, "pageSize": 50, "total": 234 }</w:t>
      </w:r>
    </w:p>
    <w:p>
      <w:pPr>
        <w:shd w:color="F5F2EB" w:val="solid"/>
        <w:spacing w:before="120" w:after="120"/>
        <w:ind w:left="240" w:right="240"/>
      </w:pPr>
      <w:r>
        <w:rPr>
          <w:color w:val="1F1B17"/>
          <w:sz w:val="18"/>
          <w:szCs w:val="18"/>
          <w:rFonts w:ascii="Consolas" w:cs="Consolas" w:eastAsia="Consolas" w:hAnsi="Consolas"/>
        </w:rPr>
        <w:t xml:space="preserve">}</w:t>
      </w:r>
    </w:p>
    <w:p>
      <w:pPr>
        <w:spacing w:before="360" w:after="120"/>
      </w:pPr>
      <w:r>
        <w:rPr>
          <w:b/>
          <w:bCs/>
          <w:color w:val="1F1B17"/>
          <w:sz w:val="28"/>
          <w:szCs w:val="28"/>
          <w:rFonts w:ascii="Georgia" w:cs="Georgia" w:eastAsia="Georgia" w:hAnsi="Georgia"/>
        </w:rPr>
        <w:t xml:space="preserve">10.3 Rate Limits</w:t>
      </w:r>
    </w:p>
    <w:tbl>
      <w:tblPr>
        <w:tblW w:type="pct" w:w="100%"/>
        <w:tblBorders>
          <w:top w:val="single" w:color="1F1B17" w:sz="4"/>
          <w:left w:val="none"/>
          <w:bottom w:val="single" w:color="1F1B17" w:sz="4"/>
          <w:right w:val="none"/>
          <w:insideH w:val="single" w:color="D5D0C8" w:sz="2"/>
          <w:insideV w:val="none"/>
        </w:tblBorders>
      </w:tblPr>
      <w:tblGrid>
        <w:gridCol w:w="100"/>
        <w:gridCol w:w="100"/>
        <w:gridCol w:w="100"/>
      </w:tblGrid>
      <w:tr>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Tier</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Per Minute</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Per Hour</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Anonymous</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30 req</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500 req</w:t>
            </w:r>
          </w:p>
        </w:tc>
      </w:tr>
      <w:tr>
        <w:tc>
          <w:tcPr>
            <w:tcW w:type="dxa" w:w="3000"/>
            <w:shd w:color="FAF8F2" w:val="solid"/>
            <w:tcMar>
              <w:top w:type="dxa" w:w="80"/>
              <w:left w:type="dxa" w:w="120"/>
              <w:bottom w:type="dxa" w:w="80"/>
              <w:right w:type="dxa" w:w="120"/>
            </w:tcMar>
          </w:tcPr>
          <w:p>
            <w:r>
              <w:rPr>
                <w:b/>
                <w:bCs/>
                <w:color w:val="1F1B17"/>
                <w:sz w:val="20"/>
                <w:szCs w:val="20"/>
                <w:rFonts w:ascii="Arial" w:cs="Arial" w:eastAsia="Arial" w:hAnsi="Arial"/>
              </w:rPr>
              <w:t xml:space="preserve">Authenticated User</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120 req</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5,000 req</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ADMIN</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240 req</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10,000 req</w:t>
            </w:r>
          </w:p>
        </w:tc>
      </w:tr>
      <w:tr>
        <w:tc>
          <w:tcPr>
            <w:tcW w:type="dxa" w:w="3000"/>
            <w:shd w:color="FAF8F2" w:val="solid"/>
            <w:tcMar>
              <w:top w:type="dxa" w:w="80"/>
              <w:left w:type="dxa" w:w="120"/>
              <w:bottom w:type="dxa" w:w="80"/>
              <w:right w:type="dxa" w:w="120"/>
            </w:tcMar>
          </w:tcPr>
          <w:p>
            <w:r>
              <w:rPr>
                <w:b/>
                <w:bCs/>
                <w:color w:val="1F1B17"/>
                <w:sz w:val="20"/>
                <w:szCs w:val="20"/>
                <w:rFonts w:ascii="Arial" w:cs="Arial" w:eastAsia="Arial" w:hAnsi="Arial"/>
              </w:rPr>
              <w:t xml:space="preserve">API Token (M2M)</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Custom</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Custom</w:t>
            </w:r>
          </w:p>
        </w:tc>
      </w:tr>
    </w:tbl>
    <w:p>
      <w:pPr>
        <w:spacing w:before="480" w:after="80"/>
      </w:pPr>
      <w:r>
        <w:rPr>
          <w:b/>
          <w:bCs/>
          <w:color w:val="C6583E"/>
          <w:sz w:val="20"/>
          <w:szCs w:val="20"/>
          <w:rFonts w:ascii="Arial" w:cs="Arial" w:eastAsia="Arial" w:hAnsi="Arial"/>
        </w:rPr>
        <w:t xml:space="preserve">SECTION 11</w:t>
      </w:r>
    </w:p>
    <w:p>
      <w:pPr>
        <w:spacing w:after="240"/>
      </w:pPr>
      <w:r>
        <w:rPr>
          <w:b/>
          <w:bCs/>
          <w:color w:val="1F1B17"/>
          <w:sz w:val="44"/>
          <w:szCs w:val="44"/>
          <w:rFonts w:ascii="Georgia" w:cs="Georgia" w:eastAsia="Georgia" w:hAnsi="Georgia"/>
        </w:rPr>
        <w:t xml:space="preserve">Compliance &amp; Privacy</w:t>
      </w:r>
    </w:p>
    <w:p>
      <w:pPr>
        <w:spacing w:before="360" w:after="120"/>
      </w:pPr>
      <w:r>
        <w:rPr>
          <w:b/>
          <w:bCs/>
          <w:color w:val="1F1B17"/>
          <w:sz w:val="28"/>
          <w:szCs w:val="28"/>
          <w:rFonts w:ascii="Georgia" w:cs="Georgia" w:eastAsia="Georgia" w:hAnsi="Georgia"/>
        </w:rPr>
        <w:t xml:space="preserve">11.1 Data Privacy Frameworks</w:t>
      </w:r>
    </w:p>
    <w:tbl>
      <w:tblPr>
        <w:tblW w:type="pct" w:w="100%"/>
        <w:tblBorders>
          <w:top w:val="single" w:color="1F1B17" w:sz="4"/>
          <w:left w:val="none"/>
          <w:bottom w:val="single" w:color="1F1B17" w:sz="4"/>
          <w:right w:val="none"/>
          <w:insideH w:val="single" w:color="D5D0C8" w:sz="2"/>
          <w:insideV w:val="none"/>
        </w:tblBorders>
      </w:tblPr>
      <w:tblGrid>
        <w:gridCol w:w="100"/>
        <w:gridCol w:w="100"/>
        <w:gridCol w:w="100"/>
      </w:tblGrid>
      <w:tr>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Framework</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Status</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Coverage</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DPDP Act 2023 (India)</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Aligned</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Data minimization, consent, breach notification</w:t>
            </w:r>
          </w:p>
        </w:tc>
      </w:tr>
      <w:tr>
        <w:tc>
          <w:tcPr>
            <w:tcW w:type="dxa" w:w="3000"/>
            <w:shd w:color="FAF8F2" w:val="solid"/>
            <w:tcMar>
              <w:top w:type="dxa" w:w="80"/>
              <w:left w:type="dxa" w:w="120"/>
              <w:bottom w:type="dxa" w:w="80"/>
              <w:right w:type="dxa" w:w="120"/>
            </w:tcMar>
          </w:tcPr>
          <w:p>
            <w:r>
              <w:rPr>
                <w:b/>
                <w:bCs/>
                <w:color w:val="1F1B17"/>
                <w:sz w:val="20"/>
                <w:szCs w:val="20"/>
                <w:rFonts w:ascii="Arial" w:cs="Arial" w:eastAsia="Arial" w:hAnsi="Arial"/>
              </w:rPr>
              <w:t xml:space="preserve">GDPR (EU)</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Aligned</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Lawful basis, right to erasure, data portability</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CCPA (California)</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Planned Q2 2026</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Required for US expansion</w:t>
            </w:r>
          </w:p>
        </w:tc>
      </w:tr>
      <w:tr>
        <w:tc>
          <w:tcPr>
            <w:tcW w:type="dxa" w:w="3000"/>
            <w:shd w:color="FAF8F2" w:val="solid"/>
            <w:tcMar>
              <w:top w:type="dxa" w:w="80"/>
              <w:left w:type="dxa" w:w="120"/>
              <w:bottom w:type="dxa" w:w="80"/>
              <w:right w:type="dxa" w:w="120"/>
            </w:tcMar>
          </w:tcPr>
          <w:p>
            <w:r>
              <w:rPr>
                <w:b/>
                <w:bCs/>
                <w:color w:val="1F1B17"/>
                <w:sz w:val="20"/>
                <w:szCs w:val="20"/>
                <w:rFonts w:ascii="Arial" w:cs="Arial" w:eastAsia="Arial" w:hAnsi="Arial"/>
              </w:rPr>
              <w:t xml:space="preserve">PIPEDA (Canada)</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Planned Q2 2026</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Required for Canadian customers</w:t>
            </w:r>
          </w:p>
        </w:tc>
      </w:tr>
    </w:tbl>
    <w:p>
      <w:pPr>
        <w:spacing w:after="80"/>
      </w:pPr>
      <w:r>
        <w:t xml:space="preserve"> </w:t>
      </w:r>
    </w:p>
    <w:p>
      <w:pPr>
        <w:spacing w:before="360" w:after="120"/>
      </w:pPr>
      <w:r>
        <w:rPr>
          <w:b/>
          <w:bCs/>
          <w:color w:val="1F1B17"/>
          <w:sz w:val="28"/>
          <w:szCs w:val="28"/>
          <w:rFonts w:ascii="Georgia" w:cs="Georgia" w:eastAsia="Georgia" w:hAnsi="Georgia"/>
        </w:rPr>
        <w:t xml:space="preserve">11.2 Industry Standards</w:t>
      </w:r>
    </w:p>
    <w:tbl>
      <w:tblPr>
        <w:tblW w:type="pct" w:w="100%"/>
        <w:tblBorders>
          <w:top w:val="single" w:color="1F1B17" w:sz="4"/>
          <w:left w:val="none"/>
          <w:bottom w:val="single" w:color="1F1B17" w:sz="4"/>
          <w:right w:val="none"/>
          <w:insideH w:val="single" w:color="D5D0C8" w:sz="2"/>
          <w:insideV w:val="none"/>
        </w:tblBorders>
      </w:tblPr>
      <w:tblGrid>
        <w:gridCol w:w="100"/>
        <w:gridCol w:w="100"/>
      </w:tblGrid>
      <w:tr>
        <w:tc>
          <w:tcPr>
            <w:tcW w:type="dxa" w:w="45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Standard</w:t>
            </w:r>
          </w:p>
        </w:tc>
        <w:tc>
          <w:tcPr>
            <w:tcW w:type="dxa" w:w="45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Status</w:t>
            </w:r>
          </w:p>
        </w:tc>
      </w:tr>
      <w:tr>
        <w:tc>
          <w:tcPr>
            <w:tcW w:type="dxa" w:w="4500"/>
            <w:tcMar>
              <w:top w:type="dxa" w:w="80"/>
              <w:left w:type="dxa" w:w="120"/>
              <w:bottom w:type="dxa" w:w="80"/>
              <w:right w:type="dxa" w:w="120"/>
            </w:tcMar>
          </w:tcPr>
          <w:p>
            <w:r>
              <w:rPr>
                <w:b/>
                <w:bCs/>
                <w:color w:val="1F1B17"/>
                <w:sz w:val="20"/>
                <w:szCs w:val="20"/>
                <w:rFonts w:ascii="Arial" w:cs="Arial" w:eastAsia="Arial" w:hAnsi="Arial"/>
              </w:rPr>
              <w:t xml:space="preserve">ISO 45001:2018 (OH&amp;S)</w:t>
            </w:r>
          </w:p>
        </w:tc>
        <w:tc>
          <w:tcPr>
            <w:tcW w:type="dxa" w:w="4500"/>
            <w:tcMar>
              <w:top w:type="dxa" w:w="80"/>
              <w:left w:type="dxa" w:w="120"/>
              <w:bottom w:type="dxa" w:w="80"/>
              <w:right w:type="dxa" w:w="120"/>
            </w:tcMar>
          </w:tcPr>
          <w:p>
            <w:r>
              <w:rPr>
                <w:b w:val="false"/>
                <w:bCs w:val="false"/>
                <w:color w:val="1F1B17"/>
                <w:sz w:val="20"/>
                <w:szCs w:val="20"/>
                <w:rFonts w:ascii="Arial" w:cs="Arial" w:eastAsia="Arial" w:hAnsi="Arial"/>
              </w:rPr>
              <w:t xml:space="preserve">HSE workspace data model aligned</w:t>
            </w:r>
          </w:p>
        </w:tc>
      </w:tr>
      <w:tr>
        <w:tc>
          <w:tcPr>
            <w:tcW w:type="dxa" w:w="4500"/>
            <w:shd w:color="FAF8F2" w:val="solid"/>
            <w:tcMar>
              <w:top w:type="dxa" w:w="80"/>
              <w:left w:type="dxa" w:w="120"/>
              <w:bottom w:type="dxa" w:w="80"/>
              <w:right w:type="dxa" w:w="120"/>
            </w:tcMar>
          </w:tcPr>
          <w:p>
            <w:r>
              <w:rPr>
                <w:b/>
                <w:bCs/>
                <w:color w:val="1F1B17"/>
                <w:sz w:val="20"/>
                <w:szCs w:val="20"/>
                <w:rFonts w:ascii="Arial" w:cs="Arial" w:eastAsia="Arial" w:hAnsi="Arial"/>
              </w:rPr>
              <w:t xml:space="preserve">ISO 14001:2015 (Environmental)</w:t>
            </w:r>
          </w:p>
        </w:tc>
        <w:tc>
          <w:tcPr>
            <w:tcW w:type="dxa" w:w="45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EIA module aligned</w:t>
            </w:r>
          </w:p>
        </w:tc>
      </w:tr>
      <w:tr>
        <w:tc>
          <w:tcPr>
            <w:tcW w:type="dxa" w:w="4500"/>
            <w:tcMar>
              <w:top w:type="dxa" w:w="80"/>
              <w:left w:type="dxa" w:w="120"/>
              <w:bottom w:type="dxa" w:w="80"/>
              <w:right w:type="dxa" w:w="120"/>
            </w:tcMar>
          </w:tcPr>
          <w:p>
            <w:r>
              <w:rPr>
                <w:b/>
                <w:bCs/>
                <w:color w:val="1F1B17"/>
                <w:sz w:val="20"/>
                <w:szCs w:val="20"/>
                <w:rFonts w:ascii="Arial" w:cs="Arial" w:eastAsia="Arial" w:hAnsi="Arial"/>
              </w:rPr>
              <w:t xml:space="preserve">ISO 27001 (Information Security)</w:t>
            </w:r>
          </w:p>
        </w:tc>
        <w:tc>
          <w:tcPr>
            <w:tcW w:type="dxa" w:w="4500"/>
            <w:tcMar>
              <w:top w:type="dxa" w:w="80"/>
              <w:left w:type="dxa" w:w="120"/>
              <w:bottom w:type="dxa" w:w="80"/>
              <w:right w:type="dxa" w:w="120"/>
            </w:tcMar>
          </w:tcPr>
          <w:p>
            <w:r>
              <w:rPr>
                <w:b w:val="false"/>
                <w:bCs w:val="false"/>
                <w:color w:val="1F1B17"/>
                <w:sz w:val="20"/>
                <w:szCs w:val="20"/>
                <w:rFonts w:ascii="Arial" w:cs="Arial" w:eastAsia="Arial" w:hAnsi="Arial"/>
              </w:rPr>
              <w:t xml:space="preserve">Certification planned Q4 2026</w:t>
            </w:r>
          </w:p>
        </w:tc>
      </w:tr>
      <w:tr>
        <w:tc>
          <w:tcPr>
            <w:tcW w:type="dxa" w:w="4500"/>
            <w:shd w:color="FAF8F2" w:val="solid"/>
            <w:tcMar>
              <w:top w:type="dxa" w:w="80"/>
              <w:left w:type="dxa" w:w="120"/>
              <w:bottom w:type="dxa" w:w="80"/>
              <w:right w:type="dxa" w:w="120"/>
            </w:tcMar>
          </w:tcPr>
          <w:p>
            <w:r>
              <w:rPr>
                <w:b/>
                <w:bCs/>
                <w:color w:val="1F1B17"/>
                <w:sz w:val="20"/>
                <w:szCs w:val="20"/>
                <w:rFonts w:ascii="Arial" w:cs="Arial" w:eastAsia="Arial" w:hAnsi="Arial"/>
              </w:rPr>
              <w:t xml:space="preserve">SOC 2 Type II</w:t>
            </w:r>
          </w:p>
        </w:tc>
        <w:tc>
          <w:tcPr>
            <w:tcW w:type="dxa" w:w="45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Audit planned Q1 2027</w:t>
            </w:r>
          </w:p>
        </w:tc>
      </w:tr>
    </w:tbl>
    <w:p>
      <w:pPr>
        <w:spacing w:after="80"/>
      </w:pPr>
      <w:r>
        <w:t xml:space="preserve"> </w:t>
      </w:r>
    </w:p>
    <w:p>
      <w:pPr>
        <w:spacing w:before="360" w:after="120"/>
      </w:pPr>
      <w:r>
        <w:rPr>
          <w:b/>
          <w:bCs/>
          <w:color w:val="1F1B17"/>
          <w:sz w:val="28"/>
          <w:szCs w:val="28"/>
          <w:rFonts w:ascii="Georgia" w:cs="Georgia" w:eastAsia="Georgia" w:hAnsi="Georgia"/>
        </w:rPr>
        <w:t xml:space="preserve">11.3 Data Retention Policy</w:t>
      </w:r>
    </w:p>
    <w:tbl>
      <w:tblPr>
        <w:tblW w:type="pct" w:w="100%"/>
        <w:tblBorders>
          <w:top w:val="single" w:color="1F1B17" w:sz="4"/>
          <w:left w:val="none"/>
          <w:bottom w:val="single" w:color="1F1B17" w:sz="4"/>
          <w:right w:val="none"/>
          <w:insideH w:val="single" w:color="D5D0C8" w:sz="2"/>
          <w:insideV w:val="none"/>
        </w:tblBorders>
      </w:tblPr>
      <w:tblGrid>
        <w:gridCol w:w="100"/>
        <w:gridCol w:w="100"/>
        <w:gridCol w:w="100"/>
      </w:tblGrid>
      <w:tr>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Data Type</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Retention</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Justification</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Audit logs</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7 years</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Regulatory (DPDP, ISO)</w:t>
            </w:r>
          </w:p>
        </w:tc>
      </w:tr>
      <w:tr>
        <w:tc>
          <w:tcPr>
            <w:tcW w:type="dxa" w:w="3000"/>
            <w:shd w:color="FAF8F2" w:val="solid"/>
            <w:tcMar>
              <w:top w:type="dxa" w:w="80"/>
              <w:left w:type="dxa" w:w="120"/>
              <w:bottom w:type="dxa" w:w="80"/>
              <w:right w:type="dxa" w:w="120"/>
            </w:tcMar>
          </w:tcPr>
          <w:p>
            <w:r>
              <w:rPr>
                <w:b/>
                <w:bCs/>
                <w:color w:val="1F1B17"/>
                <w:sz w:val="20"/>
                <w:szCs w:val="20"/>
                <w:rFonts w:ascii="Arial" w:cs="Arial" w:eastAsia="Arial" w:hAnsi="Arial"/>
              </w:rPr>
              <w:t xml:space="preserve">Incident records</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5 years post-closure</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HSE compliance</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User accounts (active)</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Until deletion request</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Active service</w:t>
            </w:r>
          </w:p>
        </w:tc>
      </w:tr>
      <w:tr>
        <w:tc>
          <w:tcPr>
            <w:tcW w:type="dxa" w:w="3000"/>
            <w:shd w:color="FAF8F2" w:val="solid"/>
            <w:tcMar>
              <w:top w:type="dxa" w:w="80"/>
              <w:left w:type="dxa" w:w="120"/>
              <w:bottom w:type="dxa" w:w="80"/>
              <w:right w:type="dxa" w:w="120"/>
            </w:tcMar>
          </w:tcPr>
          <w:p>
            <w:r>
              <w:rPr>
                <w:b/>
                <w:bCs/>
                <w:color w:val="1F1B17"/>
                <w:sz w:val="20"/>
                <w:szCs w:val="20"/>
                <w:rFonts w:ascii="Arial" w:cs="Arial" w:eastAsia="Arial" w:hAnsi="Arial"/>
              </w:rPr>
              <w:t xml:space="preserve">Backups</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90 days rolling + monthly snapshots for 1 year</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DR + compliance</w:t>
            </w:r>
          </w:p>
        </w:tc>
      </w:tr>
    </w:tbl>
    <w:p>
      <w:pPr>
        <w:spacing w:before="480" w:after="80"/>
      </w:pPr>
      <w:r>
        <w:rPr>
          <w:b/>
          <w:bCs/>
          <w:color w:val="C6583E"/>
          <w:sz w:val="20"/>
          <w:szCs w:val="20"/>
          <w:rFonts w:ascii="Arial" w:cs="Arial" w:eastAsia="Arial" w:hAnsi="Arial"/>
        </w:rPr>
        <w:t xml:space="preserve">SECTION 12</w:t>
      </w:r>
    </w:p>
    <w:p>
      <w:pPr>
        <w:spacing w:after="240"/>
      </w:pPr>
      <w:r>
        <w:rPr>
          <w:b/>
          <w:bCs/>
          <w:color w:val="1F1B17"/>
          <w:sz w:val="44"/>
          <w:szCs w:val="44"/>
          <w:rFonts w:ascii="Georgia" w:cs="Georgia" w:eastAsia="Georgia" w:hAnsi="Georgia"/>
        </w:rPr>
        <w:t xml:space="preserve">Scalability &amp; Performance</w:t>
      </w:r>
    </w:p>
    <w:p>
      <w:pPr>
        <w:spacing w:before="360" w:after="120"/>
      </w:pPr>
      <w:r>
        <w:rPr>
          <w:b/>
          <w:bCs/>
          <w:color w:val="1F1B17"/>
          <w:sz w:val="28"/>
          <w:szCs w:val="28"/>
          <w:rFonts w:ascii="Georgia" w:cs="Georgia" w:eastAsia="Georgia" w:hAnsi="Georgia"/>
        </w:rPr>
        <w:t xml:space="preserve">12.1 Current Capacity vs Targets</w:t>
      </w:r>
    </w:p>
    <w:tbl>
      <w:tblPr>
        <w:tblW w:type="pct" w:w="100%"/>
        <w:tblBorders>
          <w:top w:val="single" w:color="1F1B17" w:sz="4"/>
          <w:left w:val="none"/>
          <w:bottom w:val="single" w:color="1F1B17" w:sz="4"/>
          <w:right w:val="none"/>
          <w:insideH w:val="single" w:color="D5D0C8" w:sz="2"/>
          <w:insideV w:val="none"/>
        </w:tblBorders>
      </w:tblPr>
      <w:tblGrid>
        <w:gridCol w:w="100"/>
        <w:gridCol w:w="100"/>
        <w:gridCol w:w="100"/>
      </w:tblGrid>
      <w:tr>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Metric</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Current</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Target (Multi-Tenant)</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Concurrent users</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~50</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5,000+</w:t>
            </w:r>
          </w:p>
        </w:tc>
      </w:tr>
      <w:tr>
        <w:tc>
          <w:tcPr>
            <w:tcW w:type="dxa" w:w="3000"/>
            <w:shd w:color="FAF8F2" w:val="solid"/>
            <w:tcMar>
              <w:top w:type="dxa" w:w="80"/>
              <w:left w:type="dxa" w:w="120"/>
              <w:bottom w:type="dxa" w:w="80"/>
              <w:right w:type="dxa" w:w="120"/>
            </w:tcMar>
          </w:tcPr>
          <w:p>
            <w:r>
              <w:rPr>
                <w:b/>
                <w:bCs/>
                <w:color w:val="1F1B17"/>
                <w:sz w:val="20"/>
                <w:szCs w:val="20"/>
                <w:rFonts w:ascii="Arial" w:cs="Arial" w:eastAsia="Arial" w:hAnsi="Arial"/>
              </w:rPr>
              <w:t xml:space="preserve">API requests/sec</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~10</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1,000+</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Database size</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&lt; 1 GB</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100+ GB</w:t>
            </w:r>
          </w:p>
        </w:tc>
      </w:tr>
      <w:tr>
        <w:tc>
          <w:tcPr>
            <w:tcW w:type="dxa" w:w="3000"/>
            <w:shd w:color="FAF8F2" w:val="solid"/>
            <w:tcMar>
              <w:top w:type="dxa" w:w="80"/>
              <w:left w:type="dxa" w:w="120"/>
              <w:bottom w:type="dxa" w:w="80"/>
              <w:right w:type="dxa" w:w="120"/>
            </w:tcMar>
          </w:tcPr>
          <w:p>
            <w:r>
              <w:rPr>
                <w:b/>
                <w:bCs/>
                <w:color w:val="1F1B17"/>
                <w:sz w:val="20"/>
                <w:szCs w:val="20"/>
                <w:rFonts w:ascii="Arial" w:cs="Arial" w:eastAsia="Arial" w:hAnsi="Arial"/>
              </w:rPr>
              <w:t xml:space="preserve">Average API latency (p95)</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~250 ms</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&lt; 200 ms</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Page load time (p95)</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~1.2 s</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&lt; 1.5 s globally</w:t>
            </w:r>
          </w:p>
        </w:tc>
      </w:tr>
    </w:tbl>
    <w:p>
      <w:pPr>
        <w:spacing w:after="80"/>
      </w:pPr>
      <w:r>
        <w:t xml:space="preserve"> </w:t>
      </w:r>
    </w:p>
    <w:p>
      <w:pPr>
        <w:spacing w:before="360" w:after="120"/>
      </w:pPr>
      <w:r>
        <w:rPr>
          <w:b/>
          <w:bCs/>
          <w:color w:val="1F1B17"/>
          <w:sz w:val="28"/>
          <w:szCs w:val="28"/>
          <w:rFonts w:ascii="Georgia" w:cs="Georgia" w:eastAsia="Georgia" w:hAnsi="Georgia"/>
        </w:rPr>
        <w:t xml:space="preserve">12.2 Performance Budget</w:t>
      </w:r>
    </w:p>
    <w:tbl>
      <w:tblPr>
        <w:tblW w:type="pct" w:w="100%"/>
        <w:tblBorders>
          <w:top w:val="single" w:color="1F1B17" w:sz="4"/>
          <w:left w:val="none"/>
          <w:bottom w:val="single" w:color="1F1B17" w:sz="4"/>
          <w:right w:val="none"/>
          <w:insideH w:val="single" w:color="D5D0C8" w:sz="2"/>
          <w:insideV w:val="none"/>
        </w:tblBorders>
      </w:tblPr>
      <w:tblGrid>
        <w:gridCol w:w="100"/>
        <w:gridCol w:w="100"/>
        <w:gridCol w:w="100"/>
      </w:tblGrid>
      <w:tr>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Resource</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Budget</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Current</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First Contentful Paint</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&lt; 1.5 s</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~0.9 s</w:t>
            </w:r>
          </w:p>
        </w:tc>
      </w:tr>
      <w:tr>
        <w:tc>
          <w:tcPr>
            <w:tcW w:type="dxa" w:w="3000"/>
            <w:shd w:color="FAF8F2" w:val="solid"/>
            <w:tcMar>
              <w:top w:type="dxa" w:w="80"/>
              <w:left w:type="dxa" w:w="120"/>
              <w:bottom w:type="dxa" w:w="80"/>
              <w:right w:type="dxa" w:w="120"/>
            </w:tcMar>
          </w:tcPr>
          <w:p>
            <w:r>
              <w:rPr>
                <w:b/>
                <w:bCs/>
                <w:color w:val="1F1B17"/>
                <w:sz w:val="20"/>
                <w:szCs w:val="20"/>
                <w:rFonts w:ascii="Arial" w:cs="Arial" w:eastAsia="Arial" w:hAnsi="Arial"/>
              </w:rPr>
              <w:t xml:space="preserve">Time to Interactive</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&lt; 2.5 s</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~1.4 s</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Backend p95 latency</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&lt; 200 ms</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~250 ms</w:t>
            </w:r>
          </w:p>
        </w:tc>
      </w:tr>
      <w:tr>
        <w:tc>
          <w:tcPr>
            <w:tcW w:type="dxa" w:w="3000"/>
            <w:shd w:color="FAF8F2" w:val="solid"/>
            <w:tcMar>
              <w:top w:type="dxa" w:w="80"/>
              <w:left w:type="dxa" w:w="120"/>
              <w:bottom w:type="dxa" w:w="80"/>
              <w:right w:type="dxa" w:w="120"/>
            </w:tcMar>
          </w:tcPr>
          <w:p>
            <w:r>
              <w:rPr>
                <w:b/>
                <w:bCs/>
                <w:color w:val="1F1B17"/>
                <w:sz w:val="20"/>
                <w:szCs w:val="20"/>
                <w:rFonts w:ascii="Arial" w:cs="Arial" w:eastAsia="Arial" w:hAnsi="Arial"/>
              </w:rPr>
              <w:t xml:space="preserve">API error rate</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&lt; 0.1%</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&lt; 0.05%</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Uptime SLA</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99.9%</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99.95%</w:t>
            </w:r>
          </w:p>
        </w:tc>
      </w:tr>
    </w:tbl>
    <w:p>
      <w:pPr>
        <w:spacing w:before="480" w:after="80"/>
      </w:pPr>
      <w:r>
        <w:rPr>
          <w:b/>
          <w:bCs/>
          <w:color w:val="C6583E"/>
          <w:sz w:val="20"/>
          <w:szCs w:val="20"/>
          <w:rFonts w:ascii="Arial" w:cs="Arial" w:eastAsia="Arial" w:hAnsi="Arial"/>
        </w:rPr>
        <w:t xml:space="preserve">SECTION 13</w:t>
      </w:r>
    </w:p>
    <w:p>
      <w:pPr>
        <w:spacing w:after="240"/>
      </w:pPr>
      <w:r>
        <w:rPr>
          <w:b/>
          <w:bCs/>
          <w:color w:val="1F1B17"/>
          <w:sz w:val="44"/>
          <w:szCs w:val="44"/>
          <w:rFonts w:ascii="Georgia" w:cs="Georgia" w:eastAsia="Georgia" w:hAnsi="Georgia"/>
        </w:rPr>
        <w:t xml:space="preserve">Backup &amp; Disaster Recovery</w:t>
      </w:r>
    </w:p>
    <w:p>
      <w:pPr>
        <w:spacing w:before="360" w:after="120"/>
      </w:pPr>
      <w:r>
        <w:rPr>
          <w:b/>
          <w:bCs/>
          <w:color w:val="1F1B17"/>
          <w:sz w:val="28"/>
          <w:szCs w:val="28"/>
          <w:rFonts w:ascii="Georgia" w:cs="Georgia" w:eastAsia="Georgia" w:hAnsi="Georgia"/>
        </w:rPr>
        <w:t xml:space="preserve">13.1 Backup Strategy</w:t>
      </w:r>
    </w:p>
    <w:tbl>
      <w:tblPr>
        <w:tblW w:type="pct" w:w="100%"/>
        <w:tblBorders>
          <w:top w:val="single" w:color="1F1B17" w:sz="4"/>
          <w:left w:val="none"/>
          <w:bottom w:val="single" w:color="1F1B17" w:sz="4"/>
          <w:right w:val="none"/>
          <w:insideH w:val="single" w:color="D5D0C8" w:sz="2"/>
          <w:insideV w:val="none"/>
        </w:tblBorders>
      </w:tblPr>
      <w:tblGrid>
        <w:gridCol w:w="100"/>
        <w:gridCol w:w="100"/>
        <w:gridCol w:w="100"/>
        <w:gridCol w:w="100"/>
      </w:tblGrid>
      <w:tr>
        <w:tc>
          <w:tcPr>
            <w:tcW w:type="dxa" w:w="225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Layer</w:t>
            </w:r>
          </w:p>
        </w:tc>
        <w:tc>
          <w:tcPr>
            <w:tcW w:type="dxa" w:w="225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Mechanism</w:t>
            </w:r>
          </w:p>
        </w:tc>
        <w:tc>
          <w:tcPr>
            <w:tcW w:type="dxa" w:w="225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RPO</w:t>
            </w:r>
          </w:p>
        </w:tc>
        <w:tc>
          <w:tcPr>
            <w:tcW w:type="dxa" w:w="225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RTO</w:t>
            </w:r>
          </w:p>
        </w:tc>
      </w:tr>
      <w:tr>
        <w:tc>
          <w:tcPr>
            <w:tcW w:type="dxa" w:w="2250"/>
            <w:tcMar>
              <w:top w:type="dxa" w:w="80"/>
              <w:left w:type="dxa" w:w="120"/>
              <w:bottom w:type="dxa" w:w="80"/>
              <w:right w:type="dxa" w:w="120"/>
            </w:tcMar>
          </w:tcPr>
          <w:p>
            <w:r>
              <w:rPr>
                <w:b/>
                <w:bCs/>
                <w:color w:val="1F1B17"/>
                <w:sz w:val="20"/>
                <w:szCs w:val="20"/>
                <w:rFonts w:ascii="Arial" w:cs="Arial" w:eastAsia="Arial" w:hAnsi="Arial"/>
              </w:rPr>
              <w:t xml:space="preserve">Database (Neon)</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PITR, daily snapshots</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1 minute</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15 minutes</w:t>
            </w:r>
          </w:p>
        </w:tc>
      </w:tr>
      <w:tr>
        <w:tc>
          <w:tcPr>
            <w:tcW w:type="dxa" w:w="2250"/>
            <w:shd w:color="FAF8F2" w:val="solid"/>
            <w:tcMar>
              <w:top w:type="dxa" w:w="80"/>
              <w:left w:type="dxa" w:w="120"/>
              <w:bottom w:type="dxa" w:w="80"/>
              <w:right w:type="dxa" w:w="120"/>
            </w:tcMar>
          </w:tcPr>
          <w:p>
            <w:r>
              <w:rPr>
                <w:b/>
                <w:bCs/>
                <w:color w:val="1F1B17"/>
                <w:sz w:val="20"/>
                <w:szCs w:val="20"/>
                <w:rFonts w:ascii="Arial" w:cs="Arial" w:eastAsia="Arial" w:hAnsi="Arial"/>
              </w:rPr>
              <w:t xml:space="preserve">Frontend (Cloudflare Pages)</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Git-based, all deploys retained</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0 (Git)</w:t>
            </w:r>
          </w:p>
        </w:tc>
        <w:tc>
          <w:tcPr>
            <w:tcW w:type="dxa" w:w="225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&lt; 5 minutes</w:t>
            </w:r>
          </w:p>
        </w:tc>
      </w:tr>
      <w:tr>
        <w:tc>
          <w:tcPr>
            <w:tcW w:type="dxa" w:w="2250"/>
            <w:tcMar>
              <w:top w:type="dxa" w:w="80"/>
              <w:left w:type="dxa" w:w="120"/>
              <w:bottom w:type="dxa" w:w="80"/>
              <w:right w:type="dxa" w:w="120"/>
            </w:tcMar>
          </w:tcPr>
          <w:p>
            <w:r>
              <w:rPr>
                <w:b/>
                <w:bCs/>
                <w:color w:val="1F1B17"/>
                <w:sz w:val="20"/>
                <w:szCs w:val="20"/>
                <w:rFonts w:ascii="Arial" w:cs="Arial" w:eastAsia="Arial" w:hAnsi="Arial"/>
              </w:rPr>
              <w:t xml:space="preserve">Backend (Render)</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Git-based, last 10 deploys retained</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0 (Git)</w:t>
            </w:r>
          </w:p>
        </w:tc>
        <w:tc>
          <w:tcPr>
            <w:tcW w:type="dxa" w:w="2250"/>
            <w:tcMar>
              <w:top w:type="dxa" w:w="80"/>
              <w:left w:type="dxa" w:w="120"/>
              <w:bottom w:type="dxa" w:w="80"/>
              <w:right w:type="dxa" w:w="120"/>
            </w:tcMar>
          </w:tcPr>
          <w:p>
            <w:r>
              <w:rPr>
                <w:b w:val="false"/>
                <w:bCs w:val="false"/>
                <w:color w:val="1F1B17"/>
                <w:sz w:val="20"/>
                <w:szCs w:val="20"/>
                <w:rFonts w:ascii="Arial" w:cs="Arial" w:eastAsia="Arial" w:hAnsi="Arial"/>
              </w:rPr>
              <w:t xml:space="preserve">&lt; 5 minutes</w:t>
            </w:r>
          </w:p>
        </w:tc>
      </w:tr>
    </w:tbl>
    <w:p>
      <w:pPr>
        <w:spacing w:after="80"/>
      </w:pPr>
      <w:r>
        <w:t xml:space="preserve"> </w:t>
      </w:r>
    </w:p>
    <w:p>
      <w:pPr>
        <w:spacing w:after="120"/>
        <w:jc w:val="both"/>
      </w:pPr>
      <w:r>
        <w:rPr>
          <w:color w:val="1F1B17"/>
          <w:sz w:val="22"/>
          <w:szCs w:val="22"/>
          <w:rFonts w:ascii="Arial" w:cs="Arial" w:eastAsia="Arial" w:hAnsi="Arial"/>
        </w:rPr>
        <w:t xml:space="preserve">RPO = Recovery Point Objective (max data loss tolerated). RTO = Recovery Time Objective (max downtime tolerated).</w:t>
      </w:r>
    </w:p>
    <w:p>
      <w:pPr>
        <w:spacing w:before="360" w:after="120"/>
      </w:pPr>
      <w:r>
        <w:rPr>
          <w:b/>
          <w:bCs/>
          <w:color w:val="1F1B17"/>
          <w:sz w:val="28"/>
          <w:szCs w:val="28"/>
          <w:rFonts w:ascii="Georgia" w:cs="Georgia" w:eastAsia="Georgia" w:hAnsi="Georgia"/>
        </w:rPr>
        <w:t xml:space="preserve">13.2 Disaster Recovery Procedures</w:t>
      </w:r>
    </w:p>
    <w:tbl>
      <w:tblPr>
        <w:tblW w:type="pct" w:w="100%"/>
        <w:tblBorders>
          <w:top w:val="single" w:color="1F1B17" w:sz="4"/>
          <w:left w:val="none"/>
          <w:bottom w:val="single" w:color="1F1B17" w:sz="4"/>
          <w:right w:val="none"/>
          <w:insideH w:val="single" w:color="D5D0C8" w:sz="2"/>
          <w:insideV w:val="none"/>
        </w:tblBorders>
      </w:tblPr>
      <w:tblGrid>
        <w:gridCol w:w="100"/>
        <w:gridCol w:w="100"/>
        <w:gridCol w:w="100"/>
      </w:tblGrid>
      <w:tr>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Scenario</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Response Plan</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Recovery</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Frontend deploy bug</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Cloudflare Pages instant rollback</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&lt; 2 minutes</w:t>
            </w:r>
          </w:p>
        </w:tc>
      </w:tr>
      <w:tr>
        <w:tc>
          <w:tcPr>
            <w:tcW w:type="dxa" w:w="3000"/>
            <w:shd w:color="FAF8F2" w:val="solid"/>
            <w:tcMar>
              <w:top w:type="dxa" w:w="80"/>
              <w:left w:type="dxa" w:w="120"/>
              <w:bottom w:type="dxa" w:w="80"/>
              <w:right w:type="dxa" w:w="120"/>
            </w:tcMar>
          </w:tcPr>
          <w:p>
            <w:r>
              <w:rPr>
                <w:b/>
                <w:bCs/>
                <w:color w:val="1F1B17"/>
                <w:sz w:val="20"/>
                <w:szCs w:val="20"/>
                <w:rFonts w:ascii="Arial" w:cs="Arial" w:eastAsia="Arial" w:hAnsi="Arial"/>
              </w:rPr>
              <w:t xml:space="preserve">Backend deploy bug</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Render rollback to previous release</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&lt; 5 minutes</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Database corruption</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Neon PITR to last known good state</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15-30 minutes</w:t>
            </w:r>
          </w:p>
        </w:tc>
      </w:tr>
      <w:tr>
        <w:tc>
          <w:tcPr>
            <w:tcW w:type="dxa" w:w="3000"/>
            <w:shd w:color="FAF8F2" w:val="solid"/>
            <w:tcMar>
              <w:top w:type="dxa" w:w="80"/>
              <w:left w:type="dxa" w:w="120"/>
              <w:bottom w:type="dxa" w:w="80"/>
              <w:right w:type="dxa" w:w="120"/>
            </w:tcMar>
          </w:tcPr>
          <w:p>
            <w:r>
              <w:rPr>
                <w:b/>
                <w:bCs/>
                <w:color w:val="1F1B17"/>
                <w:sz w:val="20"/>
                <w:szCs w:val="20"/>
                <w:rFonts w:ascii="Arial" w:cs="Arial" w:eastAsia="Arial" w:hAnsi="Arial"/>
              </w:rPr>
              <w:t xml:space="preserve">Region outage</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Failover to secondary region (planned)</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&lt; 1 hour</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Total platform compromise</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Restore from off-region backup</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2-4 hours</w:t>
            </w:r>
          </w:p>
        </w:tc>
      </w:tr>
    </w:tbl>
    <w:p>
      <w:pPr>
        <w:spacing w:before="480" w:after="80"/>
      </w:pPr>
      <w:r>
        <w:rPr>
          <w:b/>
          <w:bCs/>
          <w:color w:val="C6583E"/>
          <w:sz w:val="20"/>
          <w:szCs w:val="20"/>
          <w:rFonts w:ascii="Arial" w:cs="Arial" w:eastAsia="Arial" w:hAnsi="Arial"/>
        </w:rPr>
        <w:t xml:space="preserve">SECTION 14</w:t>
      </w:r>
    </w:p>
    <w:p>
      <w:pPr>
        <w:spacing w:after="240"/>
      </w:pPr>
      <w:r>
        <w:rPr>
          <w:b/>
          <w:bCs/>
          <w:color w:val="1F1B17"/>
          <w:sz w:val="44"/>
          <w:szCs w:val="44"/>
          <w:rFonts w:ascii="Georgia" w:cs="Georgia" w:eastAsia="Georgia" w:hAnsi="Georgia"/>
        </w:rPr>
        <w:t xml:space="preserve">Monitoring &amp; Observability</w:t>
      </w:r>
    </w:p>
    <w:p>
      <w:pPr>
        <w:spacing w:before="360" w:after="120"/>
      </w:pPr>
      <w:r>
        <w:rPr>
          <w:b/>
          <w:bCs/>
          <w:color w:val="1F1B17"/>
          <w:sz w:val="28"/>
          <w:szCs w:val="28"/>
          <w:rFonts w:ascii="Georgia" w:cs="Georgia" w:eastAsia="Georgia" w:hAnsi="Georgia"/>
        </w:rPr>
        <w:t xml:space="preserve">14.1 Current Monitoring (Phase 1)</w:t>
      </w:r>
    </w:p>
    <w:tbl>
      <w:tblPr>
        <w:tblW w:type="pct" w:w="100%"/>
        <w:tblBorders>
          <w:top w:val="single" w:color="1F1B17" w:sz="4"/>
          <w:left w:val="none"/>
          <w:bottom w:val="single" w:color="1F1B17" w:sz="4"/>
          <w:right w:val="none"/>
          <w:insideH w:val="single" w:color="D5D0C8" w:sz="2"/>
          <w:insideV w:val="none"/>
        </w:tblBorders>
      </w:tblPr>
      <w:tblGrid>
        <w:gridCol w:w="100"/>
        <w:gridCol w:w="100"/>
        <w:gridCol w:w="100"/>
      </w:tblGrid>
      <w:tr>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Layer</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Tool</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Coverage</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Infrastructure</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Render built-in metrics</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CPU, memory, request rate, latency</w:t>
            </w:r>
          </w:p>
        </w:tc>
      </w:tr>
      <w:tr>
        <w:tc>
          <w:tcPr>
            <w:tcW w:type="dxa" w:w="3000"/>
            <w:shd w:color="FAF8F2" w:val="solid"/>
            <w:tcMar>
              <w:top w:type="dxa" w:w="80"/>
              <w:left w:type="dxa" w:w="120"/>
              <w:bottom w:type="dxa" w:w="80"/>
              <w:right w:type="dxa" w:w="120"/>
            </w:tcMar>
          </w:tcPr>
          <w:p>
            <w:r>
              <w:rPr>
                <w:b/>
                <w:bCs/>
                <w:color w:val="1F1B17"/>
                <w:sz w:val="20"/>
                <w:szCs w:val="20"/>
                <w:rFonts w:ascii="Arial" w:cs="Arial" w:eastAsia="Arial" w:hAnsi="Arial"/>
              </w:rPr>
              <w:t xml:space="preserve">Frontend</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Cloudflare Analytics</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Page views, geographic distribution, performance</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Database</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Neon Console</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Connection count, query performance, storage</w:t>
            </w:r>
          </w:p>
        </w:tc>
      </w:tr>
      <w:tr>
        <w:tc>
          <w:tcPr>
            <w:tcW w:type="dxa" w:w="3000"/>
            <w:shd w:color="FAF8F2" w:val="solid"/>
            <w:tcMar>
              <w:top w:type="dxa" w:w="80"/>
              <w:left w:type="dxa" w:w="120"/>
              <w:bottom w:type="dxa" w:w="80"/>
              <w:right w:type="dxa" w:w="120"/>
            </w:tcMar>
          </w:tcPr>
          <w:p>
            <w:r>
              <w:rPr>
                <w:b/>
                <w:bCs/>
                <w:color w:val="1F1B17"/>
                <w:sz w:val="20"/>
                <w:szCs w:val="20"/>
                <w:rFonts w:ascii="Arial" w:cs="Arial" w:eastAsia="Arial" w:hAnsi="Arial"/>
              </w:rPr>
              <w:t xml:space="preserve">Uptime</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Render auto-restart</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Backend health checks every 30s</w:t>
            </w:r>
          </w:p>
        </w:tc>
      </w:tr>
    </w:tbl>
    <w:p>
      <w:pPr>
        <w:spacing w:after="80"/>
      </w:pPr>
      <w:r>
        <w:t xml:space="preserve"> </w:t>
      </w:r>
    </w:p>
    <w:p>
      <w:pPr>
        <w:spacing w:before="360" w:after="120"/>
      </w:pPr>
      <w:r>
        <w:rPr>
          <w:b/>
          <w:bCs/>
          <w:color w:val="1F1B17"/>
          <w:sz w:val="28"/>
          <w:szCs w:val="28"/>
          <w:rFonts w:ascii="Georgia" w:cs="Georgia" w:eastAsia="Georgia" w:hAnsi="Georgia"/>
        </w:rPr>
        <w:t xml:space="preserve">14.2 Planned Monitoring (Phase 2 — Q3 2026)</w:t>
      </w:r>
    </w:p>
    <w:tbl>
      <w:tblPr>
        <w:tblW w:type="pct" w:w="100%"/>
        <w:tblBorders>
          <w:top w:val="single" w:color="1F1B17" w:sz="4"/>
          <w:left w:val="none"/>
          <w:bottom w:val="single" w:color="1F1B17" w:sz="4"/>
          <w:right w:val="none"/>
          <w:insideH w:val="single" w:color="D5D0C8" w:sz="2"/>
          <w:insideV w:val="none"/>
        </w:tblBorders>
      </w:tblPr>
      <w:tblGrid>
        <w:gridCol w:w="100"/>
        <w:gridCol w:w="100"/>
        <w:gridCol w:w="100"/>
      </w:tblGrid>
      <w:tr>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Layer</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Tool</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Coverage</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Application errors</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Sentry</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Exceptions, source maps, breadcrumbs</w:t>
            </w:r>
          </w:p>
        </w:tc>
      </w:tr>
      <w:tr>
        <w:tc>
          <w:tcPr>
            <w:tcW w:type="dxa" w:w="3000"/>
            <w:shd w:color="FAF8F2" w:val="solid"/>
            <w:tcMar>
              <w:top w:type="dxa" w:w="80"/>
              <w:left w:type="dxa" w:w="120"/>
              <w:bottom w:type="dxa" w:w="80"/>
              <w:right w:type="dxa" w:w="120"/>
            </w:tcMar>
          </w:tcPr>
          <w:p>
            <w:r>
              <w:rPr>
                <w:b/>
                <w:bCs/>
                <w:color w:val="1F1B17"/>
                <w:sz w:val="20"/>
                <w:szCs w:val="20"/>
                <w:rFonts w:ascii="Arial" w:cs="Arial" w:eastAsia="Arial" w:hAnsi="Arial"/>
              </w:rPr>
              <w:t xml:space="preserve">Distributed tracing</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OpenTelemetry → Honeycomb</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End-to-end request tracing</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Custom metrics</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Prometheus + Grafana</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Business KPIs, tenant-level usage</w:t>
            </w:r>
          </w:p>
        </w:tc>
      </w:tr>
      <w:tr>
        <w:tc>
          <w:tcPr>
            <w:tcW w:type="dxa" w:w="3000"/>
            <w:shd w:color="FAF8F2" w:val="solid"/>
            <w:tcMar>
              <w:top w:type="dxa" w:w="80"/>
              <w:left w:type="dxa" w:w="120"/>
              <w:bottom w:type="dxa" w:w="80"/>
              <w:right w:type="dxa" w:w="120"/>
            </w:tcMar>
          </w:tcPr>
          <w:p>
            <w:r>
              <w:rPr>
                <w:b/>
                <w:bCs/>
                <w:color w:val="1F1B17"/>
                <w:sz w:val="20"/>
                <w:szCs w:val="20"/>
                <w:rFonts w:ascii="Arial" w:cs="Arial" w:eastAsia="Arial" w:hAnsi="Arial"/>
              </w:rPr>
              <w:t xml:space="preserve">Uptime monitoring</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Better Uptime</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External monitoring + status page</w:t>
            </w:r>
          </w:p>
        </w:tc>
      </w:tr>
    </w:tbl>
    <w:p>
      <w:pPr>
        <w:spacing w:before="480" w:after="80"/>
      </w:pPr>
      <w:r>
        <w:rPr>
          <w:b/>
          <w:bCs/>
          <w:color w:val="C6583E"/>
          <w:sz w:val="20"/>
          <w:szCs w:val="20"/>
          <w:rFonts w:ascii="Arial" w:cs="Arial" w:eastAsia="Arial" w:hAnsi="Arial"/>
        </w:rPr>
        <w:t xml:space="preserve">SECTION 15</w:t>
      </w:r>
    </w:p>
    <w:p>
      <w:pPr>
        <w:spacing w:after="240"/>
      </w:pPr>
      <w:r>
        <w:rPr>
          <w:b/>
          <w:bCs/>
          <w:color w:val="1F1B17"/>
          <w:sz w:val="44"/>
          <w:szCs w:val="44"/>
          <w:rFonts w:ascii="Georgia" w:cs="Georgia" w:eastAsia="Georgia" w:hAnsi="Georgia"/>
        </w:rPr>
        <w:t xml:space="preserve">Development Lifecycle</w:t>
      </w:r>
    </w:p>
    <w:p>
      <w:pPr>
        <w:spacing w:before="360" w:after="120"/>
      </w:pPr>
      <w:r>
        <w:rPr>
          <w:b/>
          <w:bCs/>
          <w:color w:val="1F1B17"/>
          <w:sz w:val="28"/>
          <w:szCs w:val="28"/>
          <w:rFonts w:ascii="Georgia" w:cs="Georgia" w:eastAsia="Georgia" w:hAnsi="Georgia"/>
        </w:rPr>
        <w:t xml:space="preserve">15.1 Git Workflow</w:t>
      </w:r>
    </w:p>
    <w:p>
      <w:pPr>
        <w:pStyle w:val="ListParagraph"/>
        <w:numPr>
          <w:ilvl w:val="0"/>
          <w:numId w:val="1"/>
        </w:numPr>
        <w:spacing w:after="60"/>
      </w:pPr>
      <w:r>
        <w:rPr>
          <w:b/>
          <w:bCs/>
          <w:color w:val="1F1B17"/>
          <w:sz w:val="22"/>
          <w:szCs w:val="22"/>
          <w:rFonts w:ascii="Arial" w:cs="Arial" w:eastAsia="Arial" w:hAnsi="Arial"/>
        </w:rPr>
        <w:t xml:space="preserve">main:</w:t>
      </w:r>
      <w:r>
        <w:rPr>
          <w:color w:val="1F1B17"/>
          <w:sz w:val="22"/>
          <w:szCs w:val="22"/>
          <w:rFonts w:ascii="Arial" w:cs="Arial" w:eastAsia="Arial" w:hAnsi="Arial"/>
        </w:rPr>
        <w:t xml:space="preserve"> Auto-deploys to opslix.com (Cloudflare Pages) and production backend (Render)</w:t>
      </w:r>
    </w:p>
    <w:p>
      <w:pPr>
        <w:pStyle w:val="ListParagraph"/>
        <w:numPr>
          <w:ilvl w:val="0"/>
          <w:numId w:val="1"/>
        </w:numPr>
        <w:spacing w:after="60"/>
      </w:pPr>
      <w:r>
        <w:rPr>
          <w:b/>
          <w:bCs/>
          <w:color w:val="1F1B17"/>
          <w:sz w:val="22"/>
          <w:szCs w:val="22"/>
          <w:rFonts w:ascii="Arial" w:cs="Arial" w:eastAsia="Arial" w:hAnsi="Arial"/>
        </w:rPr>
        <w:t xml:space="preserve">feature branches:</w:t>
      </w:r>
      <w:r>
        <w:rPr>
          <w:color w:val="1F1B17"/>
          <w:sz w:val="22"/>
          <w:szCs w:val="22"/>
          <w:rFonts w:ascii="Arial" w:cs="Arial" w:eastAsia="Arial" w:hAnsi="Arial"/>
        </w:rPr>
        <w:t xml:space="preserve"> Auto-deploy to preview URLs</w:t>
      </w:r>
    </w:p>
    <w:p>
      <w:pPr>
        <w:pStyle w:val="ListParagraph"/>
        <w:numPr>
          <w:ilvl w:val="0"/>
          <w:numId w:val="1"/>
        </w:numPr>
        <w:spacing w:after="60"/>
      </w:pPr>
      <w:r>
        <w:rPr>
          <w:b/>
          <w:bCs/>
          <w:color w:val="1F1B17"/>
          <w:sz w:val="22"/>
          <w:szCs w:val="22"/>
          <w:rFonts w:ascii="Arial" w:cs="Arial" w:eastAsia="Arial" w:hAnsi="Arial"/>
        </w:rPr>
        <w:t xml:space="preserve">hotfix branches:</w:t>
      </w:r>
      <w:r>
        <w:rPr>
          <w:color w:val="1F1B17"/>
          <w:sz w:val="22"/>
          <w:szCs w:val="22"/>
          <w:rFonts w:ascii="Arial" w:cs="Arial" w:eastAsia="Arial" w:hAnsi="Arial"/>
        </w:rPr>
        <w:t xml:space="preserve"> Direct fix path for production incidents</w:t>
      </w:r>
    </w:p>
    <w:p>
      <w:pPr>
        <w:spacing w:before="360" w:after="120"/>
      </w:pPr>
      <w:r>
        <w:rPr>
          <w:b/>
          <w:bCs/>
          <w:color w:val="1F1B17"/>
          <w:sz w:val="28"/>
          <w:szCs w:val="28"/>
          <w:rFonts w:ascii="Georgia" w:cs="Georgia" w:eastAsia="Georgia" w:hAnsi="Georgia"/>
        </w:rPr>
        <w:t xml:space="preserve">15.2 Testing Strategy</w:t>
      </w:r>
    </w:p>
    <w:tbl>
      <w:tblPr>
        <w:tblW w:type="pct" w:w="100%"/>
        <w:tblBorders>
          <w:top w:val="single" w:color="1F1B17" w:sz="4"/>
          <w:left w:val="none"/>
          <w:bottom w:val="single" w:color="1F1B17" w:sz="4"/>
          <w:right w:val="none"/>
          <w:insideH w:val="single" w:color="D5D0C8" w:sz="2"/>
          <w:insideV w:val="none"/>
        </w:tblBorders>
      </w:tblPr>
      <w:tblGrid>
        <w:gridCol w:w="100"/>
        <w:gridCol w:w="100"/>
        <w:gridCol w:w="100"/>
      </w:tblGrid>
      <w:tr>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Layer</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Tool</w:t>
            </w:r>
          </w:p>
        </w:tc>
        <w:tc>
          <w:tcPr>
            <w:tcW w:type="dxa" w:w="3000"/>
            <w:shd w:color="1F1B17" w:val="solid"/>
            <w:tcMar>
              <w:top w:type="dxa" w:w="100"/>
              <w:left w:type="dxa" w:w="120"/>
              <w:bottom w:type="dxa" w:w="100"/>
              <w:right w:type="dxa" w:w="120"/>
            </w:tcMar>
          </w:tcPr>
          <w:p>
            <w:pPr>
              <w:jc w:val="left"/>
            </w:pPr>
            <w:r>
              <w:rPr>
                <w:b/>
                <w:bCs/>
                <w:color w:val="FFFFFF"/>
                <w:sz w:val="18"/>
                <w:szCs w:val="18"/>
                <w:rFonts w:ascii="Arial" w:cs="Arial" w:eastAsia="Arial" w:hAnsi="Arial"/>
              </w:rPr>
              <w:t xml:space="preserve">Coverage</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Unit tests</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Jest</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Backend services &amp; controllers</w:t>
            </w:r>
          </w:p>
        </w:tc>
      </w:tr>
      <w:tr>
        <w:tc>
          <w:tcPr>
            <w:tcW w:type="dxa" w:w="3000"/>
            <w:shd w:color="FAF8F2" w:val="solid"/>
            <w:tcMar>
              <w:top w:type="dxa" w:w="80"/>
              <w:left w:type="dxa" w:w="120"/>
              <w:bottom w:type="dxa" w:w="80"/>
              <w:right w:type="dxa" w:w="120"/>
            </w:tcMar>
          </w:tcPr>
          <w:p>
            <w:r>
              <w:rPr>
                <w:b/>
                <w:bCs/>
                <w:color w:val="1F1B17"/>
                <w:sz w:val="20"/>
                <w:szCs w:val="20"/>
                <w:rFonts w:ascii="Arial" w:cs="Arial" w:eastAsia="Arial" w:hAnsi="Arial"/>
              </w:rPr>
              <w:t xml:space="preserve">Integration tests</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Jest + Supertest</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API endpoints with test DB</w:t>
            </w:r>
          </w:p>
        </w:tc>
      </w:tr>
      <w:tr>
        <w:tc>
          <w:tcPr>
            <w:tcW w:type="dxa" w:w="3000"/>
            <w:tcMar>
              <w:top w:type="dxa" w:w="80"/>
              <w:left w:type="dxa" w:w="120"/>
              <w:bottom w:type="dxa" w:w="80"/>
              <w:right w:type="dxa" w:w="120"/>
            </w:tcMar>
          </w:tcPr>
          <w:p>
            <w:r>
              <w:rPr>
                <w:b/>
                <w:bCs/>
                <w:color w:val="1F1B17"/>
                <w:sz w:val="20"/>
                <w:szCs w:val="20"/>
                <w:rFonts w:ascii="Arial" w:cs="Arial" w:eastAsia="Arial" w:hAnsi="Arial"/>
              </w:rPr>
              <w:t xml:space="preserve">E2E tests</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Playwright (planned)</w:t>
            </w:r>
          </w:p>
        </w:tc>
        <w:tc>
          <w:tcPr>
            <w:tcW w:type="dxa" w:w="3000"/>
            <w:tcMar>
              <w:top w:type="dxa" w:w="80"/>
              <w:left w:type="dxa" w:w="120"/>
              <w:bottom w:type="dxa" w:w="80"/>
              <w:right w:type="dxa" w:w="120"/>
            </w:tcMar>
          </w:tcPr>
          <w:p>
            <w:r>
              <w:rPr>
                <w:b w:val="false"/>
                <w:bCs w:val="false"/>
                <w:color w:val="1F1B17"/>
                <w:sz w:val="20"/>
                <w:szCs w:val="20"/>
                <w:rFonts w:ascii="Arial" w:cs="Arial" w:eastAsia="Arial" w:hAnsi="Arial"/>
              </w:rPr>
              <w:t xml:space="preserve">Critical user flows</w:t>
            </w:r>
          </w:p>
        </w:tc>
      </w:tr>
      <w:tr>
        <w:tc>
          <w:tcPr>
            <w:tcW w:type="dxa" w:w="3000"/>
            <w:shd w:color="FAF8F2" w:val="solid"/>
            <w:tcMar>
              <w:top w:type="dxa" w:w="80"/>
              <w:left w:type="dxa" w:w="120"/>
              <w:bottom w:type="dxa" w:w="80"/>
              <w:right w:type="dxa" w:w="120"/>
            </w:tcMar>
          </w:tcPr>
          <w:p>
            <w:r>
              <w:rPr>
                <w:b/>
                <w:bCs/>
                <w:color w:val="1F1B17"/>
                <w:sz w:val="20"/>
                <w:szCs w:val="20"/>
                <w:rFonts w:ascii="Arial" w:cs="Arial" w:eastAsia="Arial" w:hAnsi="Arial"/>
              </w:rPr>
              <w:t xml:space="preserve">Manual QA</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Solo dev + pilot users</w:t>
            </w:r>
          </w:p>
        </w:tc>
        <w:tc>
          <w:tcPr>
            <w:tcW w:type="dxa" w:w="3000"/>
            <w:shd w:color="FAF8F2" w:val="solid"/>
            <w:tcMar>
              <w:top w:type="dxa" w:w="80"/>
              <w:left w:type="dxa" w:w="120"/>
              <w:bottom w:type="dxa" w:w="80"/>
              <w:right w:type="dxa" w:w="120"/>
            </w:tcMar>
          </w:tcPr>
          <w:p>
            <w:r>
              <w:rPr>
                <w:b w:val="false"/>
                <w:bCs w:val="false"/>
                <w:color w:val="1F1B17"/>
                <w:sz w:val="20"/>
                <w:szCs w:val="20"/>
                <w:rFonts w:ascii="Arial" w:cs="Arial" w:eastAsia="Arial" w:hAnsi="Arial"/>
              </w:rPr>
              <w:t xml:space="preserve">All releases before production</w:t>
            </w:r>
          </w:p>
        </w:tc>
      </w:tr>
    </w:tbl>
    <w:p>
      <w:pPr>
        <w:spacing w:before="480" w:after="80"/>
      </w:pPr>
      <w:r>
        <w:rPr>
          <w:b/>
          <w:bCs/>
          <w:color w:val="C6583E"/>
          <w:sz w:val="20"/>
          <w:szCs w:val="20"/>
          <w:rFonts w:ascii="Arial" w:cs="Arial" w:eastAsia="Arial" w:hAnsi="Arial"/>
        </w:rPr>
        <w:t xml:space="preserve">SECTION 16</w:t>
      </w:r>
    </w:p>
    <w:p>
      <w:pPr>
        <w:spacing w:after="240"/>
      </w:pPr>
      <w:r>
        <w:rPr>
          <w:b/>
          <w:bCs/>
          <w:color w:val="1F1B17"/>
          <w:sz w:val="44"/>
          <w:szCs w:val="44"/>
          <w:rFonts w:ascii="Georgia" w:cs="Georgia" w:eastAsia="Georgia" w:hAnsi="Georgia"/>
        </w:rPr>
        <w:t xml:space="preserve">Roadmap</w:t>
      </w:r>
    </w:p>
    <w:p>
      <w:pPr>
        <w:spacing w:before="360" w:after="120"/>
      </w:pPr>
      <w:r>
        <w:rPr>
          <w:b/>
          <w:bCs/>
          <w:color w:val="1F1B17"/>
          <w:sz w:val="28"/>
          <w:szCs w:val="28"/>
          <w:rFonts w:ascii="Georgia" w:cs="Georgia" w:eastAsia="Georgia" w:hAnsi="Georgia"/>
        </w:rPr>
        <w:t xml:space="preserve">Phase 1 — Foundation (Q1-Q2 2026) — CURRENT</w:t>
      </w:r>
    </w:p>
    <w:p>
      <w:pPr>
        <w:spacing w:after="120"/>
        <w:jc w:val="both"/>
      </w:pPr>
      <w:r>
        <w:rPr>
          <w:color w:val="1F1B17"/>
          <w:sz w:val="22"/>
          <w:szCs w:val="22"/>
          <w:rFonts w:ascii="Arial" w:cs="Arial" w:eastAsia="Arial" w:hAnsi="Arial"/>
        </w:rPr>
        <w:t xml:space="preserve">Goal: Production-ready single-tenant prototype, validate value with first 3-5 customers.</w:t>
      </w:r>
    </w:p>
    <w:p>
      <w:pPr>
        <w:pStyle w:val="ListParagraph"/>
        <w:numPr>
          <w:ilvl w:val="0"/>
          <w:numId w:val="1"/>
        </w:numPr>
        <w:spacing w:after="60"/>
      </w:pPr>
      <w:r>
        <w:rPr>
          <w:color w:val="1F1B17"/>
          <w:sz w:val="22"/>
          <w:szCs w:val="22"/>
          <w:rFonts w:ascii="Arial" w:cs="Arial" w:eastAsia="Arial" w:hAnsi="Arial"/>
        </w:rPr>
        <w:t xml:space="preserve">OpsLix.com domain, SSL, branding</w:t>
      </w:r>
    </w:p>
    <w:p>
      <w:pPr>
        <w:pStyle w:val="ListParagraph"/>
        <w:numPr>
          <w:ilvl w:val="0"/>
          <w:numId w:val="1"/>
        </w:numPr>
        <w:spacing w:after="60"/>
      </w:pPr>
      <w:r>
        <w:rPr>
          <w:color w:val="1F1B17"/>
          <w:sz w:val="22"/>
          <w:szCs w:val="22"/>
          <w:rFonts w:ascii="Arial" w:cs="Arial" w:eastAsia="Arial" w:hAnsi="Arial"/>
        </w:rPr>
        <w:t xml:space="preserve">Login → Workspaces → Dashboard flow</w:t>
      </w:r>
    </w:p>
    <w:p>
      <w:pPr>
        <w:pStyle w:val="ListParagraph"/>
        <w:numPr>
          <w:ilvl w:val="0"/>
          <w:numId w:val="1"/>
        </w:numPr>
        <w:spacing w:after="60"/>
      </w:pPr>
      <w:r>
        <w:rPr>
          <w:color w:val="1F1B17"/>
          <w:sz w:val="22"/>
          <w:szCs w:val="22"/>
          <w:rFonts w:ascii="Arial" w:cs="Arial" w:eastAsia="Arial" w:hAnsi="Arial"/>
        </w:rPr>
        <w:t xml:space="preserve">HSE workspace (Risk, Audit, Reports)</w:t>
      </w:r>
    </w:p>
    <w:p>
      <w:pPr>
        <w:pStyle w:val="ListParagraph"/>
        <w:numPr>
          <w:ilvl w:val="0"/>
          <w:numId w:val="1"/>
        </w:numPr>
        <w:spacing w:after="60"/>
      </w:pPr>
      <w:r>
        <w:rPr>
          <w:color w:val="1F1B17"/>
          <w:sz w:val="22"/>
          <w:szCs w:val="22"/>
          <w:rFonts w:ascii="Arial" w:cs="Arial" w:eastAsia="Arial" w:hAnsi="Arial"/>
        </w:rPr>
        <w:t xml:space="preserve">HRM workspace (Biometric Check-in)</w:t>
      </w:r>
    </w:p>
    <w:p>
      <w:pPr>
        <w:pStyle w:val="ListParagraph"/>
        <w:numPr>
          <w:ilvl w:val="0"/>
          <w:numId w:val="1"/>
        </w:numPr>
        <w:spacing w:after="60"/>
      </w:pPr>
      <w:r>
        <w:rPr>
          <w:color w:val="1F1B17"/>
          <w:sz w:val="22"/>
          <w:szCs w:val="22"/>
          <w:rFonts w:ascii="Arial" w:cs="Arial" w:eastAsia="Arial" w:hAnsi="Arial"/>
        </w:rPr>
        <w:t xml:space="preserve">Mobile responsive design</w:t>
      </w:r>
    </w:p>
    <w:p>
      <w:pPr>
        <w:pStyle w:val="ListParagraph"/>
        <w:numPr>
          <w:ilvl w:val="0"/>
          <w:numId w:val="1"/>
        </w:numPr>
        <w:spacing w:after="60"/>
      </w:pPr>
      <w:r>
        <w:rPr>
          <w:color w:val="1F1B17"/>
          <w:sz w:val="22"/>
          <w:szCs w:val="22"/>
          <w:rFonts w:ascii="Arial" w:cs="Arial" w:eastAsia="Arial" w:hAnsi="Arial"/>
        </w:rPr>
        <w:t xml:space="preserve">DPDP/GDPR-aligned data handling</w:t>
      </w:r>
    </w:p>
    <w:p>
      <w:pPr>
        <w:spacing w:before="360" w:after="120"/>
      </w:pPr>
      <w:r>
        <w:rPr>
          <w:b/>
          <w:bCs/>
          <w:color w:val="1F1B17"/>
          <w:sz w:val="28"/>
          <w:szCs w:val="28"/>
          <w:rFonts w:ascii="Georgia" w:cs="Georgia" w:eastAsia="Georgia" w:hAnsi="Georgia"/>
        </w:rPr>
        <w:t xml:space="preserve">Phase 2 — Multi-Tenant SaaS (Q3 2026)</w:t>
      </w:r>
    </w:p>
    <w:p>
      <w:pPr>
        <w:spacing w:after="120"/>
        <w:jc w:val="both"/>
      </w:pPr>
      <w:r>
        <w:rPr>
          <w:color w:val="1F1B17"/>
          <w:sz w:val="22"/>
          <w:szCs w:val="22"/>
          <w:rFonts w:ascii="Arial" w:cs="Arial" w:eastAsia="Arial" w:hAnsi="Arial"/>
        </w:rPr>
        <w:t xml:space="preserve">Goal: Scale to 30+ customers with isolated data.</w:t>
      </w:r>
    </w:p>
    <w:p>
      <w:pPr>
        <w:pStyle w:val="ListParagraph"/>
        <w:numPr>
          <w:ilvl w:val="0"/>
          <w:numId w:val="1"/>
        </w:numPr>
        <w:spacing w:after="60"/>
      </w:pPr>
      <w:r>
        <w:rPr>
          <w:color w:val="1F1B17"/>
          <w:sz w:val="22"/>
          <w:szCs w:val="22"/>
          <w:rFonts w:ascii="Arial" w:cs="Arial" w:eastAsia="Arial" w:hAnsi="Arial"/>
        </w:rPr>
        <w:t xml:space="preserve">Schema migration: add tenant_id to all tables</w:t>
      </w:r>
    </w:p>
    <w:p>
      <w:pPr>
        <w:pStyle w:val="ListParagraph"/>
        <w:numPr>
          <w:ilvl w:val="0"/>
          <w:numId w:val="1"/>
        </w:numPr>
        <w:spacing w:after="60"/>
      </w:pPr>
      <w:r>
        <w:rPr>
          <w:color w:val="1F1B17"/>
          <w:sz w:val="22"/>
          <w:szCs w:val="22"/>
          <w:rFonts w:ascii="Arial" w:cs="Arial" w:eastAsia="Arial" w:hAnsi="Arial"/>
        </w:rPr>
        <w:t xml:space="preserve">Postgres RLS policies</w:t>
      </w:r>
    </w:p>
    <w:p>
      <w:pPr>
        <w:pStyle w:val="ListParagraph"/>
        <w:numPr>
          <w:ilvl w:val="0"/>
          <w:numId w:val="1"/>
        </w:numPr>
        <w:spacing w:after="60"/>
      </w:pPr>
      <w:r>
        <w:rPr>
          <w:color w:val="1F1B17"/>
          <w:sz w:val="22"/>
          <w:szCs w:val="22"/>
          <w:rFonts w:ascii="Arial" w:cs="Arial" w:eastAsia="Arial" w:hAnsi="Arial"/>
        </w:rPr>
        <w:t xml:space="preserve">JWT with tenantId claim</w:t>
      </w:r>
    </w:p>
    <w:p>
      <w:pPr>
        <w:pStyle w:val="ListParagraph"/>
        <w:numPr>
          <w:ilvl w:val="0"/>
          <w:numId w:val="1"/>
        </w:numPr>
        <w:spacing w:after="60"/>
      </w:pPr>
      <w:r>
        <w:rPr>
          <w:color w:val="1F1B17"/>
          <w:sz w:val="22"/>
          <w:szCs w:val="22"/>
          <w:rFonts w:ascii="Arial" w:cs="Arial" w:eastAsia="Arial" w:hAnsi="Arial"/>
        </w:rPr>
        <w:t xml:space="preserve">Tenant provisioning automation</w:t>
      </w:r>
    </w:p>
    <w:p>
      <w:pPr>
        <w:pStyle w:val="ListParagraph"/>
        <w:numPr>
          <w:ilvl w:val="0"/>
          <w:numId w:val="1"/>
        </w:numPr>
        <w:spacing w:after="60"/>
      </w:pPr>
      <w:r>
        <w:rPr>
          <w:color w:val="1F1B17"/>
          <w:sz w:val="22"/>
          <w:szCs w:val="22"/>
          <w:rFonts w:ascii="Arial" w:cs="Arial" w:eastAsia="Arial" w:hAnsi="Arial"/>
        </w:rPr>
        <w:t xml:space="preserve">Subdomain routing (tenant.opslix.com)</w:t>
      </w:r>
    </w:p>
    <w:p>
      <w:pPr>
        <w:pStyle w:val="ListParagraph"/>
        <w:numPr>
          <w:ilvl w:val="0"/>
          <w:numId w:val="1"/>
        </w:numPr>
        <w:spacing w:after="60"/>
      </w:pPr>
      <w:r>
        <w:rPr>
          <w:color w:val="1F1B17"/>
          <w:sz w:val="22"/>
          <w:szCs w:val="22"/>
          <w:rFonts w:ascii="Arial" w:cs="Arial" w:eastAsia="Arial" w:hAnsi="Arial"/>
        </w:rPr>
        <w:t xml:space="preserve">Self-service signup flow</w:t>
      </w:r>
    </w:p>
    <w:p>
      <w:pPr>
        <w:spacing w:before="360" w:after="120"/>
      </w:pPr>
      <w:r>
        <w:rPr>
          <w:b/>
          <w:bCs/>
          <w:color w:val="1F1B17"/>
          <w:sz w:val="28"/>
          <w:szCs w:val="28"/>
          <w:rFonts w:ascii="Georgia" w:cs="Georgia" w:eastAsia="Georgia" w:hAnsi="Georgia"/>
        </w:rPr>
        <w:t xml:space="preserve">Phase 3 — Enterprise (Q4 2026)</w:t>
      </w:r>
    </w:p>
    <w:p>
      <w:pPr>
        <w:spacing w:after="120"/>
        <w:jc w:val="both"/>
      </w:pPr>
      <w:r>
        <w:rPr>
          <w:color w:val="1F1B17"/>
          <w:sz w:val="22"/>
          <w:szCs w:val="22"/>
          <w:rFonts w:ascii="Arial" w:cs="Arial" w:eastAsia="Arial" w:hAnsi="Arial"/>
        </w:rPr>
        <w:t xml:space="preserve">Goal: Add on-premise + private cloud + enterprise features.</w:t>
      </w:r>
    </w:p>
    <w:p>
      <w:pPr>
        <w:pStyle w:val="ListParagraph"/>
        <w:numPr>
          <w:ilvl w:val="0"/>
          <w:numId w:val="1"/>
        </w:numPr>
        <w:spacing w:after="60"/>
      </w:pPr>
      <w:r>
        <w:rPr>
          <w:color w:val="1F1B17"/>
          <w:sz w:val="22"/>
          <w:szCs w:val="22"/>
          <w:rFonts w:ascii="Arial" w:cs="Arial" w:eastAsia="Arial" w:hAnsi="Arial"/>
        </w:rPr>
        <w:t xml:space="preserve">Docker images for on-premise deployment</w:t>
      </w:r>
    </w:p>
    <w:p>
      <w:pPr>
        <w:pStyle w:val="ListParagraph"/>
        <w:numPr>
          <w:ilvl w:val="0"/>
          <w:numId w:val="1"/>
        </w:numPr>
        <w:spacing w:after="60"/>
      </w:pPr>
      <w:r>
        <w:rPr>
          <w:color w:val="1F1B17"/>
          <w:sz w:val="22"/>
          <w:szCs w:val="22"/>
          <w:rFonts w:ascii="Arial" w:cs="Arial" w:eastAsia="Arial" w:hAnsi="Arial"/>
        </w:rPr>
        <w:t xml:space="preserve">SAML/OAuth SSO (Microsoft, Google, Okta)</w:t>
      </w:r>
    </w:p>
    <w:p>
      <w:pPr>
        <w:pStyle w:val="ListParagraph"/>
        <w:numPr>
          <w:ilvl w:val="0"/>
          <w:numId w:val="1"/>
        </w:numPr>
        <w:spacing w:after="60"/>
      </w:pPr>
      <w:r>
        <w:rPr>
          <w:color w:val="1F1B17"/>
          <w:sz w:val="22"/>
          <w:szCs w:val="22"/>
          <w:rFonts w:ascii="Arial" w:cs="Arial" w:eastAsia="Arial" w:hAnsi="Arial"/>
        </w:rPr>
        <w:t xml:space="preserve">2FA via TOTP</w:t>
      </w:r>
    </w:p>
    <w:p>
      <w:pPr>
        <w:pStyle w:val="ListParagraph"/>
        <w:numPr>
          <w:ilvl w:val="0"/>
          <w:numId w:val="1"/>
        </w:numPr>
        <w:spacing w:after="60"/>
      </w:pPr>
      <w:r>
        <w:rPr>
          <w:color w:val="1F1B17"/>
          <w:sz w:val="22"/>
          <w:szCs w:val="22"/>
          <w:rFonts w:ascii="Arial" w:cs="Arial" w:eastAsia="Arial" w:hAnsi="Arial"/>
        </w:rPr>
        <w:t xml:space="preserve">Custom RBAC roles</w:t>
      </w:r>
    </w:p>
    <w:p>
      <w:pPr>
        <w:pStyle w:val="ListParagraph"/>
        <w:numPr>
          <w:ilvl w:val="0"/>
          <w:numId w:val="1"/>
        </w:numPr>
        <w:spacing w:after="60"/>
      </w:pPr>
      <w:r>
        <w:rPr>
          <w:color w:val="1F1B17"/>
          <w:sz w:val="22"/>
          <w:szCs w:val="22"/>
          <w:rFonts w:ascii="Arial" w:cs="Arial" w:eastAsia="Arial" w:hAnsi="Arial"/>
        </w:rPr>
        <w:t xml:space="preserve">ISO 27001 certification</w:t>
      </w:r>
    </w:p>
    <w:p>
      <w:pPr>
        <w:pStyle w:val="ListParagraph"/>
        <w:numPr>
          <w:ilvl w:val="0"/>
          <w:numId w:val="1"/>
        </w:numPr>
        <w:spacing w:after="60"/>
      </w:pPr>
      <w:r>
        <w:rPr>
          <w:color w:val="1F1B17"/>
          <w:sz w:val="22"/>
          <w:szCs w:val="22"/>
          <w:rFonts w:ascii="Arial" w:cs="Arial" w:eastAsia="Arial" w:hAnsi="Arial"/>
        </w:rPr>
        <w:t xml:space="preserve">SOC 2 Type II audit</w:t>
      </w:r>
    </w:p>
    <w:p>
      <w:pPr>
        <w:spacing w:before="360" w:after="120"/>
      </w:pPr>
      <w:r>
        <w:rPr>
          <w:b/>
          <w:bCs/>
          <w:color w:val="1F1B17"/>
          <w:sz w:val="28"/>
          <w:szCs w:val="28"/>
          <w:rFonts w:ascii="Georgia" w:cs="Georgia" w:eastAsia="Georgia" w:hAnsi="Georgia"/>
        </w:rPr>
        <w:t xml:space="preserve">Phase 4 — Scale (2027)</w:t>
      </w:r>
    </w:p>
    <w:p>
      <w:pPr>
        <w:spacing w:after="120"/>
        <w:jc w:val="both"/>
      </w:pPr>
      <w:r>
        <w:rPr>
          <w:color w:val="1F1B17"/>
          <w:sz w:val="22"/>
          <w:szCs w:val="22"/>
          <w:rFonts w:ascii="Arial" w:cs="Arial" w:eastAsia="Arial" w:hAnsi="Arial"/>
        </w:rPr>
        <w:t xml:space="preserve">Goal: 100+ customers, global expansion, AI features.</w:t>
      </w:r>
    </w:p>
    <w:p>
      <w:pPr>
        <w:pStyle w:val="ListParagraph"/>
        <w:numPr>
          <w:ilvl w:val="0"/>
          <w:numId w:val="1"/>
        </w:numPr>
        <w:spacing w:after="60"/>
      </w:pPr>
      <w:r>
        <w:rPr>
          <w:color w:val="1F1B17"/>
          <w:sz w:val="22"/>
          <w:szCs w:val="22"/>
          <w:rFonts w:ascii="Arial" w:cs="Arial" w:eastAsia="Arial" w:hAnsi="Arial"/>
        </w:rPr>
        <w:t xml:space="preserve">AI-powered HSE insights (incident prediction)</w:t>
      </w:r>
    </w:p>
    <w:p>
      <w:pPr>
        <w:pStyle w:val="ListParagraph"/>
        <w:numPr>
          <w:ilvl w:val="0"/>
          <w:numId w:val="1"/>
        </w:numPr>
        <w:spacing w:after="60"/>
      </w:pPr>
      <w:r>
        <w:rPr>
          <w:color w:val="1F1B17"/>
          <w:sz w:val="22"/>
          <w:szCs w:val="22"/>
          <w:rFonts w:ascii="Arial" w:cs="Arial" w:eastAsia="Arial" w:hAnsi="Arial"/>
        </w:rPr>
        <w:t xml:space="preserve">AI-powered HRM (skills gap analysis)</w:t>
      </w:r>
    </w:p>
    <w:p>
      <w:pPr>
        <w:pStyle w:val="ListParagraph"/>
        <w:numPr>
          <w:ilvl w:val="0"/>
          <w:numId w:val="1"/>
        </w:numPr>
        <w:spacing w:after="60"/>
      </w:pPr>
      <w:r>
        <w:rPr>
          <w:color w:val="1F1B17"/>
          <w:sz w:val="22"/>
          <w:szCs w:val="22"/>
          <w:rFonts w:ascii="Arial" w:cs="Arial" w:eastAsia="Arial" w:hAnsi="Arial"/>
        </w:rPr>
        <w:t xml:space="preserve">Multi-language support (Hindi, Arabic, Bahasa, Spanish)</w:t>
      </w:r>
    </w:p>
    <w:p>
      <w:pPr>
        <w:pStyle w:val="ListParagraph"/>
        <w:numPr>
          <w:ilvl w:val="0"/>
          <w:numId w:val="1"/>
        </w:numPr>
        <w:spacing w:after="60"/>
      </w:pPr>
      <w:r>
        <w:rPr>
          <w:color w:val="1F1B17"/>
          <w:sz w:val="22"/>
          <w:szCs w:val="22"/>
          <w:rFonts w:ascii="Arial" w:cs="Arial" w:eastAsia="Arial" w:hAnsi="Arial"/>
        </w:rPr>
        <w:t xml:space="preserve">Mobile native apps (iOS, Android)</w:t>
      </w:r>
    </w:p>
    <w:p>
      <w:pPr>
        <w:pStyle w:val="ListParagraph"/>
        <w:numPr>
          <w:ilvl w:val="0"/>
          <w:numId w:val="1"/>
        </w:numPr>
        <w:spacing w:after="60"/>
      </w:pPr>
      <w:r>
        <w:rPr>
          <w:color w:val="1F1B17"/>
          <w:sz w:val="22"/>
          <w:szCs w:val="22"/>
          <w:rFonts w:ascii="Arial" w:cs="Arial" w:eastAsia="Arial" w:hAnsi="Arial"/>
        </w:rPr>
        <w:t xml:space="preserve">$1M ARR milestone</w:t>
      </w:r>
    </w:p>
    <w:p>
      <w:pPr>
        <w:spacing w:after="80"/>
      </w:pPr>
      <w:r>
        <w:t xml:space="preserve"> </w:t>
      </w:r>
    </w:p>
    <w:p>
      <w:pPr>
        <w:pBdr>
          <w:left w:val="single" w:color="C6583E" w:sz="24" w:space="8"/>
        </w:pBdr>
        <w:shd w:color="F5F2EB" w:val="solid"/>
        <w:spacing w:before="200" w:after="200"/>
        <w:ind w:left="240" w:right="240"/>
      </w:pPr>
      <w:r>
        <w:rPr>
          <w:b/>
          <w:bCs/>
          <w:color w:val="C6583E"/>
          <w:sz w:val="22"/>
          <w:szCs w:val="22"/>
          <w:rFonts w:ascii="Arial" w:cs="Arial" w:eastAsia="Arial" w:hAnsi="Arial"/>
        </w:rPr>
        <w:t xml:space="preserve">Document Classification: </w:t>
      </w:r>
      <w:r>
        <w:rPr>
          <w:color w:val="1F1B17"/>
          <w:sz w:val="22"/>
          <w:szCs w:val="22"/>
          <w:rFonts w:ascii="Arial" w:cs="Arial" w:eastAsia="Arial" w:hAnsi="Arial"/>
        </w:rPr>
        <w:t xml:space="preserve">Confidential — for internal use, prospects, and investors only. Do not share without explicit permission from Dhanesh CK.</w:t>
      </w:r>
    </w:p>
    <w:p>
      <w:pPr>
        <w:spacing w:after="80"/>
      </w:pPr>
      <w:r>
        <w:t xml:space="preserve"> </w:t>
      </w:r>
    </w:p>
    <w:p>
      <w:pPr>
        <w:spacing w:before="400" w:after="100"/>
        <w:jc w:val="center"/>
      </w:pPr>
      <w:r>
        <w:rPr>
          <w:i/>
          <w:iCs/>
          <w:color w:val="6B6661"/>
          <w:sz w:val="20"/>
          <w:szCs w:val="20"/>
          <w:rFonts w:ascii="Arial" w:cs="Arial" w:eastAsia="Arial" w:hAnsi="Arial"/>
        </w:rPr>
        <w:t xml:space="preserve">OpsLix · ISO 45001 aligned · Privacy-first · Global SaaS</w:t>
      </w:r>
    </w:p>
    <w:p>
      <w:pPr>
        <w:jc w:val="center"/>
      </w:pPr>
      <w:r>
        <w:rPr>
          <w:i/>
          <w:iCs/>
          <w:color w:val="6B6661"/>
          <w:sz w:val="20"/>
          <w:szCs w:val="20"/>
          <w:rFonts w:ascii="Arial" w:cs="Arial" w:eastAsia="Arial" w:hAnsi="Arial"/>
        </w:rPr>
        <w:t xml:space="preserve">© 2026 OpsLix. All rights reserved.</w:t>
      </w:r>
    </w:p>
    <w:p>
      <w:pPr>
        <w:spacing w:after="240"/>
        <w:jc w:val="center"/>
      </w:pPr>
      <w:r>
        <w:rPr>
          <w:i/>
          <w:iCs/>
          <w:color w:val="6B6661"/>
          <w:sz w:val="20"/>
          <w:szCs w:val="20"/>
          <w:rFonts w:ascii="Arial" w:cs="Arial" w:eastAsia="Arial" w:hAnsi="Arial"/>
        </w:rPr>
        <w:t xml:space="preserve">info@opslix.com  ·  +91 9313566909  ·  https://opslix.com</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661"/>
        <w:sz w:val="16"/>
        <w:szCs w:val="16"/>
        <w:rFonts w:ascii="Arial" w:cs="Arial" w:eastAsia="Arial" w:hAnsi="Arial"/>
      </w:rPr>
      <w:t xml:space="preserve">OpsLix Technical Architecture v1.0  ·  Confidential  ·  Page </w:t>
    </w:r>
    <w:r>
      <w:rPr>
        <w:color w:val="6B6661"/>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OpsLix Technical Architecture v1.0</dc:title>
  <dc:creator>OpsLix</dc:creator>
  <dc:description>Complete technical reference for the OpsLix multi-workspace operations platform</dc:description>
  <cp:lastModifiedBy>Un-named</cp:lastModifiedBy>
  <cp:revision>1</cp:revision>
  <dcterms:created xsi:type="dcterms:W3CDTF">2026-04-26T22:28:49.673Z</dcterms:created>
  <dcterms:modified xsi:type="dcterms:W3CDTF">2026-04-26T22:28:49.673Z</dcterms:modified>
</cp:coreProperties>
</file>

<file path=docProps/custom.xml><?xml version="1.0" encoding="utf-8"?>
<Properties xmlns="http://schemas.openxmlformats.org/officeDocument/2006/custom-properties" xmlns:vt="http://schemas.openxmlformats.org/officeDocument/2006/docPropsVTypes"/>
</file>