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8BD1A" w14:textId="77777777" w:rsidR="00912F49" w:rsidRDefault="00912F49"/>
    <w:p w14:paraId="1E9B54BB" w14:textId="77777777" w:rsidR="00912F49" w:rsidRDefault="00912F49"/>
    <w:p w14:paraId="480E4BF2" w14:textId="77777777" w:rsidR="00912F49" w:rsidRDefault="00000000">
      <w:pPr>
        <w:pStyle w:val="Heading2"/>
        <w:keepNext w:val="0"/>
        <w:keepLines w:val="0"/>
        <w:spacing w:before="0" w:after="80"/>
        <w:rPr>
          <w:b/>
          <w:bCs/>
          <w:sz w:val="34"/>
          <w:szCs w:val="34"/>
        </w:rPr>
      </w:pPr>
      <w:bookmarkStart w:id="0" w:name="_eejrewb3a3d0" w:colFirst="0" w:colLast="0"/>
      <w:bookmarkEnd w:id="0"/>
      <w:r>
        <w:rPr>
          <w:b/>
          <w:bCs/>
          <w:sz w:val="34"/>
          <w:szCs w:val="34"/>
        </w:rPr>
        <w:t>Response to Reviewers</w:t>
      </w:r>
    </w:p>
    <w:p w14:paraId="67845DBA" w14:textId="77777777" w:rsidR="00912F49" w:rsidRDefault="00000000">
      <w:pPr>
        <w:spacing w:after="240"/>
      </w:pPr>
      <w:r>
        <w:t>Manuscript ID: ARRAY-D-26-00903</w:t>
      </w:r>
    </w:p>
    <w:p w14:paraId="5C0C881A" w14:textId="77777777" w:rsidR="00912F49" w:rsidRDefault="00000000">
      <w:pPr>
        <w:spacing w:after="240"/>
      </w:pPr>
      <w:r>
        <w:t xml:space="preserve">Title: A Reinforcement Learning and Evolutionary Game </w:t>
      </w:r>
      <w:proofErr w:type="gramStart"/>
      <w:r>
        <w:t>Theory?Driven</w:t>
      </w:r>
      <w:proofErr w:type="gramEnd"/>
      <w:r>
        <w:t xml:space="preserve"> Hyperledger Fabric Framework for Adaptive Supply Chain Finance in High-Value Agricultural Auctions</w:t>
      </w:r>
    </w:p>
    <w:p w14:paraId="67CE3DFC" w14:textId="77777777" w:rsidR="00912F49" w:rsidRDefault="00000000">
      <w:pPr>
        <w:spacing w:after="240"/>
      </w:pPr>
      <w:r>
        <w:rPr>
          <w:b/>
          <w:bCs/>
        </w:rPr>
        <w:t>Authors:</w:t>
      </w:r>
      <w:r>
        <w:t xml:space="preserve"> Dhanish Jose and Pradeepmon TG</w:t>
      </w:r>
    </w:p>
    <w:p w14:paraId="6E2CE601" w14:textId="77777777" w:rsidR="00912F49" w:rsidRDefault="00000000">
      <w:pPr>
        <w:spacing w:after="240"/>
      </w:pPr>
      <w:r>
        <w:t>Journal: Array</w:t>
      </w:r>
    </w:p>
    <w:p w14:paraId="4B809F10" w14:textId="77777777" w:rsidR="00912F49" w:rsidRDefault="00000000">
      <w:r>
        <w:pict w14:anchorId="12B56313">
          <v:rect id="_x0000_i1025" style="width:0;height:1.5pt" o:hralign="center" o:hrstd="t" o:hr="t" fillcolor="#a0a0a0" stroked="f"/>
        </w:pict>
      </w:r>
    </w:p>
    <w:p w14:paraId="2062F577" w14:textId="77777777" w:rsidR="00912F49" w:rsidRDefault="00000000">
      <w:pPr>
        <w:pStyle w:val="Heading3"/>
        <w:keepNext w:val="0"/>
        <w:keepLines w:val="0"/>
        <w:spacing w:before="0"/>
        <w:rPr>
          <w:b/>
          <w:bCs/>
          <w:color w:val="000000"/>
          <w:sz w:val="26"/>
          <w:szCs w:val="26"/>
        </w:rPr>
      </w:pPr>
      <w:bookmarkStart w:id="1" w:name="_9bqu5sq953li" w:colFirst="0" w:colLast="0"/>
      <w:bookmarkEnd w:id="1"/>
      <w:r>
        <w:rPr>
          <w:b/>
          <w:bCs/>
          <w:color w:val="000000"/>
          <w:sz w:val="26"/>
          <w:szCs w:val="26"/>
        </w:rPr>
        <w:t>Letter to the Editor</w:t>
      </w:r>
    </w:p>
    <w:p w14:paraId="0F6FA91B" w14:textId="77777777" w:rsidR="00912F49" w:rsidRDefault="00000000">
      <w:pPr>
        <w:spacing w:after="240"/>
      </w:pPr>
      <w:r>
        <w:t>Dear Dr. Manisha Aswal,</w:t>
      </w:r>
    </w:p>
    <w:p w14:paraId="49B7203D" w14:textId="77777777" w:rsidR="00912F49" w:rsidRDefault="00000000">
      <w:pPr>
        <w:spacing w:after="240"/>
      </w:pPr>
      <w:r>
        <w:t>We have performed extensive additional analyses and experiments to address the concerns regarding theoretical justification, benchmark comparisons, and system robustness. Specifically, we have:</w:t>
      </w:r>
    </w:p>
    <w:p w14:paraId="115C9D2E" w14:textId="77777777" w:rsidR="00912F49" w:rsidRDefault="00000000">
      <w:pPr>
        <w:numPr>
          <w:ilvl w:val="0"/>
          <w:numId w:val="1"/>
        </w:numPr>
      </w:pPr>
      <w:r>
        <w:t>Clarified the theoretical role of the EGT mechanism as an adaptive borrower-screening mechanism rather than a full analytical game-equilibrium model.</w:t>
      </w:r>
    </w:p>
    <w:p w14:paraId="29069919" w14:textId="77777777" w:rsidR="00912F49" w:rsidRDefault="00000000">
      <w:pPr>
        <w:numPr>
          <w:ilvl w:val="0"/>
          <w:numId w:val="1"/>
        </w:numPr>
      </w:pPr>
      <w:r>
        <w:t>Designed comprehensive benchmark control groups comparing the proposed RL-EGT strategy against fixed APR baselines and partially adaptive alternatives.</w:t>
      </w:r>
    </w:p>
    <w:p w14:paraId="7D2C0E13" w14:textId="77777777" w:rsidR="00912F49" w:rsidRDefault="00000000">
      <w:pPr>
        <w:numPr>
          <w:ilvl w:val="0"/>
          <w:numId w:val="1"/>
        </w:numPr>
      </w:pPr>
      <w:r>
        <w:t>Conducted extensive scenario-level and parameter-level sensitivity analysis under varying initial financier capital and default severity conditions.</w:t>
      </w:r>
    </w:p>
    <w:p w14:paraId="1E24DF5F" w14:textId="77777777" w:rsidR="00912F49" w:rsidRDefault="00000000">
      <w:pPr>
        <w:numPr>
          <w:ilvl w:val="0"/>
          <w:numId w:val="1"/>
        </w:numPr>
        <w:spacing w:after="240"/>
      </w:pPr>
      <w:r>
        <w:t>Enhanced the economic interpretation of the results to explicitly address the incentive tension between borrower repayment discipline and lender returns.</w:t>
      </w:r>
    </w:p>
    <w:p w14:paraId="079A0BB8" w14:textId="77777777" w:rsidR="00912F49" w:rsidRDefault="00000000">
      <w:pPr>
        <w:spacing w:after="240"/>
      </w:pPr>
      <w:r>
        <w:t>A point-by-point response to each reviewer is provided below.</w:t>
      </w:r>
    </w:p>
    <w:p w14:paraId="3BC03AE8" w14:textId="77777777" w:rsidR="00912F49" w:rsidRDefault="00000000">
      <w:r>
        <w:pict w14:anchorId="018CCC1D">
          <v:rect id="_x0000_i1026" style="width:0;height:1.5pt" o:hralign="center" o:hrstd="t" o:hr="t" fillcolor="#a0a0a0" stroked="f"/>
        </w:pict>
      </w:r>
    </w:p>
    <w:p w14:paraId="58A09E70" w14:textId="77777777" w:rsidR="00912F49" w:rsidRDefault="00912F49">
      <w:pPr>
        <w:pStyle w:val="Heading3"/>
        <w:keepNext w:val="0"/>
        <w:keepLines w:val="0"/>
        <w:spacing w:before="0"/>
        <w:rPr>
          <w:b/>
          <w:bCs/>
          <w:color w:val="000000"/>
          <w:sz w:val="26"/>
          <w:szCs w:val="26"/>
        </w:rPr>
      </w:pPr>
      <w:bookmarkStart w:id="2" w:name="_vn11kzuspzfz" w:colFirst="0" w:colLast="0"/>
      <w:bookmarkEnd w:id="2"/>
    </w:p>
    <w:p w14:paraId="24EB0575" w14:textId="77777777" w:rsidR="00912F49" w:rsidRDefault="00000000">
      <w:pPr>
        <w:pStyle w:val="Heading3"/>
        <w:keepNext w:val="0"/>
        <w:keepLines w:val="0"/>
        <w:spacing w:before="0"/>
        <w:rPr>
          <w:b/>
          <w:bCs/>
          <w:color w:val="000000"/>
          <w:sz w:val="26"/>
          <w:szCs w:val="26"/>
        </w:rPr>
      </w:pPr>
      <w:bookmarkStart w:id="3" w:name="_h0u8z6bs3cl2" w:colFirst="0" w:colLast="0"/>
      <w:bookmarkEnd w:id="3"/>
      <w:r>
        <w:rPr>
          <w:b/>
          <w:bCs/>
          <w:color w:val="000000"/>
          <w:sz w:val="26"/>
          <w:szCs w:val="26"/>
        </w:rPr>
        <w:t>Reviewer 1</w:t>
      </w:r>
    </w:p>
    <w:p w14:paraId="673D1A04" w14:textId="77777777" w:rsidR="008A2B0C" w:rsidRDefault="00000000">
      <w:r>
        <w:t>We sincerely thank Reviewer 1 for their insightful and constructive feedback. To address the reviewer’s concerns, the manuscript has been substantially revised throughout. The major revisions made in response to Reviewer 1 include:</w:t>
      </w:r>
    </w:p>
    <w:p w14:paraId="2E1BF45B" w14:textId="77777777" w:rsidR="008A2B0C" w:rsidRDefault="00000000">
      <w:r>
        <w:t>1. Clarifying the theoretical role of Evolutionary Game Theory as an adaptive borrower-screening mechanism, rather than a formal equilibrium model.</w:t>
      </w:r>
    </w:p>
    <w:p w14:paraId="017A05ED" w14:textId="77777777" w:rsidR="008A2B0C" w:rsidRDefault="00000000">
      <w:r>
        <w:t>2. Explicitly defining the boundaries of the EGT model within the supply chain and detailing how non-game stakeholders interact through the smart contract layer.</w:t>
      </w:r>
    </w:p>
    <w:p w14:paraId="414217C9" w14:textId="77777777" w:rsidR="008A2B0C" w:rsidRDefault="00000000">
      <w:r>
        <w:t>3. Justifying the payoff function design based on ledger-observable finance variables while adding limitations regarding exogenous market risks.</w:t>
      </w:r>
    </w:p>
    <w:p w14:paraId="1F9746D3" w14:textId="77777777" w:rsidR="008A2B0C" w:rsidRDefault="00000000">
      <w:r>
        <w:t>4. Designing comprehensive benchmark control groups to quantitatively evaluate the proposed RL-EGT framework against fixed-rate baselines and partially adaptive alternatives.</w:t>
      </w:r>
    </w:p>
    <w:p w14:paraId="0984D290" w14:textId="77777777" w:rsidR="008A2B0C" w:rsidRDefault="00000000">
      <w:r>
        <w:t>5. Conducting extensive sensitivity analysis under varying conditions of initial financier capital and default severity to prove the model’s robustness.</w:t>
      </w:r>
    </w:p>
    <w:p w14:paraId="478EA3D9" w14:textId="77777777" w:rsidR="008A2B0C" w:rsidRDefault="00000000">
      <w:r>
        <w:lastRenderedPageBreak/>
        <w:t>6. Updating the abstract to include key quantitative results demonstrating the performance advantages of the proposed framework.</w:t>
      </w:r>
      <w:r>
        <w:br/>
      </w:r>
    </w:p>
    <w:p w14:paraId="463084E3" w14:textId="77777777" w:rsidR="00912F49" w:rsidRDefault="00000000">
      <w:pPr>
        <w:spacing w:after="240"/>
        <w:rPr>
          <w:i/>
          <w:iCs/>
        </w:rPr>
      </w:pPr>
      <w:r>
        <w:rPr>
          <w:b/>
        </w:rPr>
        <w:t>Comment 1:</w:t>
      </w:r>
      <w:r>
        <w:t xml:space="preserve"> " The core innovation of this study lies in the integration of EGT and blockchain-enabled SCF, yet the manuscript fails to provide a complete and rigorous theoretical game analysis of the proposed model. The manuscript only uses EGT as a tool for on-chain credit score updating, but does not complete the core analytical process of evolutionary game modelling. There is no formal derivation of the replicator dynamic equations, no solution and proof of Evolutionary Stable Strategy (ESS), and no local stability analysis using the Jacobian matrix. The conclusion that the system converges to a cooperative equilibrium is only supported by descriptive simulation results, without theoretical proof."</w:t>
      </w:r>
    </w:p>
    <w:p w14:paraId="4E66D620" w14:textId="77777777" w:rsidR="00F761A5" w:rsidRDefault="00000000">
      <w:pPr>
        <w:spacing w:after="240"/>
      </w:pPr>
      <w:r>
        <w:t xml:space="preserve"> </w:t>
      </w:r>
      <w:r>
        <w:rPr>
          <w:b/>
          <w:bCs/>
        </w:rPr>
        <w:t>Author Response:</w:t>
      </w:r>
      <w:r>
        <w:t xml:space="preserve"> </w:t>
      </w:r>
      <w:r w:rsidR="00F761A5" w:rsidRPr="00F761A5">
        <w:t>We sincerely thank the reviewer for this important and constructive comment. We agree that the earlier version of the manuscript did not sufficiently clarify the theoretical role of Evolutionary Game Theory in the proposed supply chain finance framework. In the revised manuscript, we have clarified that EGT is not used as a complete evolutionary game model for proving cooperative equilibrium. Instead, it is used as an adaptive borrower-screening mechanism for evaluating wholesaler behaviour and supporting APR determination. The EGT component updates borrower-side scores using repeated finance outcomes, including repayment performance, overdue behaviour, default occurrence, and realised profitability. These scores are then used to classify borrower risk and determine the borrower-side risk premium applied to the finance offer. Accordingly, we have revised the manuscript to remove unsupported claims related to formal convergence or Evolutionary Stable Strategy proof. The revised text now positions EGT as a practical adaptive screening and APR-support mechanism rather than a full analytical game-equilibrium model</w:t>
      </w:r>
    </w:p>
    <w:p w14:paraId="2957066D" w14:textId="77777777" w:rsidR="004E060E" w:rsidRDefault="004E060E">
      <w:pPr>
        <w:spacing w:after="240"/>
      </w:pPr>
      <w:r>
        <w:rPr>
          <w:b/>
        </w:rPr>
        <w:t>Manuscript Revision:</w:t>
      </w:r>
      <w:r>
        <w:t xml:space="preserve"> Highlighted in yellow in Abstract (Page 1), Section 1 (Introduction) (Page 2), Section 3 (Research Gaps in Adaptive Blockchain-Enabled Supply Chain Finance) (Page 7), last paragraph of Section 3 (Contributions) (Page 7), Section 4 (Methodology) (Page 8), Section 4.4 (Adaptive finance mechanism: RL-based APR optimisation and EGT-based borrower screening) (Page 17), Section 4.6 (Experimental Design for Finance Model Selection) (Page 18), and Section 6 (Conclusion) (Page 28).</w:t>
      </w:r>
    </w:p>
    <w:p w14:paraId="340C5A8A" w14:textId="12E2FED6" w:rsidR="00912F49" w:rsidRDefault="00000000">
      <w:pPr>
        <w:spacing w:after="240"/>
        <w:rPr>
          <w:b/>
          <w:bCs/>
          <w:i/>
          <w:iCs/>
        </w:rPr>
      </w:pPr>
      <w:r>
        <w:rPr>
          <w:b/>
        </w:rPr>
        <w:t>Comment 2:</w:t>
      </w:r>
      <w:r>
        <w:t xml:space="preserve"> " The game model is oversimplified and fails to capture the strategic interactions of full supply chain stakeholders. Only wholesalers and financiers are included as game players, while the strategic behaviors of core participants such as farmers (bid acceptance/rejection decisions), auction centers (quality inspection and supervision behaviors), and retailers (sales and repayment transfer behaviors) are not incorporated into the game framework. These stakeholders' behaviors directly affect loan repayment performance and system evolution, and their exclusion makes the game model inconsistent with the actual operation of the cardamom supply chain."</w:t>
      </w:r>
    </w:p>
    <w:p w14:paraId="58FA4177" w14:textId="77777777" w:rsidR="00F761A5" w:rsidRPr="00F761A5" w:rsidRDefault="00000000" w:rsidP="00F761A5">
      <w:pPr>
        <w:spacing w:after="240"/>
        <w:rPr>
          <w:lang w:val="en-IN"/>
        </w:rPr>
      </w:pPr>
      <w:r>
        <w:rPr>
          <w:b/>
          <w:bCs/>
        </w:rPr>
        <w:t>Author Response:</w:t>
      </w:r>
      <w:r>
        <w:t xml:space="preserve"> </w:t>
      </w:r>
      <w:r w:rsidR="00F761A5" w:rsidRPr="00F761A5">
        <w:rPr>
          <w:lang w:val="en-IN"/>
        </w:rPr>
        <w:t xml:space="preserve">We sincerely thank the reviewer for this valuable observation. We agree that the complete cardamom supply chain includes multiple stakeholders whose decisions influence transaction flow and repayment outcomes. In the revised manuscript, we have clarified that the EGT component is not intended to represent a full multi-stakeholder </w:t>
      </w:r>
      <w:r w:rsidR="00F761A5" w:rsidRPr="00F761A5">
        <w:rPr>
          <w:lang w:val="en-IN"/>
        </w:rPr>
        <w:lastRenderedPageBreak/>
        <w:t>evolutionary game covering all supply chain actors. Instead, it is used as a focused borrower-screening and APR-support mechanism for the finance layer. Therefore, the EGT mechanism concentrates on the strategic finance relationship between the wholesaler and the financier, because this relationship directly determines finance eligibility, risk premium, APR, repayment obligation, and loan performance.</w:t>
      </w:r>
    </w:p>
    <w:p w14:paraId="13AE4A33" w14:textId="77777777" w:rsidR="00F761A5" w:rsidRPr="00F761A5" w:rsidRDefault="00F761A5" w:rsidP="00F761A5">
      <w:pPr>
        <w:spacing w:after="240"/>
        <w:rPr>
          <w:lang w:val="en-IN"/>
        </w:rPr>
      </w:pPr>
      <w:r w:rsidRPr="00F761A5">
        <w:rPr>
          <w:lang w:val="en-IN"/>
        </w:rPr>
        <w:t>The roles of farmers, auction centres, and retailers/consumers are represented in the blockchain-enabled operational workflow rather than as explicit EGT game players. Farmers participate through produce submission and bid acceptance or rejection; auction centres participate through testing, grading, and auction supervision; and downstream buyers participate through packet purchase and repayment-linked sales events. These actions are recorded on the ledger and indirectly influence the finance outcome, especially repayment status, wholesaler profitability, and borrower score updates. However, they are not modelled as independent strategic players in the EGT layer to keep the finance-policy model focused and computationally tractable.</w:t>
      </w:r>
    </w:p>
    <w:p w14:paraId="20614372" w14:textId="77777777" w:rsidR="00F761A5" w:rsidRPr="00F761A5" w:rsidRDefault="00F761A5" w:rsidP="00F761A5">
      <w:pPr>
        <w:spacing w:after="240"/>
        <w:rPr>
          <w:lang w:val="en-IN"/>
        </w:rPr>
      </w:pPr>
      <w:r w:rsidRPr="00F761A5">
        <w:rPr>
          <w:lang w:val="en-IN"/>
        </w:rPr>
        <w:t>To avoid misunderstanding, the revised manuscript now clearly states the boundary of the EGT model. The EGT layer is limited to borrower-side screening and finance-term adjustment, while the broader stakeholder interactions are handled through the smart contract workflow and simulation environment. We have also added this as a limitation and future research direction, noting that a future extension may develop a full multi-agent evolutionary game including farmers, auction centres, wholesalers, financiers, and downstream buyers.</w:t>
      </w:r>
    </w:p>
    <w:p w14:paraId="4E6539BD" w14:textId="77777777" w:rsidR="00912F49" w:rsidRDefault="00912F49">
      <w:pPr>
        <w:spacing w:after="240"/>
      </w:pPr>
    </w:p>
    <w:p w14:paraId="1C64F2E3" w14:textId="77777777" w:rsidR="00912F49" w:rsidRDefault="00000000">
      <w:pPr>
        <w:spacing w:after="240"/>
      </w:pPr>
      <w:r>
        <w:rPr>
          <w:b/>
        </w:rPr>
        <w:t>Manuscript Revision:</w:t>
      </w:r>
      <w:r>
        <w:t xml:space="preserve"> Highlighted in yellow in Section 4.6 (Experimental Design for Finance Model Selection) (Page 18) and Section 6 (Conclusion) (Page 28).</w:t>
      </w:r>
    </w:p>
    <w:p w14:paraId="67C69F2B" w14:textId="77777777" w:rsidR="00912F49" w:rsidRDefault="00000000">
      <w:pPr>
        <w:spacing w:before="240" w:after="240"/>
        <w:rPr>
          <w:i/>
          <w:iCs/>
        </w:rPr>
      </w:pPr>
      <w:r>
        <w:rPr>
          <w:b/>
        </w:rPr>
        <w:t>Comment 3:</w:t>
      </w:r>
      <w:r>
        <w:t xml:space="preserve"> “The payoff functions of game players are set without sufficient theoretical or empirical justification. The current payoff calculation only considers profit margin and repayment timing, while ignoring core risk factors in agricultural SCF, such as default bad debt losses, commodity price volatility, collateral value fluctuations, and exogenous shocks like natural disasters. The rationality of the payoff function setting is not demonstrated, which further weakens the theoretical validity of the evolutionary model.”</w:t>
      </w:r>
    </w:p>
    <w:p w14:paraId="49D51102" w14:textId="77777777" w:rsidR="00F761A5" w:rsidRPr="00F761A5" w:rsidRDefault="00000000" w:rsidP="00F761A5">
      <w:pPr>
        <w:spacing w:before="240" w:after="240"/>
        <w:rPr>
          <w:lang w:val="en-IN"/>
        </w:rPr>
      </w:pPr>
      <w:r>
        <w:rPr>
          <w:b/>
          <w:bCs/>
        </w:rPr>
        <w:t xml:space="preserve">Author Response: </w:t>
      </w:r>
      <w:r>
        <w:t xml:space="preserve"> </w:t>
      </w:r>
      <w:r w:rsidR="00F761A5" w:rsidRPr="00F761A5">
        <w:rPr>
          <w:lang w:val="en-IN"/>
        </w:rPr>
        <w:t>We sincerely thank the reviewer for this important comment. We agree that agricultural supply chain finance is affected by several risk factors, including default losses, price volatility, collateral-value changes, and external shocks. In the revised manuscript, we have clarified the scope of the payoff function used in the proposed model. The current payoff function is not intended to represent a complete agricultural credit-risk model. Instead, it is designed as an operational finance-performance measure for the implemented simulation and blockchain-linked finance workflow.</w:t>
      </w:r>
    </w:p>
    <w:p w14:paraId="0DFA5225" w14:textId="77777777" w:rsidR="00F761A5" w:rsidRPr="00F761A5" w:rsidRDefault="00F761A5" w:rsidP="00F761A5">
      <w:pPr>
        <w:spacing w:before="240" w:after="240"/>
        <w:rPr>
          <w:lang w:val="en-IN"/>
        </w:rPr>
      </w:pPr>
      <w:r w:rsidRPr="00F761A5">
        <w:rPr>
          <w:lang w:val="en-IN"/>
        </w:rPr>
        <w:t xml:space="preserve">The payoff function focuses on variables that are directly observable from the simulated and ledger-recorded finance transactions, including realised profit, repayment status, repayment timing, overdue behaviour, and default outcome. In the revised model, default-related loss is explicitly recognised through repayment failure, outstanding exposure, penalty accumulation, and financier profit reduction. These variables are used because they can be generated </w:t>
      </w:r>
      <w:r w:rsidRPr="00F761A5">
        <w:rPr>
          <w:lang w:val="en-IN"/>
        </w:rPr>
        <w:lastRenderedPageBreak/>
        <w:t>within the controlled simulation environment and recorded through the finance-request lifecycle. Therefore, the payoff function is transaction-driven and ledger-observable, rather than a full external-risk valuation model.</w:t>
      </w:r>
    </w:p>
    <w:p w14:paraId="572E15CE" w14:textId="77777777" w:rsidR="00F761A5" w:rsidRPr="00F761A5" w:rsidRDefault="00F761A5" w:rsidP="00F761A5">
      <w:pPr>
        <w:spacing w:before="240" w:after="240"/>
        <w:rPr>
          <w:lang w:val="en-IN"/>
        </w:rPr>
      </w:pPr>
      <w:r w:rsidRPr="00F761A5">
        <w:rPr>
          <w:lang w:val="en-IN"/>
        </w:rPr>
        <w:t>We also agree that commodity price volatility, collateral-value fluctuation, and natural-disaster shocks are important in real agricultural SCF. However, these factors require external market and environmental data that are outside the scope of the present implementation. To avoid overstatement, the revised manuscript now clearly states that such factors are not endogenously modelled in the current payoff function. Their exclusion has been added as a limitation, and future work is proposed to extend the payoff function by incorporating market-price volatility, collateral valuation, weather risk, disease risk, and other exogenous agricultural shocks.</w:t>
      </w:r>
    </w:p>
    <w:p w14:paraId="1E075ACD" w14:textId="77777777" w:rsidR="00912F49" w:rsidRDefault="00000000">
      <w:pPr>
        <w:spacing w:before="240" w:after="240"/>
        <w:rPr>
          <w:b/>
          <w:bCs/>
        </w:rPr>
      </w:pPr>
      <w:r>
        <w:rPr>
          <w:b/>
        </w:rPr>
        <w:t>Manuscript Revision:</w:t>
      </w:r>
      <w:r>
        <w:t xml:space="preserve"> Highlighted in yellow in Section 4.6.2 (Reinforcement Learning Formulation) (Page 19).</w:t>
      </w:r>
    </w:p>
    <w:p w14:paraId="1B333195" w14:textId="77777777" w:rsidR="00912F49" w:rsidRDefault="00912F49">
      <w:pPr>
        <w:spacing w:after="240"/>
        <w:rPr>
          <w:b/>
          <w:bCs/>
        </w:rPr>
      </w:pPr>
    </w:p>
    <w:p w14:paraId="1601E312" w14:textId="77777777" w:rsidR="00F761A5" w:rsidRPr="00F761A5" w:rsidRDefault="00000000" w:rsidP="00F761A5">
      <w:pPr>
        <w:spacing w:after="240"/>
        <w:rPr>
          <w:i/>
          <w:iCs/>
        </w:rPr>
      </w:pPr>
      <w:r>
        <w:rPr>
          <w:b/>
        </w:rPr>
        <w:t>Comment 4:</w:t>
      </w:r>
      <w:r>
        <w:t xml:space="preserve"> " The manuscript only presents the simulation results of the proposed EGT-blockchain framework, but does not set up any benchmark control groups for comparative analysis, making it impossible to quantitatively verify the performance advantages and innovation value of the proposed scheme.</w:t>
      </w:r>
    </w:p>
    <w:p w14:paraId="6170D705" w14:textId="77777777" w:rsidR="00F761A5" w:rsidRPr="00F761A5" w:rsidRDefault="00F761A5" w:rsidP="00F761A5">
      <w:pPr>
        <w:spacing w:after="240"/>
        <w:rPr>
          <w:i/>
          <w:iCs/>
        </w:rPr>
      </w:pPr>
      <w:r w:rsidRPr="00F761A5">
        <w:rPr>
          <w:i/>
          <w:iCs/>
        </w:rPr>
        <w:t>To validate the effectiveness of the proposed framework, it is essential to conduct comparative experiments with mainstream baseline schemes in the existing research and practical industry, including but not limited to: (1) The traditional offline auction + static credit SCF mechanism, which represents the status quo of the Indian cardamom supply chain; (2) Blockchain-enabled auction and SCF framework without the EGT-driven adaptive credit mechanism; (3) State-of-the-art agricultural SCF schemes in high-value agricultural scenarios from recent literature.</w:t>
      </w:r>
    </w:p>
    <w:p w14:paraId="40F5BE79" w14:textId="77777777" w:rsidR="00912F49" w:rsidRDefault="00F761A5" w:rsidP="00F761A5">
      <w:pPr>
        <w:spacing w:after="240"/>
        <w:rPr>
          <w:i/>
          <w:iCs/>
        </w:rPr>
      </w:pPr>
      <w:r w:rsidRPr="00F761A5">
        <w:rPr>
          <w:i/>
          <w:iCs/>
        </w:rPr>
        <w:t>Without these comparative experiments, the manuscript cannot quantify the improvement effect of the proposed scheme on core performance indicators, such as the reduction of farmers' payment delay days, the decrease of wholesalers' financing costs, the improvement of repayment compliance rate, the acceleration of system convergence speed, and the reduction of financiers' credit risk. The claimed advantages of the framework are only qualitatively described, without credible quantitative evidence to support them.</w:t>
      </w:r>
      <w:r>
        <w:rPr>
          <w:i/>
          <w:iCs/>
        </w:rPr>
        <w:t xml:space="preserve">" </w:t>
      </w:r>
    </w:p>
    <w:p w14:paraId="2E98F1C3" w14:textId="77777777" w:rsidR="002B50D9" w:rsidRPr="002B50D9" w:rsidRDefault="00000000" w:rsidP="002B50D9">
      <w:pPr>
        <w:spacing w:after="240"/>
        <w:rPr>
          <w:lang w:val="en-IN"/>
        </w:rPr>
      </w:pPr>
      <w:r>
        <w:rPr>
          <w:b/>
          <w:bCs/>
        </w:rPr>
        <w:t xml:space="preserve">Author Response: </w:t>
      </w:r>
      <w:r w:rsidR="002B50D9" w:rsidRPr="002B50D9">
        <w:rPr>
          <w:lang w:val="en-IN"/>
        </w:rPr>
        <w:t>We sincerely thank the reviewer for this valuable and constructive suggestion. We agree that comparative analysis is necessary to demonstrate the performance advantage of the proposed framework. In response, the revised manuscript has been strengthened by adding benchmark control groups for the finance-policy evaluation. The comparison now includes static APR baselines representing a conventional fixed-credit mechanism, adaptive reinforcement learning-based APR selection, borrower-side screening alternatives, and the proposed combined reinforcement learning--Evolutionary Game Theory finance policy.</w:t>
      </w:r>
    </w:p>
    <w:p w14:paraId="3C7F9C75" w14:textId="77777777" w:rsidR="002B50D9" w:rsidRPr="002B50D9" w:rsidRDefault="002B50D9" w:rsidP="002B50D9">
      <w:pPr>
        <w:spacing w:after="240"/>
        <w:rPr>
          <w:lang w:val="en-IN"/>
        </w:rPr>
      </w:pPr>
      <w:r w:rsidRPr="002B50D9">
        <w:rPr>
          <w:lang w:val="en-IN"/>
        </w:rPr>
        <w:t xml:space="preserve">Specifically, the revised experimental design compares the selected adaptive finance model with fixed APR strategies, including fixed 6%, fixed 8%, and fixed 10% finance policies. </w:t>
      </w:r>
      <w:r w:rsidRPr="002B50D9">
        <w:rPr>
          <w:lang w:val="en-IN"/>
        </w:rPr>
        <w:lastRenderedPageBreak/>
        <w:t>These fixed-rate models are used as proxy baselines for traditional static-credit SCF practices, where finance terms do not change dynamically based on borrower repayment behaviour or financier portfolio performance. In addition, the model comparison includes cases without borrower screening, borrower-side reinforcement learning screening, and borrower-side EGT screening. This allows the revised study to isolate the contribution of the adaptive borrower-screening layer and compare the proposed RL--EGT finance policy against non-adaptive and partially adaptive alternatives.</w:t>
      </w:r>
    </w:p>
    <w:p w14:paraId="06A20D73" w14:textId="77777777" w:rsidR="002B50D9" w:rsidRPr="002B50D9" w:rsidRDefault="002B50D9" w:rsidP="002B50D9">
      <w:pPr>
        <w:spacing w:after="240"/>
        <w:rPr>
          <w:lang w:val="en-IN"/>
        </w:rPr>
      </w:pPr>
      <w:r w:rsidRPr="002B50D9">
        <w:rPr>
          <w:lang w:val="en-IN"/>
        </w:rPr>
        <w:t>The revised manuscript also reports scenario-wise comparisons under different capital and default conditions. Initial financier capital and default severity are varied to evaluate whether the proposed strategy remains robust under changing operating conditions. The performance indicators used for comparison include final capital, average system utilisation, and system default ratio. The results show that fixed low-interest finance performs well mainly under zero-default conditions, while adaptive RL- and EGT-based strategies become more effective when default risk is introduced. In particular, the combined RL APR + EGT borrower-screening strategy provides the strongest overall performance across the tested scenarios by balancing financier-side APR adjustment with borrower-side risk treatment.</w:t>
      </w:r>
    </w:p>
    <w:p w14:paraId="11EA9932" w14:textId="77777777" w:rsidR="002B50D9" w:rsidRPr="002B50D9" w:rsidRDefault="002B50D9" w:rsidP="002B50D9">
      <w:pPr>
        <w:spacing w:after="240"/>
        <w:rPr>
          <w:lang w:val="en-IN"/>
        </w:rPr>
      </w:pPr>
      <w:r w:rsidRPr="002B50D9">
        <w:rPr>
          <w:lang w:val="en-IN"/>
        </w:rPr>
        <w:t>We acknowledge that a direct empirical comparison with real offline cardamom auction data and recent industry-scale agricultural SCF platforms is beyond the scope of the current study due to data availability limitations. However, the revised manuscript now explicitly positions the fixed APR/no-screening models as baseline proxies for traditional static-credit mechanisms and adds this limitation in the discussion. Future work will extend the benchmarking by using field-level data from cardamom auctions and by comparing the proposed framework with externally validated agricultural SCF schemes.</w:t>
      </w:r>
    </w:p>
    <w:p w14:paraId="7003D147" w14:textId="77777777" w:rsidR="00912F49" w:rsidRDefault="00912F49">
      <w:pPr>
        <w:spacing w:after="240"/>
      </w:pPr>
    </w:p>
    <w:p w14:paraId="5D8080E2" w14:textId="77777777" w:rsidR="00912F49" w:rsidRDefault="00000000">
      <w:pPr>
        <w:spacing w:after="240"/>
      </w:pPr>
      <w:r>
        <w:rPr>
          <w:b/>
        </w:rPr>
        <w:t>Manuscript Revision:</w:t>
      </w:r>
      <w:r>
        <w:t xml:space="preserve"> Highlighted in yellow in Section 4.6 (Experimental Design for Finance Model Selection) (Page 18), including the finance strategy combinations table, Section 4.6.3 (Experimental Design and Staged Evaluation) (Page 20), and Section 5.2 (Finance Model Selection and Parameter Optimisation) (Page 23).</w:t>
      </w:r>
    </w:p>
    <w:p w14:paraId="25DD541E" w14:textId="77777777" w:rsidR="00912F49" w:rsidRDefault="00000000">
      <w:pPr>
        <w:spacing w:before="240" w:after="240"/>
        <w:rPr>
          <w:i/>
          <w:iCs/>
        </w:rPr>
      </w:pPr>
      <w:r>
        <w:rPr>
          <w:b/>
        </w:rPr>
        <w:t>Comment 5:</w:t>
      </w:r>
      <w:r>
        <w:t xml:space="preserve"> </w:t>
      </w:r>
      <w:proofErr w:type="gramStart"/>
      <w:r>
        <w:t>“ The</w:t>
      </w:r>
      <w:proofErr w:type="gramEnd"/>
      <w:r>
        <w:t xml:space="preserve"> manuscript does not conduct any robustness verification or sensitivity analysis of the proposed model and core parameters, so it cannot prove the stability and generalizability of the framework in complex and volatile real-world agricultural supply chain scenarios.”</w:t>
      </w:r>
    </w:p>
    <w:p w14:paraId="36F0B999" w14:textId="77777777" w:rsidR="009A4524" w:rsidRPr="009A4524" w:rsidRDefault="00000000" w:rsidP="009A4524">
      <w:pPr>
        <w:spacing w:before="240" w:after="240"/>
        <w:rPr>
          <w:lang w:val="en-IN"/>
        </w:rPr>
      </w:pPr>
      <w:r>
        <w:rPr>
          <w:b/>
          <w:bCs/>
        </w:rPr>
        <w:t>Author Response:</w:t>
      </w:r>
      <w:r>
        <w:t xml:space="preserve"> </w:t>
      </w:r>
      <w:r w:rsidR="009A4524" w:rsidRPr="009A4524">
        <w:rPr>
          <w:lang w:val="en-IN"/>
        </w:rPr>
        <w:t>We sincerely thank the reviewer for this important suggestion. We agree that robustness verification and sensitivity analysis are necessary to demonstrate whether the proposed finance framework remains stable under changing operating conditions. In response, the revised manuscript has been strengthened by adding sensitivity analysis at two levels: scenario-level sensitivity analysis and parameter-level sensitivity analysis.</w:t>
      </w:r>
    </w:p>
    <w:p w14:paraId="4C0CECFC" w14:textId="77777777" w:rsidR="009A4524" w:rsidRPr="009A4524" w:rsidRDefault="009A4524" w:rsidP="009A4524">
      <w:pPr>
        <w:spacing w:before="240" w:after="240"/>
        <w:rPr>
          <w:lang w:val="en-IN"/>
        </w:rPr>
      </w:pPr>
      <w:r w:rsidRPr="009A4524">
        <w:rPr>
          <w:lang w:val="en-IN"/>
        </w:rPr>
        <w:t>First, the scenario-level sensitivity analysis varies initial financier capital and default severity. Initial capital is varied across multiple capital levels to evaluate whether the selected finance strategy remains effective under different levels of capital availability. Default severity is varied from zero default to low, medium, and high default scenarios to examine how the finance model responds to increasing repayment risk. The resulting changes are evaluated using final capital, average system utilisation, and system default ratio.</w:t>
      </w:r>
    </w:p>
    <w:p w14:paraId="26EC678D" w14:textId="77777777" w:rsidR="009A4524" w:rsidRPr="009A4524" w:rsidRDefault="009A4524" w:rsidP="009A4524">
      <w:pPr>
        <w:spacing w:before="240" w:after="240"/>
        <w:rPr>
          <w:lang w:val="en-IN"/>
        </w:rPr>
      </w:pPr>
      <w:r w:rsidRPr="009A4524">
        <w:rPr>
          <w:lang w:val="en-IN"/>
        </w:rPr>
        <w:lastRenderedPageBreak/>
        <w:t>Second, an additional parameter-level sensitivity analysis has been included by varying selected core parameters of the adaptive finance model. This analysis examines whether changes in model parameters affect the relative performance of the finance strategies. The parameter variation helps verify that the selected RL APR + EGT borrower-screening model is not effective only under one fixed parameter setting, but remains robust across alternative parameter configurations.</w:t>
      </w:r>
    </w:p>
    <w:p w14:paraId="564D4431" w14:textId="77777777" w:rsidR="009A4524" w:rsidRPr="009A4524" w:rsidRDefault="009A4524" w:rsidP="009A4524">
      <w:pPr>
        <w:spacing w:before="240" w:after="240"/>
        <w:rPr>
          <w:lang w:val="en-IN"/>
        </w:rPr>
      </w:pPr>
      <w:r w:rsidRPr="009A4524">
        <w:rPr>
          <w:lang w:val="en-IN"/>
        </w:rPr>
        <w:t>The revised results show that strategy performance is sensitive to both capital availability and repayment risk. Under zero-default conditions, the fixed 6% APR strategy performs competitively because lower borrowing costs improve borrower acceptance without causing credit losses. However, when default risk is introduced, adaptive strategies, particularly the RL APR + EGT borrower-screening model, perform more robustly than fixed APR baselines. The parameter-level analysis further supports the robustness of the adaptive model by showing that its performance advantage is maintained under variations in core policy parameters. Therefore, final capital, average system utilisation, default ratio, and parameter-response behaviour are interpreted jointly in the revised discussion.</w:t>
      </w:r>
    </w:p>
    <w:p w14:paraId="6D3DFFF0" w14:textId="77777777" w:rsidR="00912F49" w:rsidRDefault="00000000">
      <w:pPr>
        <w:spacing w:before="240" w:after="240"/>
      </w:pPr>
      <w:r>
        <w:rPr>
          <w:b/>
        </w:rPr>
        <w:t>Manuscript Revision:</w:t>
      </w:r>
      <w:r>
        <w:t xml:space="preserve"> Highlighted in yellow in Section 5.2.1 (Final Combined Performance and Sensitivity Analysis) (Page 25).</w:t>
      </w:r>
    </w:p>
    <w:p w14:paraId="7E9088DA" w14:textId="77777777" w:rsidR="00912F49" w:rsidRDefault="00912F49"/>
    <w:p w14:paraId="09DF1E57" w14:textId="77777777" w:rsidR="00912F49" w:rsidRDefault="00912F49">
      <w:pPr>
        <w:spacing w:before="240" w:after="240"/>
        <w:rPr>
          <w:b/>
          <w:bCs/>
        </w:rPr>
      </w:pPr>
    </w:p>
    <w:p w14:paraId="4F9BAEEB" w14:textId="77777777" w:rsidR="00912F49" w:rsidRDefault="00912F49">
      <w:pPr>
        <w:spacing w:before="240" w:after="240"/>
        <w:rPr>
          <w:b/>
          <w:bCs/>
        </w:rPr>
      </w:pPr>
    </w:p>
    <w:p w14:paraId="229259DF" w14:textId="77777777" w:rsidR="009A4524" w:rsidRDefault="00000000" w:rsidP="009A4524">
      <w:pPr>
        <w:spacing w:before="240" w:after="240"/>
        <w:rPr>
          <w:i/>
          <w:iCs/>
        </w:rPr>
      </w:pPr>
      <w:r>
        <w:rPr>
          <w:b/>
        </w:rPr>
        <w:t>Comment 6:</w:t>
      </w:r>
      <w:r>
        <w:t xml:space="preserve"> “The abstract lacks key quantitative results from the simulation experiments, such as the variation range of credit scores, the adjustment magnitude of financing parameters, and the convergence cycle of the system, which reduces the informativeness of the abstract.</w:t>
      </w:r>
    </w:p>
    <w:p w14:paraId="638E7416" w14:textId="77777777" w:rsidR="009A4524" w:rsidRPr="009A4524" w:rsidRDefault="00000000" w:rsidP="009A4524">
      <w:pPr>
        <w:spacing w:before="240" w:after="240"/>
        <w:rPr>
          <w:lang w:val="en-IN"/>
        </w:rPr>
      </w:pPr>
      <w:r>
        <w:rPr>
          <w:b/>
          <w:bCs/>
        </w:rPr>
        <w:t>Author Response:</w:t>
      </w:r>
      <w:r>
        <w:t xml:space="preserve"> </w:t>
      </w:r>
      <w:r w:rsidR="009A4524" w:rsidRPr="009A4524">
        <w:rPr>
          <w:lang w:val="en-IN"/>
        </w:rPr>
        <w:t>We sincerely thank the reviewer for this helpful suggestion. We agree that the abstract should present the main quantitative findings more clearly. In the revised manuscript, the abstract has been updated to include key numerical results from the simulation and benchmarking experiments. However, since the revised model does not claim formal system convergence, we have avoided using the term “convergence cycle” in the abstract. Instead, we report the observed changes in finance-model performance across the tested scenarios and describe the adaptive screening and APR-adjustment behaviour in terms of measurable simulation outcomes.</w:t>
      </w:r>
    </w:p>
    <w:p w14:paraId="6B08530C" w14:textId="77777777" w:rsidR="009A4524" w:rsidRPr="009A4524" w:rsidRDefault="009A4524" w:rsidP="009A4524">
      <w:pPr>
        <w:spacing w:before="240" w:after="240"/>
        <w:rPr>
          <w:lang w:val="en-IN"/>
        </w:rPr>
      </w:pPr>
      <w:r w:rsidRPr="009A4524">
        <w:rPr>
          <w:lang w:val="en-IN"/>
        </w:rPr>
        <w:t>The revised abstract now includes quantitative findings related to finance-strategy performance, including final capital, average system utilisation, and system default ratio. It also highlights that fixed 6% APR performs competitively only under zero-default conditions, whereas the adaptive RL APR + EGT borrower-screening model performs more robustly when default risk is introduced. This improves the informativeness of the abstract while keeping the claims consistent with the revised scope of the model.</w:t>
      </w:r>
    </w:p>
    <w:p w14:paraId="3966D225" w14:textId="77777777" w:rsidR="00912F49" w:rsidRDefault="00000000">
      <w:pPr>
        <w:spacing w:before="240" w:after="240"/>
      </w:pPr>
      <w:r>
        <w:rPr>
          <w:b/>
        </w:rPr>
        <w:t>Manuscript Revision:</w:t>
      </w:r>
      <w:r>
        <w:t xml:space="preserve"> Highlighted in yellow in Abstract (Page 1).</w:t>
      </w:r>
    </w:p>
    <w:p w14:paraId="3898A6BD" w14:textId="77777777" w:rsidR="00912F49" w:rsidRDefault="00912F49">
      <w:pPr>
        <w:spacing w:after="240"/>
      </w:pPr>
    </w:p>
    <w:p w14:paraId="53417D92" w14:textId="77777777" w:rsidR="00912F49" w:rsidRDefault="00912F49">
      <w:pPr>
        <w:spacing w:after="240"/>
      </w:pPr>
    </w:p>
    <w:p w14:paraId="127B2CDF" w14:textId="77777777" w:rsidR="00912F49" w:rsidRDefault="00000000">
      <w:r>
        <w:pict w14:anchorId="4B1D22D8">
          <v:rect id="_x0000_i1027" style="width:0;height:1.5pt" o:hralign="center" o:hrstd="t" o:hr="t" fillcolor="#a0a0a0" stroked="f"/>
        </w:pict>
      </w:r>
    </w:p>
    <w:p w14:paraId="1A7530E5" w14:textId="77777777" w:rsidR="00912F49" w:rsidRDefault="00912F49"/>
    <w:p w14:paraId="1CE1786B" w14:textId="77777777" w:rsidR="00912F49" w:rsidRDefault="00912F49">
      <w:pPr>
        <w:rPr>
          <w:b/>
          <w:bCs/>
          <w:sz w:val="26"/>
          <w:szCs w:val="26"/>
        </w:rPr>
      </w:pPr>
    </w:p>
    <w:p w14:paraId="10D54F54" w14:textId="77777777" w:rsidR="00912F49" w:rsidRDefault="00912F49">
      <w:pPr>
        <w:rPr>
          <w:b/>
          <w:bCs/>
          <w:sz w:val="26"/>
          <w:szCs w:val="26"/>
        </w:rPr>
      </w:pPr>
    </w:p>
    <w:p w14:paraId="625114AB" w14:textId="77777777" w:rsidR="00912F49" w:rsidRDefault="00912F49"/>
    <w:p w14:paraId="5B92C514" w14:textId="77777777" w:rsidR="00912F49" w:rsidRDefault="00912F49"/>
    <w:p w14:paraId="289F6BC1" w14:textId="77777777" w:rsidR="00912F49" w:rsidRDefault="00912F49">
      <w:pPr>
        <w:pStyle w:val="Heading3"/>
        <w:keepNext w:val="0"/>
        <w:keepLines w:val="0"/>
        <w:spacing w:before="0"/>
        <w:rPr>
          <w:b/>
          <w:bCs/>
          <w:color w:val="000000"/>
          <w:sz w:val="26"/>
          <w:szCs w:val="26"/>
        </w:rPr>
      </w:pPr>
      <w:bookmarkStart w:id="4" w:name="_rnfx7wkmmrdh" w:colFirst="0" w:colLast="0"/>
      <w:bookmarkEnd w:id="4"/>
    </w:p>
    <w:p w14:paraId="06F59CA4" w14:textId="77777777" w:rsidR="00912F49" w:rsidRDefault="00000000">
      <w:pPr>
        <w:pStyle w:val="Heading3"/>
        <w:keepNext w:val="0"/>
        <w:keepLines w:val="0"/>
        <w:spacing w:before="0"/>
        <w:rPr>
          <w:b/>
          <w:bCs/>
          <w:color w:val="000000"/>
          <w:sz w:val="26"/>
          <w:szCs w:val="26"/>
        </w:rPr>
      </w:pPr>
      <w:bookmarkStart w:id="5" w:name="_p43wkaz6zrre" w:colFirst="0" w:colLast="0"/>
      <w:bookmarkEnd w:id="5"/>
      <w:r>
        <w:rPr>
          <w:b/>
          <w:bCs/>
          <w:color w:val="000000"/>
          <w:sz w:val="26"/>
          <w:szCs w:val="26"/>
        </w:rPr>
        <w:t xml:space="preserve">Reviewer </w:t>
      </w:r>
      <w:r w:rsidR="00683FAD">
        <w:rPr>
          <w:b/>
          <w:bCs/>
          <w:color w:val="000000"/>
          <w:sz w:val="26"/>
          <w:szCs w:val="26"/>
        </w:rPr>
        <w:t>2</w:t>
      </w:r>
    </w:p>
    <w:p w14:paraId="1786E4AC" w14:textId="77777777" w:rsidR="00912F49" w:rsidRDefault="00000000">
      <w:pPr>
        <w:spacing w:before="240" w:after="240"/>
        <w:rPr>
          <w:i/>
          <w:iCs/>
        </w:rPr>
      </w:pPr>
      <w:r>
        <w:rPr>
          <w:b/>
        </w:rPr>
        <w:t>Comment 1:</w:t>
      </w:r>
      <w:r>
        <w:t xml:space="preserve"> “The manuscript addresses an important and practically relevant problem in the Indian cardamom supply chain, namely delayed payments to farmers, liquidity constraints faced by wholesalers, opaque auction practices, and the absence of a real-time credit evaluation mechanism. By integrating Hyperledger Fabric with an Evolutionary Game Theory (EGT)-driven adaptive supply chain finance framework, the paper proposes a unified architecture that combines traceability, auction management, financing, repayment, and downstream retail transactions within a single blockchain-enabled ecosystem. This is a timely and potentially valuable topic, and the attempt to connect behavioral credit evolution with smart-contract-based financial adjustment is conceptually interesting. The manuscript is also generally well organized, with a clear progression from motivation and related work to architecture, chaincode logic, and simulation results. In its current form, however, the paper still requires substantial revision before it can be considered for publication.”</w:t>
      </w:r>
    </w:p>
    <w:p w14:paraId="2CFF4A97" w14:textId="77777777" w:rsidR="00683FAD" w:rsidRPr="00683FAD" w:rsidRDefault="00000000" w:rsidP="00683FAD">
      <w:pPr>
        <w:spacing w:before="240" w:after="240"/>
        <w:rPr>
          <w:lang w:val="en-IN"/>
        </w:rPr>
      </w:pPr>
      <w:r>
        <w:rPr>
          <w:b/>
          <w:bCs/>
        </w:rPr>
        <w:t xml:space="preserve">Author Response: </w:t>
      </w:r>
      <w:r w:rsidR="00683FAD" w:rsidRPr="00683FAD">
        <w:rPr>
          <w:lang w:val="en-IN"/>
        </w:rPr>
        <w:t>We sincerely thank the reviewer for the positive assessment of the practical relevance, organization, and conceptual contribution of the manuscript. We are encouraged that the reviewer recognized the importance of addressing delayed farmer payments, wholesaler liquidity constraints, auction opacity, and the absence of real-time credit evaluation in the cardamom supply chain.</w:t>
      </w:r>
    </w:p>
    <w:p w14:paraId="58DD4DDC" w14:textId="77777777" w:rsidR="00683FAD" w:rsidRPr="00683FAD" w:rsidRDefault="00683FAD" w:rsidP="00683FAD">
      <w:pPr>
        <w:spacing w:before="240" w:after="240"/>
        <w:rPr>
          <w:lang w:val="en-IN"/>
        </w:rPr>
      </w:pPr>
      <w:r w:rsidRPr="00683FAD">
        <w:rPr>
          <w:lang w:val="en-IN"/>
        </w:rPr>
        <w:t xml:space="preserve">In response to the reviewer’s observation that the manuscript required substantial revision, we have comprehensively revised the paper to strengthen its theoretical, methodological, experimental, and system-level contributions. Specifically, the revised manuscript now provides a clearer positioning of the proposed framework, expands the explanation of the adaptive finance mechanism, and distinguishes the roles of Hyperledger Fabric, reinforcement learning-based APR determination, and EGT-based borrower screening. We have also added comparative baseline experiments, sensitivity analysis across different capital levels and default-severity conditions, and Hyperledger </w:t>
      </w:r>
      <w:proofErr w:type="spellStart"/>
      <w:r w:rsidRPr="00683FAD">
        <w:rPr>
          <w:lang w:val="en-IN"/>
        </w:rPr>
        <w:t>Caliper</w:t>
      </w:r>
      <w:proofErr w:type="spellEnd"/>
      <w:r w:rsidRPr="00683FAD">
        <w:rPr>
          <w:lang w:val="en-IN"/>
        </w:rPr>
        <w:t xml:space="preserve"> benchmarking to evaluate the technical feasibility of the blockchain implementation. In addition, the abstract, research gaps, contributions, experimental design, results discussion, and limitations have been revised to improve clarity and better communicate the novelty and scope of the work.</w:t>
      </w:r>
    </w:p>
    <w:p w14:paraId="3D00C3F1" w14:textId="77777777" w:rsidR="00683FAD" w:rsidRPr="00683FAD" w:rsidRDefault="00683FAD" w:rsidP="00683FAD">
      <w:pPr>
        <w:spacing w:before="240" w:after="240"/>
        <w:rPr>
          <w:lang w:val="en-IN"/>
        </w:rPr>
      </w:pPr>
      <w:r w:rsidRPr="00683FAD">
        <w:rPr>
          <w:lang w:val="en-IN"/>
        </w:rPr>
        <w:t>The manuscript has been substantially revised throughout to address the reviewer’s overall concern. The major revisions include:</w:t>
      </w:r>
    </w:p>
    <w:p w14:paraId="6169D847" w14:textId="77777777" w:rsidR="00683FAD" w:rsidRPr="00683FAD" w:rsidRDefault="00683FAD" w:rsidP="00683FAD">
      <w:pPr>
        <w:numPr>
          <w:ilvl w:val="0"/>
          <w:numId w:val="2"/>
        </w:numPr>
        <w:spacing w:before="240" w:after="240"/>
        <w:rPr>
          <w:lang w:val="en-IN"/>
        </w:rPr>
      </w:pPr>
      <w:r w:rsidRPr="00683FAD">
        <w:rPr>
          <w:lang w:val="en-IN"/>
        </w:rPr>
        <w:lastRenderedPageBreak/>
        <w:t xml:space="preserve">The abstract has been rewritten to include the adaptive RL–EGT finance mechanism and key quantitative results from the simulation experiments. </w:t>
      </w:r>
    </w:p>
    <w:p w14:paraId="349B12EE" w14:textId="77777777" w:rsidR="00683FAD" w:rsidRPr="00683FAD" w:rsidRDefault="00683FAD" w:rsidP="00683FAD">
      <w:pPr>
        <w:numPr>
          <w:ilvl w:val="0"/>
          <w:numId w:val="2"/>
        </w:numPr>
        <w:spacing w:before="240" w:after="240"/>
        <w:rPr>
          <w:lang w:val="en-IN"/>
        </w:rPr>
      </w:pPr>
      <w:r w:rsidRPr="00683FAD">
        <w:rPr>
          <w:lang w:val="en-IN"/>
        </w:rPr>
        <w:t xml:space="preserve">The research gap and contribution sections have been revised to clarify the novelty of integrating blockchain-based auction settlement, adaptive APR determination, EGT-based borrower screening, and repayment-linked supply chain finance. </w:t>
      </w:r>
    </w:p>
    <w:p w14:paraId="3C3206F5" w14:textId="77777777" w:rsidR="00683FAD" w:rsidRPr="00683FAD" w:rsidRDefault="00683FAD" w:rsidP="00683FAD">
      <w:pPr>
        <w:numPr>
          <w:ilvl w:val="0"/>
          <w:numId w:val="2"/>
        </w:numPr>
        <w:spacing w:before="240" w:after="240"/>
        <w:rPr>
          <w:lang w:val="en-IN"/>
        </w:rPr>
      </w:pPr>
      <w:r w:rsidRPr="00683FAD">
        <w:rPr>
          <w:lang w:val="en-IN"/>
        </w:rPr>
        <w:t xml:space="preserve">The methodology section has been expanded to explain the staged finance model-selection process, including RL-based APR determination, borrower-side EGT screening, APR bounds, risk-premium bounds, and the final offered APR formula. </w:t>
      </w:r>
    </w:p>
    <w:p w14:paraId="6641BE51" w14:textId="77777777" w:rsidR="00683FAD" w:rsidRPr="00683FAD" w:rsidRDefault="00683FAD" w:rsidP="00683FAD">
      <w:pPr>
        <w:numPr>
          <w:ilvl w:val="0"/>
          <w:numId w:val="2"/>
        </w:numPr>
        <w:spacing w:before="240" w:after="240"/>
        <w:rPr>
          <w:lang w:val="en-IN"/>
        </w:rPr>
      </w:pPr>
      <w:r w:rsidRPr="00683FAD">
        <w:rPr>
          <w:lang w:val="en-IN"/>
        </w:rPr>
        <w:t xml:space="preserve">New comparative experiments have been added against fixed APR baselines, RL APR without borrower screening, and RL APR with RL-based borrower screening. </w:t>
      </w:r>
    </w:p>
    <w:p w14:paraId="032F170D" w14:textId="77777777" w:rsidR="00683FAD" w:rsidRPr="00683FAD" w:rsidRDefault="00683FAD" w:rsidP="00683FAD">
      <w:pPr>
        <w:numPr>
          <w:ilvl w:val="0"/>
          <w:numId w:val="2"/>
        </w:numPr>
        <w:spacing w:before="240" w:after="240"/>
        <w:rPr>
          <w:lang w:val="en-IN"/>
        </w:rPr>
      </w:pPr>
      <w:r w:rsidRPr="00683FAD">
        <w:rPr>
          <w:lang w:val="en-IN"/>
        </w:rPr>
        <w:t xml:space="preserve">Sensitivity and robustness analysis has been included across different capital levels and default-severity scenarios. </w:t>
      </w:r>
    </w:p>
    <w:p w14:paraId="4093F73C" w14:textId="77777777" w:rsidR="00683FAD" w:rsidRPr="00683FAD" w:rsidRDefault="00683FAD" w:rsidP="00683FAD">
      <w:pPr>
        <w:numPr>
          <w:ilvl w:val="0"/>
          <w:numId w:val="2"/>
        </w:numPr>
        <w:spacing w:before="240" w:after="240"/>
        <w:rPr>
          <w:lang w:val="en-IN"/>
        </w:rPr>
      </w:pPr>
      <w:r w:rsidRPr="00683FAD">
        <w:rPr>
          <w:lang w:val="en-IN"/>
        </w:rPr>
        <w:t xml:space="preserve">Hyperledger </w:t>
      </w:r>
      <w:proofErr w:type="spellStart"/>
      <w:r w:rsidRPr="00683FAD">
        <w:rPr>
          <w:lang w:val="en-IN"/>
        </w:rPr>
        <w:t>Caliper</w:t>
      </w:r>
      <w:proofErr w:type="spellEnd"/>
      <w:r w:rsidRPr="00683FAD">
        <w:rPr>
          <w:lang w:val="en-IN"/>
        </w:rPr>
        <w:t xml:space="preserve"> benchmarking results have been added to evaluate the performance feasibility of the smart-contract workloads. </w:t>
      </w:r>
    </w:p>
    <w:p w14:paraId="07808468" w14:textId="77777777" w:rsidR="00683FAD" w:rsidRPr="00683FAD" w:rsidRDefault="00683FAD" w:rsidP="00683FAD">
      <w:pPr>
        <w:numPr>
          <w:ilvl w:val="0"/>
          <w:numId w:val="2"/>
        </w:numPr>
        <w:spacing w:before="240" w:after="240"/>
        <w:rPr>
          <w:lang w:val="en-IN"/>
        </w:rPr>
      </w:pPr>
      <w:r w:rsidRPr="00683FAD">
        <w:rPr>
          <w:lang w:val="en-IN"/>
        </w:rPr>
        <w:t>The results and discussion section has been revised to interpret how the proposed RL APR + EGT borrower-screening model improves capital performance, borrower differentiation, and repayment-risk control across varying capital environments and default conditions.</w:t>
      </w:r>
    </w:p>
    <w:p w14:paraId="68643876" w14:textId="77777777" w:rsidR="00683FAD" w:rsidRPr="00683FAD" w:rsidRDefault="00683FAD" w:rsidP="00683FAD">
      <w:pPr>
        <w:spacing w:after="240"/>
      </w:pPr>
      <w:r>
        <w:rPr>
          <w:b/>
        </w:rPr>
        <w:t>Manuscript Revision:</w:t>
      </w:r>
      <w:r>
        <w:t xml:space="preserve"> Highlighted in green (or yellow where common) in Section 3 (Research Gaps in Adaptive Blockchain-Enabled Supply Chain Finance) (Page 7), last paragraph of Section 3 (Contributions) (Page 7), Section 4.6 (Experimental Design for Finance Model Selection) (Page 18), Section 4.7 (Blockchain Benchmarking Setup) (Page 21), and Section 5 (Results and Discussion) (Page 22).</w:t>
      </w:r>
    </w:p>
    <w:p w14:paraId="67D6E6EC" w14:textId="77777777" w:rsidR="00912F49" w:rsidRDefault="00912F49">
      <w:pPr>
        <w:spacing w:before="240" w:after="240"/>
      </w:pPr>
    </w:p>
    <w:p w14:paraId="3A65E6B1" w14:textId="77777777" w:rsidR="00912F49" w:rsidRDefault="00912F49"/>
    <w:p w14:paraId="724FF0E9" w14:textId="77777777" w:rsidR="00912F49" w:rsidRDefault="00000000">
      <w:pPr>
        <w:spacing w:before="240" w:after="240"/>
      </w:pPr>
      <w:r>
        <w:rPr>
          <w:b/>
        </w:rPr>
        <w:t>Comment 2:</w:t>
      </w:r>
    </w:p>
    <w:p w14:paraId="7FDA07F6" w14:textId="77777777" w:rsidR="00912F49" w:rsidRDefault="00000000">
      <w:proofErr w:type="gramStart"/>
      <w:r>
        <w:t xml:space="preserve">“ </w:t>
      </w:r>
      <w:r w:rsidR="000B5C88" w:rsidRPr="000B5C88">
        <w:rPr>
          <w:i/>
          <w:iCs/>
        </w:rPr>
        <w:t>The</w:t>
      </w:r>
      <w:proofErr w:type="gramEnd"/>
      <w:r w:rsidR="000B5C88" w:rsidRPr="000B5C88">
        <w:rPr>
          <w:i/>
          <w:iCs/>
        </w:rPr>
        <w:t xml:space="preserve"> most noteworthy contribution of the paper lies in its effort to move EGT beyond a purely analytical framework and embed it directly into on-chain financial decision-making. The idea of updating participant scores after each financing cycle and then using those scores to adjust APR, tenor, and loan-to-value terms is innovative and distinguishes the work from many blockchain-based supply chain studies that focus only on traceability or transaction recording. That said, the theoretical grounding of this mechanism remains insufficiently developed. The payoff construction appears largely heuristic, especially the clamping of realized profit percentages into a bounded interval and the use of a timing factor for financier payoffs. While these choices may improve numerical stability, the manuscript does not adequately justify them from either an economic or mathematical perspective. Similarly, the combination of replicator dynamics with a logit-sigmoid transformation is presented as a stabilizing device, but the paper does not explain why this formulation is preferable to other adaptive scoring or learning approaches, such as Bayesian updating, </w:t>
      </w:r>
      <w:r w:rsidR="000B5C88" w:rsidRPr="000B5C88">
        <w:rPr>
          <w:i/>
          <w:iCs/>
        </w:rPr>
        <w:lastRenderedPageBreak/>
        <w:t>reinforcement learning, or more conventional dynamic credit risk models. As a result, the proposed update mechanism is operationally described, but not yet convincingly established as theoretically well founded</w:t>
      </w:r>
      <w:r>
        <w:t xml:space="preserve">” </w:t>
      </w:r>
    </w:p>
    <w:p w14:paraId="6A70692B" w14:textId="77777777" w:rsidR="00912F49" w:rsidRDefault="00912F49">
      <w:pPr>
        <w:spacing w:before="240" w:after="240"/>
        <w:rPr>
          <w:i/>
          <w:iCs/>
        </w:rPr>
      </w:pPr>
    </w:p>
    <w:p w14:paraId="757F79C0" w14:textId="77777777" w:rsidR="00683FAD" w:rsidRPr="00683FAD" w:rsidRDefault="00000000" w:rsidP="00683FAD">
      <w:pPr>
        <w:spacing w:before="240" w:after="240"/>
        <w:rPr>
          <w:lang w:val="en-IN"/>
        </w:rPr>
      </w:pPr>
      <w:r>
        <w:rPr>
          <w:b/>
          <w:bCs/>
        </w:rPr>
        <w:t xml:space="preserve">Author </w:t>
      </w:r>
      <w:proofErr w:type="gramStart"/>
      <w:r>
        <w:rPr>
          <w:b/>
          <w:bCs/>
        </w:rPr>
        <w:t>Response:</w:t>
      </w:r>
      <w:r>
        <w:t>.</w:t>
      </w:r>
      <w:proofErr w:type="gramEnd"/>
      <w:r w:rsidR="00683FAD" w:rsidRPr="00683FAD">
        <w:rPr>
          <w:rFonts w:ascii="Times New Roman" w:eastAsia="Times New Roman" w:hAnsi="Times New Roman" w:cs="Times New Roman"/>
          <w:sz w:val="24"/>
          <w:szCs w:val="24"/>
          <w:lang w:val="en-IN"/>
        </w:rPr>
        <w:t xml:space="preserve"> </w:t>
      </w:r>
      <w:r w:rsidR="00683FAD" w:rsidRPr="00683FAD">
        <w:rPr>
          <w:lang w:val="en-IN"/>
        </w:rPr>
        <w:t>We sincerely thank the reviewer for identifying the adaptive EGT-based financial decision mechanism as one of the main contributions of the study. We agree that the previous version described the scoring and policy-update mechanism mainly from an operational perspective and did not sufficiently justify the payoff construction, reward normalisation, and choice of the logit-sigmoid EGT update rule.</w:t>
      </w:r>
    </w:p>
    <w:p w14:paraId="366EA081" w14:textId="77777777" w:rsidR="00683FAD" w:rsidRPr="00683FAD" w:rsidRDefault="00683FAD" w:rsidP="00683FAD">
      <w:pPr>
        <w:spacing w:before="240" w:after="240"/>
        <w:rPr>
          <w:lang w:val="en-IN"/>
        </w:rPr>
      </w:pPr>
      <w:r w:rsidRPr="00683FAD">
        <w:rPr>
          <w:lang w:val="en-IN"/>
        </w:rPr>
        <w:t>In the revised manuscript, we have clarified that the proposed mechanism is not intended as a closed-form theoretical ESS proof, but as an operational adaptive screening mechanism embedded within a blockchain-enabled supply chain finance workflow. The EGT component is used to model the behavioural evolution of borrower reliability from repeated financing outcomes, while the RL component is used separately for financier-side APR selection. We have revised the methodology to explain the economic meaning of the payoff terms, where realised interest and penalty income increase financier payoff, while default losses reduce it. The normalisation and bounded transformation of payoff values have been justified as necessary to prevent large loans from dominating the learning process and to maintain comparability across heterogeneous loan sizes.</w:t>
      </w:r>
    </w:p>
    <w:p w14:paraId="4D10421D" w14:textId="77777777" w:rsidR="00912F49" w:rsidRDefault="008A1851">
      <w:pPr>
        <w:spacing w:before="240" w:after="240"/>
      </w:pPr>
      <w:r>
        <w:t>We have also clarified the role of the logit-sigmoid update. The logit transformation allows score adjustment in an unconstrained latent space, while the sigmoid mapping ensures that the resulting borrower score remains within the interpretable interval [0, 1]. This makes the score suitable for conversion into borrower-specific risk premiums and avoids unstable score jumps outside the feasible screening range. In addition, to avoid presenting the selected EGT formulation as an arbitrary modelling choice, we evaluated multiple borrower-side EGT update variants, including regular EGT, Fermi update, linear reinforcement, best-response update, replicator dynamics, and polynomial update. The regular logit-sigmoid EGT formulation was retained because it produced the strongest and most stable performance within the EGT family. To address the reviewer’s concern regarding alternative adaptive methods, we further benchmarked the selected RL APR + EGT borrower-screening model against RL APR without borrower screening, RL APR with RL-based borrower screening, and fixed APR baselines. The results show that the selected RL APR + EGT screening model performs better in terms of aggregate final capital, default-risk control, and scenario-level robustness, particularly under repayment-stress conditions.</w:t>
      </w:r>
    </w:p>
    <w:p w14:paraId="03C536CB" w14:textId="77777777" w:rsidR="00912F49" w:rsidRPr="008A1851" w:rsidRDefault="008A1851">
      <w:r>
        <w:rPr>
          <w:b/>
        </w:rPr>
        <w:t>Manuscript Revision:</w:t>
      </w:r>
      <w:r>
        <w:t xml:space="preserve"> Highlighted in green (or yellow where common) in Section 4.6 (Experimental Design for Finance Model Selection) (Page 18), Section 4.6.3 (Experimental Design and Staged Evaluation) (Page 20), and Section 5.2 (Finance Model Selection and Parameter Optimisation) (Page 23).</w:t>
      </w:r>
    </w:p>
    <w:p w14:paraId="3FD3BE92" w14:textId="77777777" w:rsidR="00912F49" w:rsidRDefault="00912F49"/>
    <w:p w14:paraId="3942C30D" w14:textId="77777777" w:rsidR="00912F49" w:rsidRDefault="00000000">
      <w:pPr>
        <w:spacing w:after="240"/>
        <w:rPr>
          <w:i/>
          <w:iCs/>
        </w:rPr>
      </w:pPr>
      <w:r>
        <w:rPr>
          <w:b/>
        </w:rPr>
        <w:t>Comment 3:</w:t>
      </w:r>
      <w:r>
        <w:t xml:space="preserve"> " A major limitation of the paper is that the empirical validation remains confined to a highly controlled simulation environment. The experiments demonstrate that the proposed mechanism can generate differentiated trajectories for early-paying, on-time, and delayed wholesalers, but the simulation is constructed using deterministic assumptions regarding the number of agents, auction pricing, markup policies, and behavioral offsets. </w:t>
      </w:r>
      <w:r>
        <w:lastRenderedPageBreak/>
        <w:t>Under such settings, the observed separation in credit scores and financing terms is not surprising. Consequently, the results are better interpreted as a proof of concept than as strong evidence of robustness or real-world effectiveness. The current version does not incorporate demand volatility, auction uncertainty, stochastic repayment behavior, heterogeneous risk preferences, fluctuating commodity prices, or competition among multiple financiers. Without such complexity, it is difficult to assess whether the system would remain stable and useful in realistic deployment conditions. At minimum, the paper would benefit from sensitivity analysis on core parameters such as the learning rate, smoothing factor, APR bounds, penalty bounds, default frequency, and repayment timing distributions. “</w:t>
      </w:r>
    </w:p>
    <w:p w14:paraId="5141A5A9" w14:textId="77777777" w:rsidR="00912F49" w:rsidRDefault="00912F49">
      <w:pPr>
        <w:spacing w:after="240"/>
        <w:rPr>
          <w:i/>
          <w:iCs/>
        </w:rPr>
      </w:pPr>
    </w:p>
    <w:p w14:paraId="5E7D195D" w14:textId="77777777" w:rsidR="008A1851" w:rsidRPr="008A1851" w:rsidRDefault="00000000" w:rsidP="008A1851">
      <w:pPr>
        <w:spacing w:after="240"/>
        <w:rPr>
          <w:lang w:val="en-IN"/>
        </w:rPr>
      </w:pPr>
      <w:r>
        <w:rPr>
          <w:b/>
          <w:bCs/>
        </w:rPr>
        <w:t>Author Response:</w:t>
      </w:r>
      <w:r>
        <w:t xml:space="preserve"> </w:t>
      </w:r>
      <w:r w:rsidR="008A1851" w:rsidRPr="008A1851">
        <w:rPr>
          <w:lang w:val="en-IN"/>
        </w:rPr>
        <w:t>We sincerely thank the reviewer for this valuable comment. We agree that the previous version relied on a controlled simulation setting and did not sufficiently demonstrate whether the proposed adaptive finance mechanism remains stable under changing operating conditions. In response, we have added a sensitivity analysis and expanded the experimental design to evaluate the model under different capital environments and repayment-risk conditions.</w:t>
      </w:r>
    </w:p>
    <w:p w14:paraId="0042DDE1" w14:textId="77777777" w:rsidR="008A1851" w:rsidRPr="008A1851" w:rsidRDefault="008A1851" w:rsidP="008A1851">
      <w:pPr>
        <w:spacing w:after="240"/>
        <w:rPr>
          <w:lang w:val="en-IN"/>
        </w:rPr>
      </w:pPr>
      <w:r w:rsidRPr="008A1851">
        <w:rPr>
          <w:lang w:val="en-IN"/>
        </w:rPr>
        <w:t>The revised manuscript now evaluates the finance strategies across three capital levels, four default-severity scenarios, and three random seeds. The default scenarios introduce heterogeneous wholesaler risk profiles through no-shock, medium-shock, and high-shock borrower groups, thereby allowing the model to be tested under increasing repayment stress. The sensitivity analysis examines how strategy performance changes with capital availability and default severity, using final capital, average utilisation, default exposure, and scenario-level winning performance as evaluation indicators.</w:t>
      </w:r>
    </w:p>
    <w:p w14:paraId="2046B318" w14:textId="77777777" w:rsidR="008A1851" w:rsidRPr="008A1851" w:rsidRDefault="008A1851" w:rsidP="008A1851">
      <w:pPr>
        <w:spacing w:after="240"/>
        <w:rPr>
          <w:lang w:val="en-IN"/>
        </w:rPr>
      </w:pPr>
      <w:r w:rsidRPr="008A1851">
        <w:rPr>
          <w:lang w:val="en-IN"/>
        </w:rPr>
        <w:t>We have also added comparative baselines, including fixed APR models, RL APR without borrower screening, RL APR with RL-based borrower screening, and RL APR with EGT-based borrower screening. In addition, the revised manuscript reports parameter optimisation for the RL and EGT components, including APR bounds, risk-premium bounds, learning rates, smoothing factors, and EGT sensitivity settings. These revisions strengthen the empirical validation by showing that the selected RL APR + EGT borrower-screening model remains effective across different capital levels and default-risk conditions.</w:t>
      </w:r>
    </w:p>
    <w:p w14:paraId="53515598" w14:textId="77777777" w:rsidR="008A1851" w:rsidRPr="008A1851" w:rsidRDefault="008A1851" w:rsidP="008A1851">
      <w:pPr>
        <w:spacing w:after="240"/>
        <w:rPr>
          <w:lang w:val="en-IN"/>
        </w:rPr>
      </w:pPr>
      <w:r w:rsidRPr="008A1851">
        <w:rPr>
          <w:lang w:val="en-IN"/>
        </w:rPr>
        <w:t>At the same time, we acknowledge that the simulation does not yet capture all real-world uncertainties, such as demand volatility, commodity price fluctuation, and heterogeneous risk preferences. These limitations have been explicitly discussed in the revised manuscript and identified as directions for future research.</w:t>
      </w:r>
    </w:p>
    <w:p w14:paraId="724D8115" w14:textId="77777777" w:rsidR="008A1851" w:rsidRPr="008A1851" w:rsidRDefault="008A1851" w:rsidP="008A1851">
      <w:pPr>
        <w:spacing w:after="240"/>
        <w:rPr>
          <w:b/>
          <w:bCs/>
          <w:lang w:val="en-IN"/>
        </w:rPr>
      </w:pPr>
      <w:r>
        <w:rPr>
          <w:b/>
        </w:rPr>
        <w:t>Manuscript Revision:</w:t>
      </w:r>
      <w:r>
        <w:t xml:space="preserve"> Highlighted in green (or yellow where common) in Section 4.6.1 (Simulation Setup and Agents) (Page 18), Section 4.6.3 (Experimental Design and Staged Evaluation) (Page 20), Section 5.2 (Finance Model Selection and Parameter Optimisation) (Page 23), Section 5.2.1 (Final Combined Performance and Sensitivity Analysis) (Page 25), and Section 6 (Conclusion) (Page 28).</w:t>
      </w:r>
    </w:p>
    <w:p w14:paraId="225DECCE" w14:textId="77777777" w:rsidR="008A1851" w:rsidRPr="008A1851" w:rsidRDefault="008A1851" w:rsidP="008A1851">
      <w:pPr>
        <w:spacing w:after="240"/>
        <w:rPr>
          <w:lang w:val="en-IN"/>
        </w:rPr>
      </w:pPr>
    </w:p>
    <w:p w14:paraId="08525D27" w14:textId="77777777" w:rsidR="00912F49" w:rsidRDefault="00912F49">
      <w:pPr>
        <w:spacing w:after="240"/>
      </w:pPr>
    </w:p>
    <w:p w14:paraId="5ACC4B20" w14:textId="77777777" w:rsidR="00912F49" w:rsidRDefault="00912F49">
      <w:pPr>
        <w:spacing w:after="240"/>
      </w:pPr>
    </w:p>
    <w:p w14:paraId="6A6B0009" w14:textId="77777777" w:rsidR="00912F49" w:rsidRDefault="00000000" w:rsidP="000B5C88">
      <w:pPr>
        <w:rPr>
          <w:i/>
          <w:iCs/>
        </w:rPr>
      </w:pPr>
      <w:r>
        <w:rPr>
          <w:b/>
        </w:rPr>
        <w:t>Comment 4:</w:t>
      </w:r>
      <w:r>
        <w:t xml:space="preserve"> The lack of benchmarking is another important weakness. The manuscript argues that existing blockchain-based supply chain finance approaches tend to rely on static credit terms and do not incorporate adaptive behavioral learning, but it does not provide direct comparative evidence showing that the proposed EGT-based mechanism outperforms simpler alternatives. There is no comparison with a static credit policy, a rule-based penalty system, a centralized non-blockchain implementation, or an otherwise identical blockchain framework without EGT. Without such baselines, it is difficult to determine whether the observed outcomes are genuinely attributable to the proposed adaptive mechanism or would also emerge under much simpler designs. The contribution therefore currently appears stronger as a systems integration exercise than as a demonstrated methodological improvement. Comparative experiments against at least one static financing scheme and one non-adaptive blockchain design would significantly strengthen the paper."</w:t>
      </w:r>
    </w:p>
    <w:p w14:paraId="25ED4B50" w14:textId="77777777" w:rsidR="000B5C88" w:rsidRDefault="000B5C88" w:rsidP="000B5C88">
      <w:pPr>
        <w:rPr>
          <w:i/>
          <w:iCs/>
        </w:rPr>
      </w:pPr>
    </w:p>
    <w:p w14:paraId="1B6F0113" w14:textId="77777777" w:rsidR="008A1851" w:rsidRPr="008A1851" w:rsidRDefault="00000000" w:rsidP="008A1851">
      <w:pPr>
        <w:spacing w:after="240"/>
        <w:rPr>
          <w:lang w:val="en-IN"/>
        </w:rPr>
      </w:pPr>
      <w:r>
        <w:rPr>
          <w:b/>
          <w:bCs/>
        </w:rPr>
        <w:t>Author Response:</w:t>
      </w:r>
      <w:r>
        <w:t xml:space="preserve"> </w:t>
      </w:r>
      <w:r w:rsidR="008A1851" w:rsidRPr="008A1851">
        <w:rPr>
          <w:lang w:val="en-IN"/>
        </w:rPr>
        <w:t>We sincerely thank the reviewer for this important comment. We agree that the earlier version did not provide sufficient comparative evidence to demonstrate whether the proposed adaptive finance mechanism performs better than simpler static or non-adaptive alternatives. In response, we have substantially revised the experimental design by adding benchmark comparisons against both fixed-rate and learning-based baseline strategies.</w:t>
      </w:r>
    </w:p>
    <w:p w14:paraId="0C88F48C" w14:textId="77777777" w:rsidR="008A1851" w:rsidRPr="008A1851" w:rsidRDefault="008A1851" w:rsidP="008A1851">
      <w:pPr>
        <w:spacing w:after="240"/>
        <w:rPr>
          <w:lang w:val="en-IN"/>
        </w:rPr>
      </w:pPr>
      <w:r w:rsidRPr="008A1851">
        <w:rPr>
          <w:lang w:val="en-IN"/>
        </w:rPr>
        <w:t>The revised manuscript now compares the proposed RL APR + EGT borrower-screening model against fixed APR baselines of 6%, 8%, and 10%, an RL APR model without borrower screening, and an RL APR model with RL-based borrower screening. The fixed APR models represent static credit-policy baselines, while the RL APR without screening model serves as an ablation case that isolates the effect of financier-side APR adaptation without borrower-level risk differentiation. The RL APR + RL screening model provides a learning-based borrower-screening benchmark against which the EGT screening mechanism can be compared.</w:t>
      </w:r>
    </w:p>
    <w:p w14:paraId="7D1A4CA3" w14:textId="77777777" w:rsidR="008A1851" w:rsidRPr="008A1851" w:rsidRDefault="008A1851" w:rsidP="008A1851">
      <w:pPr>
        <w:spacing w:after="240"/>
        <w:rPr>
          <w:lang w:val="en-IN"/>
        </w:rPr>
      </w:pPr>
      <w:r w:rsidRPr="008A1851">
        <w:rPr>
          <w:lang w:val="en-IN"/>
        </w:rPr>
        <w:t>The results show that the proposed RL APR + EGT borrower-screening model achieves the best overall performance. Across the final combined comparison, it produced the highest aggregate final capital, reduced default exposure compared with the RL-only and RL-screening alternatives, and achieved the strongest scenario-level performance under low-, medium-, and high-default conditions. These results demonstrate that the observed improvements are not merely due to blockchain integration or general adaptive pricing, but are specifically strengthened by combining financier-side RL APR adaptation with borrower-side EGT screening.</w:t>
      </w:r>
    </w:p>
    <w:p w14:paraId="74FB08BD" w14:textId="77777777" w:rsidR="008A1851" w:rsidRPr="008A1851" w:rsidRDefault="008A1851" w:rsidP="008A1851">
      <w:pPr>
        <w:spacing w:after="240"/>
        <w:rPr>
          <w:lang w:val="en-IN"/>
        </w:rPr>
      </w:pPr>
      <w:r w:rsidRPr="008A1851">
        <w:rPr>
          <w:lang w:val="en-IN"/>
        </w:rPr>
        <w:t>We have also clarified that the blockchain component provides the trusted transaction infrastructure, access control, auditability, and settlement execution, while the comparative finance simulations evaluate the methodological contribution of the adaptive finance mechanism. This distinction has been added to avoid presenting the work only as a systems integration exercise and to show the separate contribution of the finance-policy model.</w:t>
      </w:r>
    </w:p>
    <w:p w14:paraId="5D8B40DB" w14:textId="77777777" w:rsidR="008A1851" w:rsidRPr="008A1851" w:rsidRDefault="008A1851" w:rsidP="008A1851">
      <w:pPr>
        <w:spacing w:after="240"/>
        <w:rPr>
          <w:b/>
          <w:bCs/>
          <w:lang w:val="en-IN"/>
        </w:rPr>
      </w:pPr>
    </w:p>
    <w:p w14:paraId="4243F7B0" w14:textId="77777777" w:rsidR="008A1851" w:rsidRPr="008A1851" w:rsidRDefault="008A1851" w:rsidP="008A1851">
      <w:pPr>
        <w:spacing w:after="240"/>
        <w:rPr>
          <w:lang w:val="en-IN"/>
        </w:rPr>
      </w:pPr>
    </w:p>
    <w:p w14:paraId="4481E484" w14:textId="77777777" w:rsidR="00912F49" w:rsidRDefault="00912F49">
      <w:pPr>
        <w:spacing w:after="240"/>
      </w:pPr>
    </w:p>
    <w:p w14:paraId="46288407" w14:textId="77777777" w:rsidR="00912F49" w:rsidRDefault="00912F49">
      <w:pPr>
        <w:spacing w:after="240"/>
      </w:pPr>
    </w:p>
    <w:p w14:paraId="1B5DE5D9" w14:textId="77777777" w:rsidR="00696900" w:rsidRDefault="00000000">
      <w:r>
        <w:rPr>
          <w:b/>
        </w:rPr>
        <w:t>Comment 5:</w:t>
      </w:r>
      <w:r>
        <w:t xml:space="preserve"> "From a blockchain systems perspective, the manuscript provides a relatively detailed description of the Hyperledger Fabric network... absence of any performance or scalability evaluation is a serious omission. The manuscript does not report transaction throughput..."</w:t>
      </w:r>
    </w:p>
    <w:p w14:paraId="7C477F7C" w14:textId="77777777" w:rsidR="00696900" w:rsidRDefault="00000000">
      <w:r>
        <w:t>Author Response: We thank the reviewer for this observation. In the revised manuscript, we have added a focused Hyperledger Caliper benchmark of the Hyperledger Fabric smart-contract workloads under a nominal 500 TPS offered-load configuration. The revised benchmark reports transaction throughput, latency, successful transactions, and failed transactions for the core auction, finance, traceability, packing, and packet-purchase functions. For the packet-purchase workload, the corrected benchmark records 4102 successful transactions and 898 failed transactions out of 5000 submitted transactions. The remaining failures are interpreted as partial MVCC-related contention under concurrent access to shared packet records, and the manuscript now discusses packet-level reservation, randomized packet selection, retry logic, and workload partitioning as production mitigation strategies.</w:t>
      </w:r>
    </w:p>
    <w:p w14:paraId="5DF2A717" w14:textId="77777777" w:rsidR="00696900" w:rsidRDefault="00000000">
      <w:r>
        <w:rPr>
          <w:b/>
        </w:rPr>
        <w:t>Manuscript Revision:</w:t>
      </w:r>
      <w:r>
        <w:t xml:space="preserve"> Highlighted in green (or yellow where common) in Section 4.7 (Blockchain Benchmarking Setup) (Page 21) and Section 5.3 (Caliper Benchmark Results) (Page 28).</w:t>
      </w:r>
    </w:p>
    <w:p w14:paraId="4100FEB0" w14:textId="77777777" w:rsidR="00696900" w:rsidRDefault="00696900"/>
    <w:p w14:paraId="5E377DE7" w14:textId="77777777" w:rsidR="00912F49" w:rsidRDefault="00000000">
      <w:pPr>
        <w:spacing w:before="240" w:after="240"/>
        <w:rPr>
          <w:i/>
          <w:iCs/>
        </w:rPr>
      </w:pPr>
      <w:r>
        <w:rPr>
          <w:b/>
        </w:rPr>
        <w:t>Comment 6:</w:t>
      </w:r>
      <w:r>
        <w:t xml:space="preserve"> The economic interpretation of the results also needs to be developed more carefully. One of the more interesting observations in the paper is that earlier repayment can improve wholesaler profitability while simultaneously reducing financier profitability because interest accrual declines as the loan duration shortens. This creates a potentially important incentive tension between borrower discipline and lender returns. Yet the manuscript does not examine the broader implications of this tension. If financiers are penalized, in scoring terms, when borrowers repay too early, the mechanism may unintentionally weaken incentives for safe repayment behavior or induce stricter lender policies over time. This is not a minor detail, but rather a central issue in the design of an adaptive finance system. The paper would be much stronger if it explicitly analyzed the conditions under which the mechanism aligns or misaligns borrower and lender incentives, and whether alternative payoff definitions or policy mappings could mitigate this problem."</w:t>
      </w:r>
    </w:p>
    <w:p w14:paraId="11E5EA33" w14:textId="77777777" w:rsidR="00BB7740" w:rsidRPr="00BB7740" w:rsidRDefault="00000000" w:rsidP="00BB7740">
      <w:pPr>
        <w:spacing w:before="240" w:after="240"/>
        <w:rPr>
          <w:lang w:val="en-IN"/>
        </w:rPr>
      </w:pPr>
      <w:r>
        <w:rPr>
          <w:b/>
          <w:bCs/>
        </w:rPr>
        <w:t>Author Response:</w:t>
      </w:r>
      <w:r>
        <w:t xml:space="preserve"> </w:t>
      </w:r>
      <w:r w:rsidR="00BB7740" w:rsidRPr="00BB7740">
        <w:rPr>
          <w:lang w:val="en-IN"/>
        </w:rPr>
        <w:t>We sincerely thank the reviewer for identifying this important incentive-design issue. We agree that the earlier version did not sufficiently explain the possible tension between borrower repayment discipline and financier return. In particular, if the financier payoff is defined only through realised interest accrued over the actual repayment duration, then very early repayment may improve the wholesaler’s profitability while reducing the financier’s interest income. This could create an unintended misalignment in which safe or early repayment is not fully rewarded from the financier’s perspective.</w:t>
      </w:r>
    </w:p>
    <w:p w14:paraId="3C5673DB" w14:textId="77777777" w:rsidR="00BB7740" w:rsidRPr="00BB7740" w:rsidRDefault="00BB7740" w:rsidP="00BB7740">
      <w:pPr>
        <w:spacing w:before="240" w:after="240"/>
        <w:rPr>
          <w:lang w:val="en-IN"/>
        </w:rPr>
      </w:pPr>
      <w:r w:rsidRPr="00BB7740">
        <w:rPr>
          <w:lang w:val="en-IN"/>
        </w:rPr>
        <w:t xml:space="preserve">In the revised manuscript, we have clarified the economic interpretation of the finance mechanism and the payoff structure. The revised model separates borrower-side screening </w:t>
      </w:r>
      <w:r w:rsidRPr="00BB7740">
        <w:rPr>
          <w:lang w:val="en-IN"/>
        </w:rPr>
        <w:lastRenderedPageBreak/>
        <w:t>from financier-side profitability evaluation. Borrower screening is designed to identify reliable wholesalers and reduce default exposure, while financier-side APR adaptation is designed to protect capital performance under different capital and default-risk conditions. We have also revised the discussion to clarify that the main objective of the proposed RL–EGT model is not to penalize early repayment, but to balance three outcomes: capital deployment, repayment-risk control, and sustainable financier return.</w:t>
      </w:r>
    </w:p>
    <w:p w14:paraId="5BA75D6B" w14:textId="77777777" w:rsidR="00BB7740" w:rsidRPr="00BB7740" w:rsidRDefault="00BB7740" w:rsidP="00BB7740">
      <w:pPr>
        <w:spacing w:before="240" w:after="240"/>
        <w:rPr>
          <w:lang w:val="en-IN"/>
        </w:rPr>
      </w:pPr>
      <w:r w:rsidRPr="00BB7740">
        <w:rPr>
          <w:lang w:val="en-IN"/>
        </w:rPr>
        <w:t>To address this concern, the revised manuscript explains that repayment discipline and financier return can become misaligned when interest income is calculated purely as a function of realised loan duration. The discussion now identifies possible policy remedies, such as using agreed-tenor interest, minimum finance charges, fixed service fees, or payoff definitions that reward repayment reliability while separately accounting for financier return. These alternatives can prevent reliable borrowers from being treated negatively simply because they repay early. The revised discussion also states that the selected RL APR + EGT screening model should be interpreted as a risk-aware adaptive finance mechanism, while further refinement of early-repayment incentive design remains an important direction for future research.</w:t>
      </w:r>
    </w:p>
    <w:p w14:paraId="3EB7A8F0" w14:textId="77777777" w:rsidR="00BB7740" w:rsidRPr="00BB7740" w:rsidRDefault="00BB7740" w:rsidP="00BB7740">
      <w:pPr>
        <w:spacing w:before="240" w:after="240"/>
        <w:rPr>
          <w:b/>
          <w:bCs/>
          <w:lang w:val="en-IN"/>
        </w:rPr>
      </w:pPr>
      <w:r>
        <w:rPr>
          <w:b/>
        </w:rPr>
        <w:t>Manuscript Revision:</w:t>
      </w:r>
      <w:r>
        <w:t xml:space="preserve"> Highlighted in green (or yellow where common) in Section 4.6.2 (Reinforcement Learning Formulation) (Page 19), Section 4.6 (Experimental Design for Finance Model Selection) (Page 18), Section 5.2 (Finance Model Selection and Parameter Optimisation) (Page 23), Section 5.2.1 (Final Combined Performance and Sensitivity Analysis) (Page 25), and Section 6 (Conclusion) (Page 28).</w:t>
      </w:r>
    </w:p>
    <w:p w14:paraId="26D8DB93" w14:textId="77777777" w:rsidR="00BB7740" w:rsidRPr="00BB7740" w:rsidRDefault="00BB7740" w:rsidP="00BB7740">
      <w:pPr>
        <w:spacing w:before="240" w:after="240"/>
        <w:rPr>
          <w:lang w:val="en-IN"/>
        </w:rPr>
      </w:pPr>
    </w:p>
    <w:p w14:paraId="686C6ED1" w14:textId="77777777" w:rsidR="00912F49" w:rsidRDefault="00000000" w:rsidP="00BB7740">
      <w:pPr>
        <w:spacing w:before="240" w:after="240"/>
        <w:rPr>
          <w:i/>
          <w:iCs/>
        </w:rPr>
      </w:pPr>
      <w:r>
        <w:rPr>
          <w:b/>
        </w:rPr>
        <w:t>Comment 7:</w:t>
      </w:r>
      <w:r>
        <w:t xml:space="preserve"> The presentation would also benefit from careful revision for clarity, precision, and internal consistency. While the manuscript is readable overall, there are instances of grammatical awkwardness, repetitive phrasing, and unnecessarily long sentences. Some descriptions of the algorithms and workflow functions are repetitive, and the correspondence between algorithm numbering, function naming, and textual explanation is not always as clear as it could be. There also appear to be minor inconsistencies in parameter descriptions, particularly in the discussion of tenor values across the experimental setup and results. In addition, the figures mainly serve a descriptive purpose; they would be more informative if accompanied by summary statistics such as mean changes, convergence speed, variability across runs, or confidence intervals. Since the manuscript states that the simulation was repeated multiple times, it should be possible to report more rigorous aggregate evidence rather than only trend plots."</w:t>
      </w:r>
    </w:p>
    <w:p w14:paraId="22E42EA8" w14:textId="77777777" w:rsidR="00BB7740" w:rsidRPr="00BB7740" w:rsidRDefault="00000000" w:rsidP="00BB7740">
      <w:pPr>
        <w:spacing w:after="240"/>
        <w:rPr>
          <w:lang w:val="en-IN"/>
        </w:rPr>
      </w:pPr>
      <w:r>
        <w:rPr>
          <w:b/>
          <w:bCs/>
        </w:rPr>
        <w:t>Author Response:</w:t>
      </w:r>
      <w:r>
        <w:t xml:space="preserve"> </w:t>
      </w:r>
      <w:r w:rsidR="00BB7740" w:rsidRPr="00BB7740">
        <w:rPr>
          <w:lang w:val="en-IN"/>
        </w:rPr>
        <w:t>We sincerely thank the reviewer for this constructive comment. We agree that the earlier manuscript required improvement in clarity, precision, consistency, and presentation of simulation results. In response, we have carefully revised the manuscript to reduce repetitive descriptions, shorten overly long sentences, and improve the consistency between algorithm names, function names, and the corresponding textual explanations.</w:t>
      </w:r>
    </w:p>
    <w:p w14:paraId="26DE97A2" w14:textId="77777777" w:rsidR="00BB7740" w:rsidRPr="00BB7740" w:rsidRDefault="00BB7740" w:rsidP="00BB7740">
      <w:pPr>
        <w:spacing w:after="240"/>
        <w:rPr>
          <w:lang w:val="en-IN"/>
        </w:rPr>
      </w:pPr>
      <w:r w:rsidRPr="00BB7740">
        <w:rPr>
          <w:lang w:val="en-IN"/>
        </w:rPr>
        <w:t xml:space="preserve">We have also checked the experimental parameter descriptions and revised the discussion of tenor values, APR bounds, risk-premium bounds, and learning parameters to ensure consistency across the methodology, experimental setup, and results sections. The workflow </w:t>
      </w:r>
      <w:r w:rsidRPr="00BB7740">
        <w:rPr>
          <w:lang w:val="en-IN"/>
        </w:rPr>
        <w:lastRenderedPageBreak/>
        <w:t>descriptions have been streamlined so that the smart-contract functions are explained in relation to their operational role rather than repeated in multiple sections.</w:t>
      </w:r>
      <w:r>
        <w:t xml:space="preserve"> Furthermore, we have significantly shortened the Simulation Objective and Environment section, as well as the Financier-side APR Selection section, removing repetitive explanations to improve conciseness and reduce manuscript length.</w:t>
      </w:r>
    </w:p>
    <w:p w14:paraId="446BE8F5" w14:textId="77777777" w:rsidR="00BB7740" w:rsidRPr="00BB7740" w:rsidRDefault="00BB7740" w:rsidP="00BB7740">
      <w:pPr>
        <w:spacing w:after="240"/>
        <w:rPr>
          <w:lang w:val="en-IN"/>
        </w:rPr>
      </w:pPr>
      <w:r w:rsidRPr="00BB7740">
        <w:rPr>
          <w:lang w:val="en-IN"/>
        </w:rPr>
        <w:t>In addition, the revised manuscript now presents more rigorous aggregate evidence from the repeated simulation runs. Instead of relying only on descriptive trend plots, we report summary results across capital levels, default-severity scenarios, and random seeds. These include aggregate final capital, average capital utilisation, average offered APR, default-to-initial-capital ratio, number of issued loans, and scenario-level winning performance. The results section has also been revised to interpret these aggregate values rather than only describing visual trends. These changes improve the clarity, internal consistency, and empirical strength of the presentation.</w:t>
      </w:r>
    </w:p>
    <w:p w14:paraId="7AD4E74D" w14:textId="77777777" w:rsidR="00BB7740" w:rsidRPr="00BB7740" w:rsidRDefault="00BB7740" w:rsidP="00BB7740">
      <w:pPr>
        <w:spacing w:after="240"/>
        <w:rPr>
          <w:b/>
          <w:bCs/>
          <w:lang w:val="en-IN"/>
        </w:rPr>
      </w:pPr>
      <w:r>
        <w:rPr>
          <w:b/>
        </w:rPr>
        <w:t>Manuscript Revision:</w:t>
      </w:r>
      <w:r>
        <w:t xml:space="preserve"> Highlighted in green (or yellow where common) in Section 4.3 (Smart Contract Workflow) (Page 11), Section 4.4 (Adaptive finance mechanism: RL-based APR optimisation and EGT-based borrower screening) (Page 17), Section 4.6.1 (Simulation Setup and Agents) (Page 18), Section 4.6.2 (Reinforcement Learning Formulation) (Page 19), Section 4.6.3 (Experimental Design and Staged Evaluation) (Page 20), Section 5.2 (Finance Model Selection and Parameter Optimisation) (Page 23), and Section 5.2.1 (Final Combined Performance and Sensitivity Analysis) (Page 25).</w:t>
      </w:r>
    </w:p>
    <w:p w14:paraId="54BA6F2E" w14:textId="77777777" w:rsidR="00BB7740" w:rsidRPr="00BB7740" w:rsidRDefault="00BB7740" w:rsidP="00BB7740">
      <w:pPr>
        <w:spacing w:after="240"/>
        <w:rPr>
          <w:lang w:val="en-IN"/>
        </w:rPr>
      </w:pPr>
    </w:p>
    <w:p w14:paraId="0F481B72" w14:textId="77777777" w:rsidR="00912F49" w:rsidRDefault="00912F49" w:rsidP="00BB7740">
      <w:pPr>
        <w:spacing w:after="240"/>
      </w:pPr>
    </w:p>
    <w:p w14:paraId="5C518ED2" w14:textId="77777777" w:rsidR="000B5C88" w:rsidRPr="000B5C88" w:rsidRDefault="00000000" w:rsidP="000B5C88">
      <w:pPr>
        <w:rPr>
          <w:i/>
          <w:iCs/>
        </w:rPr>
      </w:pPr>
      <w:r>
        <w:rPr>
          <w:b/>
        </w:rPr>
        <w:t>Comment 8:</w:t>
      </w:r>
      <w:r>
        <w:t xml:space="preserve"> The literature review is reasonably broad and succeeds in identifying a gap at the intersection of blockchain-based auction systems, supply chain finance, and evolutionary game theory. Nevertheless, it could engage more directly with adjacent work on adaptive credit scoring, fintech-enabled risk assessment, and data-driven financial decision systems. At present, the review mainly argues that prior studies have not unified these elements into a single framework. That may be true, but the manuscript would be more persuasive if it also clarified how its proposed mechanism compares with existing adaptive credit methodologies beyond the blockchain literature. A sharper distinction between systems-level integration and mechanism-level novelty would help position the contribution more precisely within the broader research landscape.</w:t>
      </w:r>
    </w:p>
    <w:p w14:paraId="3FE10726" w14:textId="77777777" w:rsidR="00912F49" w:rsidRDefault="00912F49">
      <w:pPr>
        <w:spacing w:before="240" w:after="240"/>
        <w:rPr>
          <w:i/>
          <w:iCs/>
        </w:rPr>
      </w:pPr>
    </w:p>
    <w:p w14:paraId="4B30B0D3" w14:textId="77777777" w:rsidR="00882DD4" w:rsidRPr="00882DD4" w:rsidRDefault="00882DD4" w:rsidP="00882DD4">
      <w:pPr>
        <w:spacing w:before="240" w:after="240"/>
        <w:rPr>
          <w:lang w:val="en-IN"/>
        </w:rPr>
      </w:pPr>
      <w:r w:rsidRPr="00882DD4">
        <w:rPr>
          <w:b/>
          <w:bCs/>
          <w:lang w:val="en-IN"/>
        </w:rPr>
        <w:t xml:space="preserve">Author Response: </w:t>
      </w:r>
      <w:r w:rsidRPr="00882DD4">
        <w:rPr>
          <w:lang w:val="en-IN"/>
        </w:rPr>
        <w:t>We sincerely thank the reviewer for this valuable suggestion. We agree that the earlier literature review mainly emphasized the lack of integration among blockchain-based auctions, supply chain finance, and EGT, but did not sufficiently position the proposed adaptive finance mechanism against adjacent work on adaptive credit scoring, fintech-enabled risk assessment, and data-driven financial decision systems.</w:t>
      </w:r>
    </w:p>
    <w:p w14:paraId="25FC60ED" w14:textId="75F812E1" w:rsidR="00882DD4" w:rsidRPr="00882DD4" w:rsidRDefault="00882DD4" w:rsidP="00882DD4">
      <w:pPr>
        <w:spacing w:before="240" w:after="240"/>
        <w:rPr>
          <w:lang w:val="en-IN"/>
        </w:rPr>
      </w:pPr>
      <w:r w:rsidRPr="00882DD4">
        <w:rPr>
          <w:lang w:val="en-IN"/>
        </w:rPr>
        <w:t>In response, we have revised the literature review by adding a dedicated subsection</w:t>
      </w:r>
      <w:r>
        <w:rPr>
          <w:lang w:val="en-IN"/>
        </w:rPr>
        <w:t xml:space="preserve"> </w:t>
      </w:r>
      <w:r w:rsidRPr="00882DD4">
        <w:rPr>
          <w:lang w:val="en-IN"/>
        </w:rPr>
        <w:t xml:space="preserve">Reinforcement Learning and Evolutionary Game Theory in Adaptive Finance. This subsection engages more directly with adjacent research streams on adaptive credit scoring, fintech risk assessment, reinforcement learning-based financial decision-making, and evolutionary game-based behavioural adaptation. The revised discussion clarifies that conventional adaptive credit-scoring and fintech risk-assessment models commonly use </w:t>
      </w:r>
      <w:r w:rsidRPr="00882DD4">
        <w:rPr>
          <w:lang w:val="en-IN"/>
        </w:rPr>
        <w:lastRenderedPageBreak/>
        <w:t>borrower financial records, repayment histories, transaction data, or machine-learning-based risk indicators to support credit decisions. However, these approaches are generally not embedded within smart-contract-governed auction and settlement workflows, and they often operate outside the transaction infrastructure where disbursement, repayment, and settlement events are executed.</w:t>
      </w:r>
    </w:p>
    <w:p w14:paraId="5E1F2881" w14:textId="77777777" w:rsidR="00882DD4" w:rsidRPr="00882DD4" w:rsidRDefault="00882DD4" w:rsidP="00882DD4">
      <w:pPr>
        <w:spacing w:before="240" w:after="240"/>
        <w:rPr>
          <w:lang w:val="en-IN"/>
        </w:rPr>
      </w:pPr>
      <w:r w:rsidRPr="00882DD4">
        <w:rPr>
          <w:lang w:val="en-IN"/>
        </w:rPr>
        <w:t>We have also sharpened the distinction between the systems-level and mechanism-level contributions of the study. At the systems level, the proposed framework integrates traceability, auction management, finance requests, disbursement, packet sales, and repayment settlement within a Hyperledger Fabric network. At the mechanism level, the study introduces an adaptive finance-policy layer in which RL determines the financier-side base APR, while EGT-based borrower screening adjusts the borrower-specific risk premium based on realised repayment and profitability outcomes. This revised positioning clarifies that the contribution is not only the integration of blockchain modules, but also the use of ledger-linked behavioural finance signals to adapt finance terms under varying capital and default-risk conditions.</w:t>
      </w:r>
    </w:p>
    <w:p w14:paraId="29136368" w14:textId="77777777" w:rsidR="00BB7740" w:rsidRPr="00BB7740" w:rsidRDefault="00BB7740" w:rsidP="00BB7740">
      <w:pPr>
        <w:spacing w:before="240" w:after="240"/>
        <w:rPr>
          <w:b/>
          <w:bCs/>
          <w:lang w:val="en-IN"/>
        </w:rPr>
      </w:pPr>
      <w:r>
        <w:rPr>
          <w:b/>
        </w:rPr>
        <w:t>Manuscript Revision:</w:t>
      </w:r>
      <w:r>
        <w:t xml:space="preserve"> Highlighted in green (or yellow where common) in Section 2.3 (Blockchain Applications in Supply Chain Finance) (Page 5), Section 2.4 (Limitations of Existing Blockchain-SCF Approaches) (Page 5), Section 2.5 (Reinforcement Learning and Evolutionary Game Theory for Adaptive Finance) (Page 6), Section 3 (Research Gaps in Adaptive Blockchain-Enabled Supply Chain Finance) (Page 7), and last paragraph of Section 3 (Contributions) (Page 7).</w:t>
      </w:r>
    </w:p>
    <w:p w14:paraId="67D94AE5" w14:textId="77777777" w:rsidR="00BB7740" w:rsidRPr="00BB7740" w:rsidRDefault="00BB7740" w:rsidP="00BB7740">
      <w:pPr>
        <w:spacing w:before="240" w:after="240"/>
        <w:rPr>
          <w:lang w:val="en-IN"/>
        </w:rPr>
      </w:pPr>
    </w:p>
    <w:p w14:paraId="161B2349" w14:textId="77777777" w:rsidR="000B5C88" w:rsidRPr="000B5C88" w:rsidRDefault="000B5C88" w:rsidP="00BB7740">
      <w:pPr>
        <w:spacing w:before="240" w:after="240"/>
        <w:rPr>
          <w:i/>
          <w:iCs/>
        </w:rPr>
      </w:pPr>
      <w:r>
        <w:rPr>
          <w:b/>
        </w:rPr>
        <w:t>Comment 9:</w:t>
      </w:r>
      <w:r>
        <w:t xml:space="preserve"> Overall, the paper has clear potential. It addresses a meaningful real-world problem, proposes an ambitious integrated architecture, and advances an interesting idea by linking on-chain financial terms to behaviorally evolving credit scores. These are genuine strengths. However, the current version remains closer to a conceptual framework with prototype simulation than to a fully validated research contribution. To reach publishable quality, the authors should strengthen the theoretical justification of the EGT mechanism, introduce stronger comparative baselines, incorporate stochastic and heterogeneous conditions into the experiments, provide at least basic system performance metrics for the Hyperledger Fabric implementation, and deepen the analysis of lender-borrower incentive interactions. For these reasons, I recommend major revision.</w:t>
      </w:r>
    </w:p>
    <w:p w14:paraId="2A25772C" w14:textId="77777777" w:rsidR="00BB7740" w:rsidRPr="00BB7740" w:rsidRDefault="00BB7740" w:rsidP="00BB7740">
      <w:pPr>
        <w:spacing w:before="240" w:after="240"/>
        <w:rPr>
          <w:lang w:val="en-IN"/>
        </w:rPr>
      </w:pPr>
      <w:r>
        <w:rPr>
          <w:b/>
          <w:bCs/>
        </w:rPr>
        <w:t>Author Response:</w:t>
      </w:r>
      <w:r>
        <w:t xml:space="preserve"> </w:t>
      </w:r>
      <w:r w:rsidRPr="00BB7740">
        <w:rPr>
          <w:lang w:val="en-IN"/>
        </w:rPr>
        <w:t>We sincerely thank the reviewer for the encouraging assessment of the paper’s potential and for clearly identifying the areas that required strengthening. We agree that the earlier version was closer to a conceptual framework with prototype-level simulation, and that stronger theoretical explanation, comparative validation, robustness testing, system benchmarking, and economic interpretation were necessary.</w:t>
      </w:r>
    </w:p>
    <w:p w14:paraId="7A5989AE" w14:textId="77777777" w:rsidR="00BB7740" w:rsidRPr="00BB7740" w:rsidRDefault="00BB7740" w:rsidP="00BB7740">
      <w:pPr>
        <w:spacing w:before="240" w:after="240"/>
        <w:rPr>
          <w:lang w:val="en-IN"/>
        </w:rPr>
      </w:pPr>
      <w:r w:rsidRPr="00BB7740">
        <w:rPr>
          <w:lang w:val="en-IN"/>
        </w:rPr>
        <w:t xml:space="preserve">In response, we have substantially revised the manuscript. First, we expanded the explanation of the adaptive finance mechanism by clarifying the role of EGT-based borrower screening, payoff normalisation, score updating, and risk-premium mapping. Second, we introduced stronger comparative baselines, including fixed APR strategies, RL APR without borrower screening, RL APR with RL-based screening, and RL APR with EGT-based screening. Third, we added sensitivity analysis across different capital levels, default-severity </w:t>
      </w:r>
      <w:r w:rsidRPr="00BB7740">
        <w:rPr>
          <w:lang w:val="en-IN"/>
        </w:rPr>
        <w:lastRenderedPageBreak/>
        <w:t xml:space="preserve">scenarios, heterogeneous borrower-risk profiles, and random seeds to evaluate the stability of the proposed model under changing operating conditions. Fourth, we added Hyperledger </w:t>
      </w:r>
      <w:proofErr w:type="spellStart"/>
      <w:r w:rsidRPr="00BB7740">
        <w:rPr>
          <w:lang w:val="en-IN"/>
        </w:rPr>
        <w:t>Caliper</w:t>
      </w:r>
      <w:proofErr w:type="spellEnd"/>
      <w:r w:rsidRPr="00BB7740">
        <w:rPr>
          <w:lang w:val="en-IN"/>
        </w:rPr>
        <w:t xml:space="preserve"> benchmarking results to report throughput, latency, successful transactions, failed transactions, and workload-specific performance. Finally, we deepened the discussion of lender-borrower incentive alignment, especially the possible tension between borrower repayment discipline and financier return.</w:t>
      </w:r>
    </w:p>
    <w:p w14:paraId="5803C8FA" w14:textId="77777777" w:rsidR="00BB7740" w:rsidRPr="00BB7740" w:rsidRDefault="00BB7740" w:rsidP="00BB7740">
      <w:pPr>
        <w:spacing w:before="240" w:after="240"/>
        <w:rPr>
          <w:lang w:val="en-IN"/>
        </w:rPr>
      </w:pPr>
      <w:r w:rsidRPr="00BB7740">
        <w:rPr>
          <w:lang w:val="en-IN"/>
        </w:rPr>
        <w:t>These revisions reposition the study from a mainly conceptual prototype toward a more rigorously evaluated blockchain-enabled adaptive finance framework. We also explicitly acknowledge the remaining limitations, including the absence of real-world deployment data, commodity price volatility, demand uncertainty, and richer behavioural heterogeneity, and identify these as directions for future research.</w:t>
      </w:r>
    </w:p>
    <w:p w14:paraId="244206E6" w14:textId="77777777" w:rsidR="00BB7740" w:rsidRPr="00BB7740" w:rsidRDefault="00BB7740" w:rsidP="00BB7740">
      <w:pPr>
        <w:spacing w:before="240" w:after="240"/>
        <w:rPr>
          <w:b/>
          <w:bCs/>
          <w:lang w:val="en-IN"/>
        </w:rPr>
      </w:pPr>
      <w:r>
        <w:rPr>
          <w:b/>
        </w:rPr>
        <w:t>Manuscript Revision:</w:t>
      </w:r>
      <w:r>
        <w:t xml:space="preserve"> Highlighted in green (or yellow where common) in Section 4.4 (Adaptive finance mechanism: RL-based APR optimisation and EGT-based borrower screening) (Page 17), Section 4.6.2 (Reinforcement Learning Formulation) (Page 19), Section 4.6 (Experimental Design for Finance Model Selection) (Page 18), Section 4.6.3 (Experimental Design and Staged Evaluation) (Page 20), Section 4.7 (Blockchain Benchmarking Setup) (Page 21), Section 5.2 (Finance Model Selection and Parameter Optimisation) (Page 23), Section 5.2.1 (Final Combined Performance and Sensitivity Analysis) (Page 25), and Section 6 (Conclusion) (Page 28).</w:t>
      </w:r>
    </w:p>
    <w:p w14:paraId="140F647F" w14:textId="77777777" w:rsidR="00BB7740" w:rsidRPr="00BB7740" w:rsidRDefault="00BB7740" w:rsidP="00BB7740">
      <w:pPr>
        <w:spacing w:before="240" w:after="240"/>
        <w:rPr>
          <w:lang w:val="en-IN"/>
        </w:rPr>
      </w:pPr>
    </w:p>
    <w:p w14:paraId="2D8F25CB" w14:textId="77777777" w:rsidR="000B5C88" w:rsidRDefault="000B5C88">
      <w:pPr>
        <w:spacing w:before="240" w:after="240"/>
      </w:pPr>
    </w:p>
    <w:p w14:paraId="67A9A56D" w14:textId="77777777" w:rsidR="00912F49" w:rsidRDefault="00000000">
      <w:r>
        <w:pict w14:anchorId="4BD3727B">
          <v:rect id="_x0000_i1028" style="width:0;height:1.5pt" o:hralign="center" o:hrstd="t" o:hr="t" fillcolor="#a0a0a0" stroked="f"/>
        </w:pict>
      </w:r>
    </w:p>
    <w:p w14:paraId="723C27C7" w14:textId="77777777" w:rsidR="00912F49" w:rsidRDefault="00000000">
      <w:pPr>
        <w:spacing w:after="240"/>
      </w:pPr>
      <w:r>
        <w:rPr>
          <w:b/>
          <w:bCs/>
        </w:rPr>
        <w:t>Closing Statement:</w:t>
      </w:r>
      <w:r>
        <w:t xml:space="preserve"> We believe these revisions have significantly strengthened the technical rigor and practical relevance of our work. Data for all experiments is available upon request.</w:t>
      </w:r>
    </w:p>
    <w:p w14:paraId="08CEEDB0" w14:textId="77777777" w:rsidR="00912F49" w:rsidRDefault="00000000">
      <w:pPr>
        <w:spacing w:after="240"/>
      </w:pPr>
      <w:r>
        <w:t>Sincerely,</w:t>
      </w:r>
    </w:p>
    <w:p w14:paraId="05813E1A" w14:textId="77777777" w:rsidR="00912F49" w:rsidRDefault="00000000">
      <w:pPr>
        <w:spacing w:after="240"/>
      </w:pPr>
      <w:r>
        <w:t xml:space="preserve">Dhanish Jose &amp; Pradeepmon TG </w:t>
      </w:r>
    </w:p>
    <w:p w14:paraId="4A3811A9" w14:textId="77777777" w:rsidR="00912F49" w:rsidRDefault="00912F49"/>
    <w:sectPr w:rsidR="00912F4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C805958-8F5A-4CC3-AB46-623E4EC9F38D}"/>
  </w:font>
  <w:font w:name="Cambria">
    <w:panose1 w:val="02040503050406030204"/>
    <w:charset w:val="00"/>
    <w:family w:val="roman"/>
    <w:pitch w:val="variable"/>
    <w:sig w:usb0="E00006FF" w:usb1="420024FF" w:usb2="02000000" w:usb3="00000000" w:csb0="0000019F" w:csb1="00000000"/>
    <w:embedRegular r:id="rId2" w:fontKey="{3D808F9A-A8C4-4D0B-9EA6-A64064AA4D5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45E0C"/>
    <w:multiLevelType w:val="multilevel"/>
    <w:tmpl w:val="660C7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3A70BFB"/>
    <w:multiLevelType w:val="multilevel"/>
    <w:tmpl w:val="89BA06E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38595698">
    <w:abstractNumId w:val="1"/>
  </w:num>
  <w:num w:numId="2" w16cid:durableId="819809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2F49"/>
    <w:rsid w:val="000B5C88"/>
    <w:rsid w:val="000D0CE9"/>
    <w:rsid w:val="001417AD"/>
    <w:rsid w:val="001B2762"/>
    <w:rsid w:val="0026387F"/>
    <w:rsid w:val="002B50D9"/>
    <w:rsid w:val="004378A3"/>
    <w:rsid w:val="004E060E"/>
    <w:rsid w:val="00683FAD"/>
    <w:rsid w:val="00696900"/>
    <w:rsid w:val="00882DD4"/>
    <w:rsid w:val="008A1851"/>
    <w:rsid w:val="008A2B0C"/>
    <w:rsid w:val="00912F49"/>
    <w:rsid w:val="009A4524"/>
    <w:rsid w:val="009A4D38"/>
    <w:rsid w:val="00A2016D"/>
    <w:rsid w:val="00B97910"/>
    <w:rsid w:val="00BB7740"/>
    <w:rsid w:val="00C81018"/>
    <w:rsid w:val="00CE7F76"/>
    <w:rsid w:val="00D74905"/>
    <w:rsid w:val="00EC3941"/>
    <w:rsid w:val="00F761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19922"/>
  <w15:docId w15:val="{0B9CB931-014E-4F25-8D3E-605A482EA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F761A5"/>
    <w:rPr>
      <w:rFonts w:ascii="Times New Roman" w:hAnsi="Times New Roman" w:cs="Times New Roman"/>
      <w:sz w:val="24"/>
      <w:szCs w:val="24"/>
    </w:rPr>
  </w:style>
  <w:style w:type="paragraph" w:styleId="ListParagraph">
    <w:name w:val="List Paragraph"/>
    <w:basedOn w:val="Normal"/>
    <w:uiPriority w:val="34"/>
    <w:qFormat/>
    <w:rsid w:val="00683F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16</Pages>
  <Words>7295</Words>
  <Characters>41588</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dhanish jose</dc:creator>
  <cp:lastModifiedBy>dhanish jose</cp:lastModifiedBy>
  <cp:revision>2</cp:revision>
  <dcterms:created xsi:type="dcterms:W3CDTF">2026-05-27T04:47:00Z</dcterms:created>
  <dcterms:modified xsi:type="dcterms:W3CDTF">2026-05-27T04:47:00Z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d969eff3-4a9c-4bb1-ae1a-bed3bd5b8901</vt:lpwstr>
  </property>
</Properties>
</file>