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Experiments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link prediction task on the Cora citation graph, I implemented two classic graph similarity baselines: Common Neighbors and Adamic-Adar index. Both functions are written in `baseline.py`, with readable inline documentation to explain the input, output and calculation logic.</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evaluation pipeline is built in Colab. The workflow includes graph loading, train-test edge splitting, prediction score calculation and metric evaluation. I used ROC-AUC and Average Precision (AP) as the evaluation metrics. After computing similarity scores from the baseline methods, the pipeline automatically exports all numerical results into Excel files for easy inspection.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performance variance caused by random edge splitting, I ran the experiment repeatedly for five independent trials. In each trial, the train/test edge split was generated separately. After collecting results from all five runs, I calculated the mean value and standard deviation of ROC-AUC and AP. This approach makes the experimental results more reliable, rather than relying on a single random split.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code was fully tested. I fixed runtime errors and commented out the old repeated-experiment code block. This prevents retraining when users click “Run all” in the notebook. I also documented all parameters and usage notes inside `handover_notes.txt` so other group members can reproduce the experiment without extra debugging.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the averaged performance from 5 repeated runs.</w:t>
      </w:r>
    </w:p>
    <w:p w:rsidR="00000000" w:rsidDel="00000000" w:rsidP="00000000" w:rsidRDefault="00000000" w:rsidRPr="00000000" w14:paraId="0000000D">
      <w:pPr>
        <w:rPr>
          <w:rFonts w:ascii="Times New Roman" w:cs="Times New Roman" w:eastAsia="Times New Roman" w:hAnsi="Times New Roman"/>
          <w:sz w:val="24"/>
          <w:szCs w:val="24"/>
        </w:rPr>
      </w:pPr>
      <w:bookmarkStart w:colFirst="0" w:colLast="0" w:name="_n8jhmmpaxoh5" w:id="0"/>
      <w:bookmarkEnd w:id="0"/>
      <w:r w:rsidDel="00000000" w:rsidR="00000000" w:rsidRPr="00000000">
        <w:rPr>
          <w:rtl w:val="0"/>
        </w:rPr>
      </w:r>
    </w:p>
    <w:tbl>
      <w:tblPr>
        <w:tblStyle w:val="Table1"/>
        <w:tblW w:w="86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85"/>
        <w:gridCol w:w="3412"/>
        <w:gridCol w:w="2429"/>
        <w:tblGridChange w:id="0">
          <w:tblGrid>
            <w:gridCol w:w="2785"/>
            <w:gridCol w:w="3412"/>
            <w:gridCol w:w="2429"/>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0E">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0F">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ROC-AUC (mean ± std)</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0">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 (mean ± std)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1">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GAE</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2">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0.9020 ± 0.0164</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3">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0.9096 ± 0.0160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4">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Common Neighbors</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5">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0.7192 ± 0.0080</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6">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0.7160 ± 0.0080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7">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Adamic-Adar</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8">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0.7202 ± 0.0080</w:t>
            </w:r>
          </w:p>
        </w:tc>
        <w:tc>
          <w:tcPr>
            <w:tcBorders>
              <w:top w:color="cccccc" w:space="0" w:sz="8" w:val="single"/>
              <w:left w:color="cccccc" w:space="0" w:sz="8" w:val="single"/>
              <w:bottom w:color="cccccc" w:space="0" w:sz="8" w:val="single"/>
              <w:right w:color="cccccc" w:space="0" w:sz="8"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19">
            <w:pPr>
              <w:keepNext w:val="0"/>
              <w:keepLines w:val="0"/>
              <w:widowControl w:val="1"/>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0.7202 ± 0.0071</w:t>
            </w:r>
          </w:p>
        </w:tc>
      </w:tr>
    </w:tbl>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GAE model achieves better prediction performance compared with the two hand-crafted similarity baselines. The two baseline methods produce close results on this dataset. The small standard deviation across five runs shows the stability of the experiment setup.</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Instead of only performing one single experiment, multiple repeated trials with mean and standard deviation are adopted, which greatly improves the credibility and statistical robustness of experimental findings.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complete, fully reproducible end-to-end pipeline is constructed. All experimental results can be automatically saved and exported, with source code annotated for readability.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Comprehensive handover documentation is provided, clearly describing file structure, experimental parameters and workflow details for team collaboration and reproduction.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initial baseline setup, the evaluation was expanded to rigorously benchmark both Graph Autoencoder (GAE) and Variational Graph Autoencoder (VGAE) models alongside heuristic baselines (Common Neighbors and Adamic-Adar) across the Cora and CiteSeer citation graph datasets through 10 independent repeated trials to eliminate edge-splitting bias and ensure statistical reliability.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GAE and VGAE significantly outperform classical topological heuristics by leveraging rich node feature matrices through GCN encoders, with standard GAE consistently achieving higher ROC-AUC and AP scores than VGAE on both datasets, while the exceptionally low standard deviations across all 40 individual model runs confirm high experimental stability, robustness, and full reproducibility of the evaluation pipeline.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11659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7313" cy="116591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Link prediction performance comparison (Mean ± Std %) across 10 independent runs on the Cora dataset.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111345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05413" cy="111345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Link prediction performance comparison (Mean ± Std %) across 10 independent runs on the CiteSeer dataset.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quantitative results reveal a massive performance gap between deep learning architectures and classical heuristics, where GAE outperforms Common Neighbors, highlighting the critical role of node feature integration; furthermore, both Cora models consistently yield higher success metrics than CiteSeer, reflecting that CiteSeer possesses a structurally noisier graph topology that naturally increases link prediction difficulty.</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 complete the benchmark, I extended the evaluation to the PubMed dataset, the largest of the three citation graphs, and consolidated the results of all three datasets into a single comparison with Table 1 of the original VGAE paper (Kipf &amp; Welling, 2016).</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models use the code of PyTorch Geometric's autoencoder.py example without changes: a two-layer GCN encoder with a 16-dimensional embedding, the Adam optimizer with a learning rate of 0.01, and 400 training epochs. Edges are split with RandomLinkSplit into 85% training, 5% validation and 10% test edges, and the AUC and AP of the final epoch are recorded. Each model was run 10 times with seeds 0 to 9, so every run uses a different random split.</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One change was needed to satisfy the requirement that the baseline is evaluated on the same hidden edges as GAE. The script draws a new random split each time it starts and discards it, so a separately run baseline is scored on different test edges. I therefore ran the example's model code inside a single loop: in every run, GAE, VGAE, Common Neighbors and Adamic-Adar are evaluated on exactly the same test positives and negatives. The heuristics are computed on the training graph only, and a check confirmed that none of the test edges appear in it.</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 keep the three datasets directly comparable, I also re-ran Cora and CiteSeer with this pipeline. The earlier CiteSeer runs used 200 training epochs instead of the 400 epochs of the official example, which mainly lowered the VGAE scores. Table 4 therefore reports the 400-epoch re-runs for all three datasets.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bl>
      <w:tblPr>
        <w:tblW w:w="8300" w:type="dxa"/>
        <w:jc w:val="center"/>
        <w:tblLayout w:type="fixed"/>
        <w:tblLook w:val="0000"/>
      </w:tblPr>
      <w:tblGrid>
        <w:gridCol w:w="1300"/>
        <w:gridCol w:w="2200"/>
        <w:gridCol w:w="2400"/>
        <w:gridCol w:w="2400"/>
      </w:tblGrid>
      <w:tr>
        <w:trPr>
          <w:tblHeader/>
        </w:trPr>
        <w:tc>
          <w:tcPr>
            <w:tcW w:w="13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Dataset</w:t>
            </w:r>
          </w:p>
        </w:tc>
        <w:tc>
          <w:tcPr>
            <w:tcW w:w="22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Model</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AUC_mean_std</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AP_mean_std</w:t>
            </w:r>
          </w:p>
        </w:tc>
      </w:tr>
      <w:tr>
        <w:trPr>
          <w:cantSplit/>
        </w:trPr>
        <w:tc>
          <w:tcPr>
            <w:tcW w:w="13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2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GAE</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96.60 ± 0.18%</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96.68 ± 0.20%</w:t>
            </w:r>
          </w:p>
        </w:tc>
      </w:tr>
      <w:tr>
        <w:trPr>
          <w:cantSplit/>
        </w:trPr>
        <w:tc>
          <w:tcPr>
            <w:tcW w:w="13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2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VGAE</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95.08 ± 0.59%</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95.21 ± 0.53%</w:t>
            </w:r>
          </w:p>
        </w:tc>
      </w:tr>
      <w:tr>
        <w:trPr>
          <w:cantSplit/>
        </w:trPr>
        <w:tc>
          <w:tcPr>
            <w:tcW w:w="13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2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Common Neighbors</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0.38%</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64.25 ± 0.38%</w:t>
            </w:r>
          </w:p>
        </w:tc>
      </w:tr>
      <w:tr>
        <w:trPr>
          <w:cantSplit/>
        </w:trPr>
        <w:tc>
          <w:tcPr>
            <w:tcW w:w="13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2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Adamic-Adar</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0.38%</w:t>
            </w:r>
          </w:p>
        </w:tc>
        <w:tc>
          <w:tcPr>
            <w:tcW w:w="24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0.40%</w:t>
            </w:r>
          </w:p>
        </w:tc>
      </w:tr>
    </w:tbl>
    <w:p>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Table 3:</w:t>
      </w:r>
      <w:r>
        <w:rPr>
          <w:rFonts w:ascii="Times New Roman" w:cs="Times New Roman" w:eastAsia="Times New Roman" w:hAnsi="Times New Roman"/>
          <w:sz w:val="24"/>
          <w:szCs w:val="24"/>
        </w:rPr>
        <w:t xml:space="preserve"> Link prediction performance comparison (Mean ± Std %) across 10 independent runs on the PubMed dataset.</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 PubMed, both autoencoders reproduce the published results: GAE reaches 96.60 ± 0.18% AUC against 96.4% in the paper, and VGAE reaches 95.08 ± 0.59% against 94.4%. The heuristic baselines score only about 64%, the largest gap between the neural models and the heuristics among the three datasets.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bl>
      <w:tblPr>
        <w:tblW w:w="8300" w:type="dxa"/>
        <w:jc w:val="center"/>
        <w:tblLayout w:type="fixed"/>
        <w:tblLook w:val="0000"/>
      </w:tblPr>
      <w:tblGrid>
        <w:gridCol w:w="1100"/>
        <w:gridCol w:w="2050"/>
        <w:gridCol w:w="1800"/>
        <w:gridCol w:w="1800"/>
        <w:gridCol w:w="1550"/>
      </w:tblGrid>
      <w:tr>
        <w:trPr>
          <w:tblHeader/>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Dataset</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Model</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AUC_mean_std</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AP_mean_std</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Paper AUC / AP</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Cora</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90.69 ± 0.93%</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91.25 ± 1.13%</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91.0 / 92.0</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Cora</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89.05 ± 1.08%</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89.48 ± 0.92%</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91.4 / 92.6</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Cora</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Common Neighbors</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71.92 ± 0.92%</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71.69 ± 0.98%</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Cora</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Adamic-Adar</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71.98 ± 0.93%</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72.01 ± 0.97%</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CiteSeer</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88.82 ± 1.12%</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89.63 ± 1.30%</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89.5 / 89.9</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CiteSeer</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86.61 ± 1.67%</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87.25 ± 1.87%</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90.8 / 92.0</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CiteSeer</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Common Neighbors</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66.49 ± 0.92%</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66.42 ± 0.97%</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CiteSeer</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Adamic-Adar</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66.50 ± 0.91%</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66.50 ± 0.87%</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96.60 ± 0.18%</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96.68 ± 0.20%</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96.4 / 96.5</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VGAE</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95.08 ± 0.59%</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95.21 ± 0.53%</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94.4 / 94.7</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Common Neighbors</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0.38%</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64.25 ± 0.38%</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1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PubMed</w:t>
            </w:r>
          </w:p>
        </w:tc>
        <w:tc>
          <w:tcPr>
            <w:tcW w:w="20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Adamic-Adar</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0.38%</w:t>
            </w:r>
          </w:p>
        </w:tc>
        <w:tc>
          <w:tcPr>
            <w:tcW w:w="180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64.29 ± 0.40%</w:t>
            </w:r>
          </w:p>
        </w:tc>
        <w:tc>
          <w:tcPr>
            <w:tcW w:w="1550" w:type="dxa"/>
            <w:tcBorders>
              <w:top w:color="cccccc" w:space="0" w:sz="8" w:val="single"/>
              <w:left w:color="cccccc" w:space="0" w:sz="8" w:val="single"/>
              <w:bottom w:color="cccccc" w:space="0" w:sz="8" w:val="single"/>
              <w:right w:color="cccccc" w:space="0" w:sz="8" w:val="single"/>
            </w:tcBorders>
            <w:shd w:fill="auto" w:val="clear"/>
            <w:tcMar>
              <w:top w:w="120" w:type="dxa"/>
              <w:left w:w="120" w:type="dxa"/>
              <w:bottom w:w="120" w:type="dxa"/>
              <w:right w:w="120" w:type="dxa"/>
            </w:tcMar>
            <w:vAlign w:val="center"/>
          </w:tcPr>
          <w:p>
            <w:pPr>
              <w:keepNext/>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bl>
    <w:p>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Table 4:</w:t>
      </w:r>
      <w:r>
        <w:rPr>
          <w:rFonts w:ascii="Times New Roman" w:cs="Times New Roman" w:eastAsia="Times New Roman" w:hAnsi="Times New Roman"/>
          <w:sz w:val="24"/>
          <w:szCs w:val="24"/>
        </w:rPr>
        <w:t xml:space="preserve"> Final comparison of all models on the three datasets (Mean ± Std %, 10 independent runs, 400 epochs) against Table 1 of Kipf &amp; Welling (2016).</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GAE reproduces the paper on all three datasets, staying within one standard deviation of the published values. On Cora it reaches 90.69 ± 0.93% AUC, which also agrees closely with the 90.6 ± 0.9% obtained by an independent study that ran the same code. VGAE matches the paper on PubMed but falls 2.3 AUC points short on Cora and 4.2 points short on CiteSeer. Training length explains part of this gap: with 200 epochs, VGAE reached only 83.27% on Cora and 79.43% on CiteSeer, compared with 89.05% and 86.61% after 400 epochs. The remaining difference is most likely due to implementation details, since the PyG example trains with sampled negative edges instead of the full adjacency matrix used in the original code.</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Because every model is evaluated on the same split in each run, the runs can be compared pairwise. GAE outperformed Adamic-Adar in all 30 runs, by an average of 18.7 AUC points on Cora, 22.3 on CiteSeer and 32.3 on PubMed, and it outperformed VGAE in all 30 runs. The low heuristic scores follow from the sparsity of these graphs: random negative pairs almost never share a neighbour, and many true test links do not have a common neighbour either, so the heuristics cannot separate them. This is consistent with Common Neighbors and Adamic-Adar giving nearly identical results, often with equal AUC and AP.</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These comparisons use easy random negatives and untuned models, which is the evaluation setting that the HeaRT study criticises. In the next milestone, we will therefore add SEAL, evaluate all models on HeaRT's harder test examples and tune every model, including the heuristics, with the same effort.</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1033-12.1.21938.21938</vt:lpwstr>
  </property>
  <property fmtid="{D5CDD505-2E9C-101B-9397-08002B2CF9AE}" pid="3" name="ICV">
    <vt:lpwstr>8405B5430CAE676DC386D36A874221FF_41</vt:lpwstr>
  </property>
</Properties>
</file>