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CASE &amp; TRIAL MONITORING SYSTEM</w:t>
      </w:r>
    </w:p>
    <w:p>
      <w:pPr>
        <w:spacing w:after="40"/>
        <w:jc w:val="center"/>
      </w:pPr>
      <w:r>
        <w:rPr>
          <w:color w:val="595959"/>
          <w:sz w:val="24"/>
          <w:szCs w:val="24"/>
        </w:rPr>
        <w:t xml:space="preserve">Requirement Specification &amp; Confirmed Build Plan</w:t>
      </w:r>
    </w:p>
    <w:p>
      <w:pPr>
        <w:spacing w:after="40"/>
        <w:jc w:val="center"/>
      </w:pPr>
      <w:r>
        <w:rPr>
          <w:b/>
          <w:bCs/>
          <w:color w:val="C00000"/>
          <w:sz w:val="18"/>
          <w:szCs w:val="18"/>
        </w:rPr>
        <w:t xml:space="preserve">Version 3 — Final Draft, All Specifications Locked</w:t>
      </w:r>
    </w:p>
    <w:p>
      <w:pPr>
        <w:pBdr>
          <w:bottom w:val="single" w:color="1F4E79" w:sz="6" w:space="8"/>
        </w:pBd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Working record — to be referred across subsequent sessions</w:t>
      </w:r>
    </w:p>
    <w:p>
      <w:pPr>
        <w:pStyle w:val="Heading1"/>
      </w:pPr>
      <w:r>
        <w:t xml:space="preserve">1.  Purpose &amp;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follow-up and reminder mechanism for every case — FIR registration through investigation, charge sheet, and trial monitoring.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Scale &amp; use: </w:t>
      </w:r>
      <w:r>
        <w:t xml:space="preserve">single-user (the investigator's own consumption); up to ~30 cases monitored at a time, of which up to ~10 are actively prioritised.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Macro view — </w:t>
      </w:r>
      <w:r>
        <w:t xml:space="preserve">a unified dashboard: all cases, deadlines, court priorities at a glance.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Micro view — </w:t>
      </w:r>
      <w:r>
        <w:t xml:space="preserve">drill into any single case down to minute detail: every letter, date, accused, custody history, evidence-report status, as and when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 method: </w:t>
      </w:r>
      <w:r>
        <w:t xml:space="preserve">the user feeds the case brief (FIR dates, arrests, evidence, pointers) and updates daily, case-wise.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 marking: </w:t>
      </w:r>
      <w:r>
        <w:t xml:space="preserve">the user can flag up to ~10 priority cases at any time (fluid — promote/demote as cases flare up or go quiet). Priority cases pin to the top of the dashboard with fuller detail and all engines firing; lighter cases still carry auto-computed deadlines (e.g. trial dates) and alert silently, but need not carry the heavier upkeep (mind-map/gallery/granular registers) until promoted.</w:t>
      </w:r>
    </w:p>
    <w:p>
      <w:pPr>
        <w:pStyle w:val="Heading1"/>
      </w:pPr>
      <w:r>
        <w:t xml:space="preserve">2.  Priority &amp; Reminder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Superior Court Zone (top priority, separately highlighted): </w:t>
      </w:r>
      <w:r>
        <w:t xml:space="preserve">SLPs at Supreme Court, Writ Petitions and similar SC &amp; HC matters.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Distinct highlight </w:t>
      </w:r>
      <w:r>
        <w:t xml:space="preserve">wherever a matter is taken up with SC or HC.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Routine court matters </w:t>
      </w:r>
      <w:r>
        <w:t xml:space="preserve">(under Court Matters, with dates): bail objection, remand extension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reminders begin </w:t>
      </w:r>
      <w:r>
        <w:rPr>
          <w:b/>
          <w:bCs/>
        </w:rPr>
        <w:t xml:space="preserve">15 days before</w:t>
      </w:r>
      <w:r>
        <w:t xml:space="preserve"> due; custody production reminder </w:t>
      </w:r>
      <w:r>
        <w:rPr>
          <w:b/>
          <w:bCs/>
        </w:rPr>
        <w:t xml:space="preserve">1 day prior.</w:t>
      </w:r>
    </w:p>
    <w:p>
      <w:pPr>
        <w:pStyle w:val="Heading1"/>
      </w:pPr>
      <w:r>
        <w:t xml:space="preserve">3.  Fixed Case Structure (13 Headings)</w:t>
      </w:r>
    </w:p>
    <w:p>
      <w:pPr>
        <w:spacing w:after="120"/>
      </w:pPr>
      <w:r>
        <w:rPr>
          <w:sz w:val="20"/>
          <w:szCs w:val="20"/>
        </w:rPr>
        <w:t xml:space="preserve">Every case carries these headings, in this exact order: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Case number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Identity of the case (1 line)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Sections of law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Date of occurrence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Date of registration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Brief of the case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Number of accused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Progress of investigation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Evidences collected (with report mapping + No. of witnesses column)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Status of trial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Court matters (with dates)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List of accused with status (incl. LOC/Interpol + custody history)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Plan of action</w:t>
      </w:r>
    </w:p>
    <w:p>
      <w:pPr>
        <w:pStyle w:val="Heading1"/>
      </w:pPr>
      <w:r>
        <w:t xml:space="preserve">4.  Two Deadline Engines → One Dashboard</w:t>
      </w:r>
    </w:p>
    <w:p>
      <w:pPr>
        <w:pStyle w:val="Heading2"/>
      </w:pPr>
      <w:r>
        <w:t xml:space="preserve">4.1  Investigation Deadline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Progress Reports (PR): </w:t>
      </w:r>
      <w:r>
        <w:t xml:space="preserve">First PR ≤ 15 days of registration; monthly PR from the 1st of each month; critical by the 7th (never pending beyond 7 days). Court PR after charge sheet of all accused or closure.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Final Reports (FR): </w:t>
      </w:r>
      <w:r>
        <w:t xml:space="preserve">by date of arrest (table below). FR-II simultaneous; SP comments ≤ 1 week of FR-II; hierarchy SP→DIG→IG→ALA→LA→ADG/SDG→DG indicative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Hard flag: </w:t>
      </w:r>
      <w:r>
        <w:t xml:space="preserve">if DG order not passed within 7 days of SP remarks.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Custody (BNSS): </w:t>
      </w:r>
      <w:r>
        <w:t xml:space="preserve">statutory limit 180/90/60 days by arrest + offence type; user feeds custody end date → remind 1 day prior; previous custody recorded.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Expert-report follow-up: </w:t>
      </w:r>
      <w:r>
        <w:t xml:space="preserve">FSL, ballistic, device imaging, etc. — alert fires automatically once pending beyond 2 days from the forwarding date; alert switches off the moment the report is marked received.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 type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Statutory limit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Buffered target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UAPA cases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150 days (5 months) from arrest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150 days (as specified)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Scheduled offence (higher)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90 days from arrest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75 days from arrest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Scheduled offence (lower)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60 days from arrest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45 days from arrest</w:t>
            </w:r>
          </w:p>
        </w:tc>
      </w:tr>
    </w:tbl>
    <w:p>
      <w:pPr>
        <w:pStyle w:val="Heading2"/>
      </w:pPr>
      <w:r>
        <w:t xml:space="preserve">4.2  Court Trial Deadline Engine</w:t>
      </w:r>
    </w:p>
    <w:p>
      <w:pPr>
        <w:spacing w:after="120"/>
      </w:pPr>
      <w:r>
        <w:rPr>
          <w:sz w:val="20"/>
          <w:szCs w:val="20"/>
        </w:rPr>
        <w:t xml:space="preserve">Separate module, connected to the dashboard: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hearing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Bail hearing date (if any)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Witness examination / deposition 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Charge framing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arguments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Judgment / order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superior-court (SC/HC) listing — distinct highlight + 15-day reminder</w:t>
      </w:r>
    </w:p>
    <w:p>
      <w:pPr>
        <w:pStyle w:val="Heading1"/>
      </w:pPr>
      <w:r>
        <w:t xml:space="preserve">5.  Attached Panels (per case)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Reference Laws (preloaded, read-only, source-cited): </w:t>
      </w:r>
      <w:r>
        <w:t xml:space="preserve">NIA Act 2008 as amended by NIA (Amendment) Act 2019 + Scheduled Offences; Foreigners Act; Emigration 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Banned Organisations / Terrorists: </w:t>
      </w:r>
      <w:r>
        <w:t xml:space="preserve">manual entry; linked system-wide — any fed name appears </w:t>
      </w:r>
      <w:r>
        <w:rPr>
          <w:b/>
          <w:bCs/>
          <w:color w:val="C00000"/>
        </w:rPr>
        <w:t xml:space="preserve">RED wherever mentioned, incl. case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Evidence ↔ Report mapping </w:t>
      </w:r>
      <w:r>
        <w:t xml:space="preserve">with No. of Witnesses column and expert-report pending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Sanctions: </w:t>
      </w:r>
      <w:r>
        <w:t xml:space="preserve">statutory + DG — required / pending / obtained.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Place of Occurrence </w:t>
      </w:r>
      <w:r>
        <w:t xml:space="preserve">on Google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 / Interpol Notices </w:t>
      </w:r>
      <w:r>
        <w:t xml:space="preserve">per accused.</w:t>
      </w:r>
    </w:p>
    <w:p>
      <w:pPr>
        <w:pStyle w:val="Heading1"/>
      </w:pPr>
      <w:r>
        <w:t xml:space="preserve">6.  Process &amp; Requests Tracker</w:t>
      </w:r>
    </w:p>
    <w:p>
      <w:pPr>
        <w:spacing w:after="120"/>
      </w:pPr>
      <w:r>
        <w:rPr>
          <w:sz w:val="20"/>
          <w:szCs w:val="20"/>
        </w:rPr>
        <w:t xml:space="preserve">Per-case tracker for formal requests raised during arrest / investigation, linked to the accused: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Types: LOC (Look-Out Circular); MLA / Letters Rogatory; Interpol notices (Red/Blue etc.); NBW / proclamation / attachment; plus custom types.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entry: type, linked accused, reference/letter no., date raised, authority addressed, status (requested/pending/granted/executed/rejected), expected-response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Alerts: </w:t>
      </w:r>
      <w:r>
        <w:t xml:space="preserve">flag when pending past the expected-response date set per request; optional standard default if none set.</w:t>
      </w:r>
    </w:p>
    <w:p>
      <w:pPr>
        <w:pStyle w:val="Heading1"/>
      </w:pPr>
      <w:r>
        <w:t xml:space="preserve">7.  Connected Document Repository (Local Server)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maintains a case-wise folder on their own computer acting as the local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layout (proposed): parent folder → one sub-folder per case named by case number → an index file the app reads for letter numbers / dates / subjects.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Real-time ingestion: </w:t>
      </w:r>
      <w:r>
        <w:t xml:space="preserve">the app reads and inculcates details at the point documents are uploaded into the case folder — letter numbers, dates, references — and affixes them under the relevant case headers on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Auto-fetch model (what is realistic): </w:t>
      </w:r>
      <w:r>
        <w:t xml:space="preserve">(i) from the index file — letter numbers, dates, subjects, direction: dependable; (ii) from a consistent file-naming convention (e.g. date_type_reference.pdf): parsed automatically; (iii) from inside PDF/Word text: possible only on the deployed machine and never fully reliable — always treated as a draft for the user's confirmation, never as verified truth. The user enters only what could not be fetched.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Go-forward data strategy (handling legacy backlog): </w:t>
      </w:r>
      <w:r>
        <w:t xml:space="preserve">do NOT back-fill everything. Adopt a cutoff — new documents are saved and indexed properly from day one; old files are pulled in only if/when a case becomes active or priority. For old cases enter only the 13-heading 'spine' at summary level plus live forward dates (next hearing, pending FR, custody). Index/point to where documents already live rather than importing every scanned page. Seed the ~10 priority cases first; the rest carry minimal data until they need attention.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Deployment note: </w:t>
      </w:r>
      <w:r>
        <w:t xml:space="preserve">live folder fetch runs when the app is executed on the user's machine. In the chat preview the same app runs with manual entry / attach; the data model and dashboard behaviour are identical. Folder-sync switches on at deployment without a rebuild.</w:t>
      </w:r>
    </w:p>
    <w:p>
      <w:pPr>
        <w:pStyle w:val="Heading1"/>
      </w:pPr>
      <w:r>
        <w:t xml:space="preserve">8.  Briefing Note Generator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Produces a concise briefing note in the same 13-heading format, on demand.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 limited to a single physical page: </w:t>
      </w:r>
      <w:r>
        <w:t xml:space="preserve">runs to the minimum number of pages (more than one as needed) required to fill all 13 headings with their relevant details.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quick reference / briefing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Printable and downloadable </w:t>
      </w:r>
      <w:r>
        <w:t xml:space="preserve">(clean A4 layout, ready for signature / circulation).</w:t>
      </w:r>
    </w:p>
    <w:p>
      <w:pPr>
        <w:pStyle w:val="Heading1"/>
      </w:pPr>
      <w:r>
        <w:t xml:space="preserve">9.  In-App Search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search across all cases for easy in-app guidance.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Scope: structured fields — case number, letter/reference number, accused name, section of law, date, banned-org name, court matter.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not peer inside document contents (by design).</w:t>
      </w:r>
    </w:p>
    <w:p>
      <w:pPr>
        <w:pStyle w:val="Heading1"/>
      </w:pPr>
      <w:r>
        <w:t xml:space="preserve">10.  Mind Map (per case)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Central node: case number </w:t>
      </w:r>
      <w:r>
        <w:t xml:space="preserve">(with identity 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First-level branches mirror the 13 headings.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Colour coding: </w:t>
      </w:r>
      <w:r>
        <w:t xml:space="preserve">accused by status; banned-org / terrorist nodes in </w:t>
      </w:r>
      <w:r>
        <w:rPr>
          <w:b/>
          <w:bCs/>
          <w:color w:val="C00000"/>
        </w:rPr>
        <w:t xml:space="preserve">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Images on nodes: </w:t>
      </w:r>
      <w:r>
        <w:t xml:space="preserve">upload accused photos, place of occurrence, evidence/exhibit pictures — shown as thumbnails on their respective nodes.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Linked evidence: </w:t>
      </w:r>
      <w:r>
        <w:t xml:space="preserve">an exhibit image ties to its evidence→report entry, showing linked report status and witness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Plus a per-case image gallery </w:t>
      </w:r>
      <w:r>
        <w:t xml:space="preserve">(all photos tagged accused / PO / evidence) alongside map thumbnails.</w:t>
      </w:r>
    </w:p>
    <w:p>
      <w:pPr>
        <w:pStyle w:val="Heading1"/>
      </w:pPr>
      <w:r>
        <w:t xml:space="preserve">11.  Accused Status — 11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62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Police custody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 police custody.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Judicial custody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 judicial custody.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 arrested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Named but not yet arrested.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Absconding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Evading arrest / whereabouts unknown.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Killed / Dead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Deceased.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Surrendered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Voluntarily surrendered.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Approver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Turned approver / prosecution witness.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Charge-sheeted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Charge sheet filed against accused.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Under investigation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Role still under investigation.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Acquitted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Court tried and found not guilty.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Dropped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Removed / not sent for trial by investigation.</w:t>
            </w:r>
          </w:p>
        </w:tc>
      </w:tr>
    </w:tbl>
    <w:p>
      <w:pPr>
        <w:pStyle w:val="Heading1"/>
      </w:pPr>
      <w:r>
        <w:t xml:space="preserve">12.  Status</w:t>
      </w:r>
    </w:p>
    <w:p>
      <w:pPr>
        <w:spacing w:after="120"/>
      </w:pPr>
      <w:r>
        <w:rPr>
          <w:sz w:val="20"/>
          <w:szCs w:val="20"/>
        </w:rPr>
        <w:t xml:space="preserve">All specifications are finalised. Pending decision: Google Calendar linking (recommended .ics one-way export first; live sync on server deployment). </w:t>
      </w:r>
      <w:r>
        <w:rPr>
          <w:b/>
          <w:bCs/>
          <w:color w:val="1F4E79"/>
          <w:sz w:val="20"/>
          <w:szCs w:val="20"/>
        </w:rPr>
        <w:t xml:space="preserve">Awaiting the build order.</w:t>
      </w:r>
    </w:p>
    <w:p>
      <w:pPr>
        <w:pBdr>
          <w:top w:val="single" w:color="1F4E79" w:sz="4" w:space="6"/>
        </w:pBdr>
        <w:spacing w:before="240"/>
      </w:pPr>
      <w:r>
        <w:rPr>
          <w:i/>
          <w:iCs/>
          <w:color w:val="595959"/>
          <w:sz w:val="18"/>
          <w:szCs w:val="18"/>
        </w:rPr>
        <w:t xml:space="preserve">Jai Hind.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Calibri" w:cs="Calibri" w:eastAsia="Calibri" w:hAnsi="Calibri"/>
      <w:b/>
      <w:bCs/>
      <w:color w:val="2E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2026-06-26T03:45:19.318Z</dcterms:created>
  <dcterms:modified xsi:type="dcterms:W3CDTF">2026-06-26T03:45:19.318Z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