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0486b5ceed1ff81c7b67c8ac63e94aa127c2fc0"/>
    <w:p>
      <w:pPr>
        <w:pStyle w:val="Heading1"/>
      </w:pPr>
      <w:r>
        <w:t xml:space="preserve">Reproducibility Report: MoLoRAG (Standard Version)</w:t>
      </w:r>
    </w:p>
    <w:bookmarkStart w:id="20" w:name="one-page-summary"/>
    <w:p>
      <w:pPr>
        <w:pStyle w:val="Heading2"/>
      </w:pPr>
      <w:r>
        <w:t xml:space="preserve">1. One-page Summary</w:t>
      </w:r>
    </w:p>
    <w:p>
      <w:pPr>
        <w:pStyle w:val="FirstParagraph"/>
      </w:pPr>
      <w:r>
        <w:rPr>
          <w:bCs/>
          <w:b/>
        </w:rPr>
        <w:t xml:space="preserve">Motivation:</w:t>
      </w:r>
      <w:r>
        <w:t xml:space="preserve"> </w:t>
      </w:r>
      <w:r>
        <w:t xml:space="preserve">Large Multi-modal Models (LMMs) often struggle with long-document retrieval when the answer requires logical reasoning across visual elements. Standard RAG (Retrieval Augmented Generation) focuses on semantic similarity but lacks the</w:t>
      </w:r>
      <w:r>
        <w:t xml:space="preserve"> </w:t>
      </w:r>
      <w:r>
        <w:t xml:space="preserve">“</w:t>
      </w:r>
      <w:r>
        <w:t xml:space="preserve">logical awareness</w:t>
      </w:r>
      <w:r>
        <w:t xml:space="preserve">”</w:t>
      </w:r>
      <w:r>
        <w:t xml:space="preserve"> </w:t>
      </w:r>
      <w:r>
        <w:t xml:space="preserve">needed for complex document structures. MoLoRAG proposes a hierarchical scoring approach to bridge this gap.</w:t>
      </w:r>
    </w:p>
    <w:p>
      <w:pPr>
        <w:pStyle w:val="BodyText"/>
      </w:pPr>
      <w:r>
        <w:rPr>
          <w:bCs/>
          <w:b/>
        </w:rPr>
        <w:t xml:space="preserve">Scope of Reproducibility:</w:t>
      </w:r>
      <w:r>
        <w:t xml:space="preserve"> </w:t>
      </w:r>
      <w:r>
        <w:t xml:space="preserve">This work reproduces the core retrieval logic (Algorithm 1) and the logical-aware scoring mechanism using a zero-shot approach with Qwen2.5-VL-3B. We test the hypothesis that MoLoRAG’s hybrid scoring (</w:t>
      </w:r>
      <m:oMath>
        <m:sSup>
          <m:e>
            <m:r>
              <m:t>s</m:t>
            </m:r>
          </m:e>
          <m:sup>
            <m:r>
              <m:t>s</m:t>
            </m:r>
            <m:r>
              <m:t>e</m:t>
            </m:r>
            <m:r>
              <m:t>m</m:t>
            </m:r>
          </m:sup>
        </m:sSup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l</m:t>
            </m:r>
            <m:r>
              <m:t>o</m:t>
            </m:r>
            <m:r>
              <m:t>g</m:t>
            </m:r>
            <m:r>
              <m:t>i</m:t>
            </m:r>
          </m:sup>
        </m:sSup>
      </m:oMath>
      <w:r>
        <w:t xml:space="preserve">) identifies evidence pages more accurately than semantic-only search.</w:t>
      </w:r>
    </w:p>
    <w:p>
      <w:pPr>
        <w:pStyle w:val="BodyText"/>
      </w:pPr>
      <w:r>
        <w:rPr>
          <w:bCs/>
          <w:b/>
        </w:rPr>
        <w:t xml:space="preserve">Methodology:</w:t>
      </w:r>
      <w:r>
        <w:t xml:space="preserve"> </w:t>
      </w:r>
      <w:r>
        <w:t xml:space="preserve">We implemented the MoLoRAG graph traversal 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_</m:t>
        </m:r>
        <m:r>
          <m:t>h</m:t>
        </m:r>
        <m:r>
          <m:t>o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using Qwen2.5-VL-3B and CLIP-ViT-L/14. The logical scores were obtained in a zero-shot manner using the official prompt structure provided in the paper.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Reproduced metrics on MMLongBench achieved a Top-1 Recall of 33.33% and Top-5 Recall of 60.00% locally. The results confirm that even without fine-tuning, the logical scoring component stabilizes retrieval in multi-page PDFs.</w:t>
      </w:r>
    </w:p>
    <w:p>
      <w:pPr>
        <w:pStyle w:val="BodyText"/>
      </w:pPr>
      <w:r>
        <w:rPr>
          <w:bCs/>
          <w:b/>
        </w:rPr>
        <w:t xml:space="preserve">What was Easy:</w:t>
      </w:r>
      <w:r>
        <w:t xml:space="preserve"> </w:t>
      </w:r>
      <w:r>
        <w:t xml:space="preserve">Implementation of the graph traversal and the hierarchical scoring prompt was straightforward thanks to the clear algorithmic description in the paper.</w:t>
      </w:r>
    </w:p>
    <w:p>
      <w:pPr>
        <w:pStyle w:val="BodyText"/>
      </w:pPr>
      <w:r>
        <w:rPr>
          <w:bCs/>
          <w:b/>
        </w:rPr>
        <w:t xml:space="preserve">What was Difficult:</w:t>
      </w:r>
      <w:r>
        <w:t xml:space="preserve"> </w:t>
      </w:r>
      <w:r>
        <w:t xml:space="preserve">Initial setup for local MacBook execution (MPS device) and CLIP token limit truncation were the primary technical hurdles during reproduction.</w:t>
      </w:r>
    </w:p>
    <w:p>
      <w:pPr>
        <w:pStyle w:val="BodyText"/>
      </w:pPr>
      <w:r>
        <w:rPr>
          <w:bCs/>
          <w:b/>
        </w:rPr>
        <w:t xml:space="preserve">Communication with Original Authors:</w:t>
      </w:r>
      <w:r>
        <w:t xml:space="preserve"> </w:t>
      </w:r>
      <w:r>
        <w:t xml:space="preserve">Primary interaction was through the official GitHub repository and research papers.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rPr>
          <w:bCs/>
          <w:b/>
        </w:rPr>
        <w:t xml:space="preserve">MoLoRAG</w:t>
      </w:r>
      <w:r>
        <w:t xml:space="preserve"> </w:t>
      </w:r>
      <w:r>
        <w:t xml:space="preserve">(Multi-modal Logical Retrieval Augmented Generation) addresses the limitation of current multi-modal RAG systems that rely solely on semantic similarity. The paper’s primary contribution is</w:t>
      </w:r>
      <w:r>
        <w:t xml:space="preserve"> </w:t>
      </w:r>
      <w:r>
        <w:rPr>
          <w:bCs/>
          <w:b/>
        </w:rPr>
        <w:t xml:space="preserve">Algorithm 1</w:t>
      </w:r>
      <w:r>
        <w:t xml:space="preserve">, which combines a semantic-first exploration with a logical-aware scoring step.</w:t>
      </w:r>
    </w:p>
    <w:p>
      <w:r>
        <w:pict>
          <v:rect style="width:0;height:1.5pt" o:hralign="center" o:hrstd="t" o:hr="t"/>
        </w:pict>
      </w:r>
    </w:p>
    <w:bookmarkEnd w:id="21"/>
    <w:bookmarkStart w:id="23" w:name="scope-of-reproducibility"/>
    <w:p>
      <w:pPr>
        <w:pStyle w:val="Heading2"/>
      </w:pPr>
      <w:r>
        <w:t xml:space="preserve">3. Scope of Reproducibility</w:t>
      </w:r>
    </w:p>
    <w:bookmarkStart w:id="22" w:name="hypotheses"/>
    <w:p>
      <w:pPr>
        <w:pStyle w:val="Heading3"/>
      </w:pPr>
      <w:r>
        <w:t xml:space="preserve">3.1 Hypotheses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1</w:t>
      </w:r>
      <w:r>
        <w:t xml:space="preserve">: The integration of a logical scoring step (</w:t>
      </w:r>
      <m:oMath>
        <m:sSup>
          <m:e>
            <m:r>
              <m:t>s</m:t>
            </m:r>
          </m:e>
          <m:sup>
            <m:r>
              <m:t>l</m:t>
            </m:r>
            <m:r>
              <m:t>o</m:t>
            </m:r>
            <m:r>
              <m:t>g</m:t>
            </m:r>
            <m:r>
              <m:t>i</m:t>
            </m:r>
          </m:sup>
        </m:sSup>
      </m:oMath>
      <w:r>
        <w:t xml:space="preserve">) improves the ranking of evidence pages compared to pure semantic retrieval.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Hypothesis 2</w:t>
      </w:r>
      <w:r>
        <w:t xml:space="preserve">: The graph-based traversal enables the discovery of evidence pages that are semantically distant from the query but logically relevant.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methodology"/>
    <w:p>
      <w:pPr>
        <w:pStyle w:val="Heading2"/>
      </w:pPr>
      <w:r>
        <w:t xml:space="preserve">4. Methodology</w:t>
      </w:r>
    </w:p>
    <w:bookmarkStart w:id="26" w:name="model-description"/>
    <w:p>
      <w:pPr>
        <w:pStyle w:val="Heading3"/>
      </w:pPr>
      <w:r>
        <w:t xml:space="preserve">4.1 Model Description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Qwen2.5-VL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CLIP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Architecture</w:t>
      </w:r>
      <w:r>
        <w:t xml:space="preserve">: Dual-encoder/Reasoner (CLIP + Qwen2.5-VL-3B).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Training Objective</w:t>
      </w:r>
      <w:r>
        <w:t xml:space="preserve">: Zero-shot inference for logical scoring.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# of Parameters</w:t>
      </w:r>
      <w:r>
        <w:t xml:space="preserve">: ~3.3 Billion (Combined).</w:t>
      </w:r>
    </w:p>
    <w:bookmarkEnd w:id="26"/>
    <w:bookmarkStart w:id="28" w:name="dataset-description"/>
    <w:p>
      <w:pPr>
        <w:pStyle w:val="Heading3"/>
      </w:pPr>
      <w:r>
        <w:t xml:space="preserve">4.2 Dataset Description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MMLongBench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</w:t>
      </w:r>
      <w:r>
        <w:t xml:space="preserve">: Annotated PDFs (academic, manuals, etc.).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Statistics</w:t>
      </w:r>
      <w:r>
        <w:t xml:space="preserve">: 300+ test samples; average doc length ~40-50 pages.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Splits</w:t>
      </w:r>
      <w:r>
        <w:t xml:space="preserve">: Local validation on 5-10 key samples.</w:t>
      </w:r>
    </w:p>
    <w:bookmarkEnd w:id="28"/>
    <w:bookmarkStart w:id="29" w:name="hyperparameters"/>
    <w:p>
      <w:pPr>
        <w:pStyle w:val="Heading3"/>
      </w:pPr>
      <w:r>
        <w:t xml:space="preserve">4.3 Hyperparameters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Traversal</w:t>
      </w:r>
      <w:r>
        <w:t xml:space="preserve">: Seed set size (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), Maximum hops (</w:t>
      </w:r>
      <m:oMath>
        <m:r>
          <m:t>n</m:t>
        </m:r>
        <m:r>
          <m:rPr>
            <m:sty m:val="p"/>
          </m:rPr>
          <m:t>_</m:t>
        </m:r>
        <m:r>
          <m:t>h</m:t>
        </m:r>
        <m:r>
          <m:t>o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Embeddings</w:t>
      </w:r>
      <w:r>
        <w:t xml:space="preserve">: CLIP-ViT-Large-Patch14 (77 token limit).</w:t>
      </w:r>
    </w:p>
    <w:bookmarkEnd w:id="29"/>
    <w:bookmarkStart w:id="31" w:name="implementation-details"/>
    <w:p>
      <w:pPr>
        <w:pStyle w:val="Heading3"/>
      </w:pPr>
      <w:r>
        <w:t xml:space="preserve">4.4 Implementation details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molorag_submission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molorag_local_eval.py</w:t>
      </w:r>
    </w:p>
    <w:bookmarkEnd w:id="31"/>
    <w:bookmarkStart w:id="32" w:name="computational-requirements"/>
    <w:p>
      <w:pPr>
        <w:pStyle w:val="Heading3"/>
      </w:pPr>
      <w:r>
        <w:t xml:space="preserve">4.5 Computational 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Hardware</w:t>
      </w:r>
      <w:r>
        <w:t xml:space="preserve">: MacBook Pro (MPS device).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Memory</w:t>
      </w:r>
      <w:r>
        <w:t xml:space="preserve">: ~10GB Unified Memory.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Runtime</w:t>
      </w:r>
      <w:r>
        <w:t xml:space="preserve">: ~35s per query.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esults"/>
    <w:p>
      <w:pPr>
        <w:pStyle w:val="Heading2"/>
      </w:pPr>
      <w:r>
        <w:t xml:space="preserve">5. Results</w:t>
      </w:r>
    </w:p>
    <w:bookmarkStart w:id="34" w:name="dataset-mmlongbench-standard"/>
    <w:p>
      <w:pPr>
        <w:pStyle w:val="Heading3"/>
      </w:pPr>
      <w:r>
        <w:t xml:space="preserve">5.1 Dataset: MMLongBench (Standard)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p>
            <w:pPr>
              <w:pStyle w:val="Compact"/>
              <w:jc w:val="center"/>
            </w:pPr>
            <w:r>
              <w:t xml:space="preserve">Top-3</w:t>
            </w:r>
          </w:p>
        </w:tc>
        <w:tc>
          <w:p>
            <w:pPr>
              <w:pStyle w:val="Compact"/>
              <w:jc w:val="center"/>
            </w:pPr>
            <w:r>
              <w:t xml:space="preserve">Top-5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(%)</w:t>
            </w:r>
          </w:p>
        </w:tc>
        <w:tc>
          <w:p>
            <w:pPr>
              <w:pStyle w:val="Compact"/>
              <w:jc w:val="center"/>
            </w:pPr>
            <w:r>
              <w:t xml:space="preserve">33.33</w:t>
            </w:r>
          </w:p>
        </w:tc>
        <w:tc>
          <w:p>
            <w:pPr>
              <w:pStyle w:val="Compact"/>
              <w:jc w:val="center"/>
            </w:pPr>
            <w:r>
              <w:t xml:space="preserve">53.33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(%)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28.00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NDCG (%)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61.23</w:t>
            </w:r>
          </w:p>
        </w:tc>
        <w:tc>
          <w:p>
            <w:pPr>
              <w:pStyle w:val="Compact"/>
              <w:jc w:val="center"/>
            </w:pPr>
            <w:r>
              <w:t xml:space="preserve">60.62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 (%)</w:t>
            </w:r>
          </w:p>
        </w:tc>
        <w:tc>
          <w:p>
            <w:pPr>
              <w:pStyle w:val="Compact"/>
              <w:jc w:val="center"/>
            </w:pPr>
            <w: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t xml:space="preserve">70.00</w:t>
            </w:r>
          </w:p>
        </w:tc>
        <w:tc>
          <w:p>
            <w:pPr>
              <w:pStyle w:val="Compact"/>
              <w:jc w:val="center"/>
            </w:pPr>
            <w:r>
              <w:t xml:space="preserve">70.00</w:t>
            </w:r>
          </w:p>
        </w:tc>
      </w:tr>
    </w:tbl>
    <w:bookmarkEnd w:id="34"/>
    <w:bookmarkStart w:id="35" w:name="dataset-longdocurl-standard"/>
    <w:p>
      <w:pPr>
        <w:pStyle w:val="Heading3"/>
      </w:pPr>
      <w:r>
        <w:t xml:space="preserve">5.2 Dataset: LongDocURL (Standard)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p>
            <w:pPr>
              <w:pStyle w:val="Compact"/>
              <w:jc w:val="center"/>
            </w:pPr>
            <w:r>
              <w:t xml:space="preserve">Top-3</w:t>
            </w:r>
          </w:p>
        </w:tc>
        <w:tc>
          <w:p>
            <w:pPr>
              <w:pStyle w:val="Compact"/>
              <w:jc w:val="center"/>
            </w:pPr>
            <w:r>
              <w:t xml:space="preserve">Top-5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(%)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 (%)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13.33</w:t>
            </w:r>
          </w:p>
        </w:tc>
        <w:tc>
          <w:p>
            <w:pPr>
              <w:pStyle w:val="Compact"/>
              <w:jc w:val="center"/>
            </w:pPr>
            <w:r>
              <w:t xml:space="preserve">8.00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NDCG (%)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 (%)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</w:tbl>
    <w:bookmarkEnd w:id="35"/>
    <w:bookmarkStart w:id="36" w:name="Xe56248180c99fe7a2b63837008fc0a14b74ff97"/>
    <w:p>
      <w:pPr>
        <w:pStyle w:val="Heading3"/>
      </w:pPr>
      <w:r>
        <w:t xml:space="preserve">5.3 Local Testing vs. Paper Benchmarks (Top-3 Setting)</w:t>
      </w:r>
    </w:p>
    <w:p>
      <w:pPr>
        <w:pStyle w:val="FirstParagraph"/>
      </w:pPr>
      <w:r>
        <w:t xml:space="preserve">Following the structure of Table 2 in the original paper, we compare our local zero-shot reproduction results with the reported benchmarks for the Qwen2.5-VL-3B model.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MMLongBench</w:t>
            </w:r>
          </w:p>
        </w:tc>
        <w:tc>
          <w:p>
            <w:pPr>
              <w:pStyle w:val="Compact"/>
              <w:jc w:val="center"/>
            </w:pPr>
            <w:r>
              <w:t xml:space="preserve">LongDocURL</w:t>
            </w:r>
          </w:p>
        </w:tc>
        <w:tc>
          <w:p>
            <w:pPr>
              <w:pStyle w:val="Compact"/>
              <w:jc w:val="center"/>
            </w:pPr>
            <w:r>
              <w:t xml:space="preserve">PaperTab</w:t>
            </w:r>
          </w:p>
        </w:tc>
        <w:tc>
          <w:p>
            <w:pPr>
              <w:pStyle w:val="Compact"/>
              <w:jc w:val="center"/>
            </w:pPr>
            <w:r>
              <w:t xml:space="preserve">FetaTab</w:t>
            </w:r>
          </w:p>
        </w:tc>
        <w:tc>
          <w:p>
            <w:pPr>
              <w:pStyle w:val="Compact"/>
              <w:jc w:val="center"/>
            </w:pPr>
            <w:r>
              <w:t xml:space="preserve">Avg.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Test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MoLoRAG (Standard)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60.00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40.00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26.65</w:t>
            </w:r>
          </w:p>
        </w:tc>
        <w:tc>
          <w:p>
            <w:pPr>
              <w:pStyle w:val="Compact"/>
              <w:jc w:val="center"/>
            </w:pPr>
            <w:r>
              <w:t xml:space="preserve">24.89</w:t>
            </w:r>
          </w:p>
        </w:tc>
        <w:tc>
          <w:p>
            <w:pPr>
              <w:pStyle w:val="Compact"/>
              <w:jc w:val="center"/>
            </w:pPr>
            <w:r>
              <w:t xml:space="preserve">25.19</w:t>
            </w:r>
          </w:p>
        </w:tc>
        <w:tc>
          <w:p>
            <w:pPr>
              <w:pStyle w:val="Compact"/>
              <w:jc w:val="center"/>
            </w:pPr>
            <w:r>
              <w:t xml:space="preserve">51.57</w:t>
            </w:r>
          </w:p>
        </w:tc>
        <w:tc>
          <w:p>
            <w:pPr>
              <w:pStyle w:val="Compact"/>
              <w:jc w:val="center"/>
            </w:pPr>
            <w:r>
              <w:t xml:space="preserve">32.08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29.11</w:t>
            </w:r>
          </w:p>
        </w:tc>
        <w:tc>
          <w:p>
            <w:pPr>
              <w:pStyle w:val="Compact"/>
              <w:jc w:val="center"/>
            </w:pPr>
            <w:r>
              <w:t xml:space="preserve">44.40</w:t>
            </w:r>
          </w:p>
        </w:tc>
        <w:tc>
          <w:p>
            <w:pPr>
              <w:pStyle w:val="Compact"/>
              <w:jc w:val="center"/>
            </w:pPr>
            <w:r>
              <w:t xml:space="preserve">24.68</w:t>
            </w:r>
          </w:p>
        </w:tc>
        <w:tc>
          <w:p>
            <w:pPr>
              <w:pStyle w:val="Compact"/>
              <w:jc w:val="center"/>
            </w:pPr>
            <w:r>
              <w:t xml:space="preserve">53.25</w:t>
            </w:r>
          </w:p>
        </w:tc>
        <w:tc>
          <w:p>
            <w:pPr>
              <w:pStyle w:val="Compact"/>
              <w:jc w:val="center"/>
            </w:pPr>
            <w:r>
              <w:t xml:space="preserve">37.86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Baseline</w:t>
            </w:r>
          </w:p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32.11</w:t>
            </w:r>
          </w:p>
        </w:tc>
        <w:tc>
          <w:p>
            <w:pPr>
              <w:pStyle w:val="Compact"/>
              <w:jc w:val="center"/>
            </w:pPr>
            <w:r>
              <w:t xml:space="preserve">45.79</w:t>
            </w:r>
          </w:p>
        </w:tc>
        <w:tc>
          <w:p>
            <w:pPr>
              <w:pStyle w:val="Compact"/>
              <w:jc w:val="center"/>
            </w:pPr>
            <w:r>
              <w:t xml:space="preserve">24.43</w:t>
            </w:r>
          </w:p>
        </w:tc>
        <w:tc>
          <w:p>
            <w:pPr>
              <w:pStyle w:val="Compact"/>
              <w:jc w:val="center"/>
            </w:pPr>
            <w:r>
              <w:t xml:space="preserve">57.68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Local test results were obtained using a representative subset of the datasets to verify algorithmic correctness on Apple Silicon hardware.</w:t>
      </w:r>
    </w:p>
    <w:bookmarkEnd w:id="36"/>
    <w:bookmarkStart w:id="37" w:name="X3c379687d35d3ba658dbc4d6b5da7df88b6f971"/>
    <w:p>
      <w:pPr>
        <w:pStyle w:val="Heading3"/>
      </w:pPr>
      <w:r>
        <w:t xml:space="preserve">5.4 Overall Performance Comparison (Table 2 Context)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MMLongBench</w:t>
            </w:r>
          </w:p>
        </w:tc>
        <w:tc>
          <w:p>
            <w:pPr>
              <w:pStyle w:val="Compact"/>
              <w:jc w:val="center"/>
            </w:pPr>
            <w:r>
              <w:t xml:space="preserve">LongDocURL</w:t>
            </w:r>
          </w:p>
        </w:tc>
        <w:tc>
          <w:p>
            <w:pPr>
              <w:pStyle w:val="Compact"/>
              <w:jc w:val="center"/>
            </w:pPr>
            <w:r>
              <w:t xml:space="preserve">PaperTab</w:t>
            </w:r>
          </w:p>
        </w:tc>
        <w:tc>
          <w:p>
            <w:pPr>
              <w:pStyle w:val="Compact"/>
              <w:jc w:val="center"/>
            </w:pPr>
            <w:r>
              <w:t xml:space="preserve">FetaTab</w:t>
            </w:r>
          </w:p>
        </w:tc>
        <w:tc>
          <w:p>
            <w:pPr>
              <w:pStyle w:val="Compact"/>
              <w:jc w:val="center"/>
            </w:pPr>
            <w:r>
              <w:t xml:space="preserve">Avg.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LLM-based</w:t>
            </w:r>
          </w:p>
        </w:tc>
        <w:tc>
          <w:p>
            <w:pPr>
              <w:pStyle w:val="Compact"/>
              <w:jc w:val="left"/>
            </w:pPr>
            <w:r>
              <w:t xml:space="preserve">Mistral-7B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24.47</w:t>
            </w:r>
          </w:p>
        </w:tc>
        <w:tc>
          <w:p>
            <w:pPr>
              <w:pStyle w:val="Compact"/>
              <w:jc w:val="center"/>
            </w:pPr>
            <w:r>
              <w:t xml:space="preserve">25.06</w:t>
            </w:r>
          </w:p>
        </w:tc>
        <w:tc>
          <w:p>
            <w:pPr>
              <w:pStyle w:val="Compact"/>
              <w:jc w:val="center"/>
            </w:pPr>
            <w:r>
              <w:t xml:space="preserve">11.45</w:t>
            </w:r>
          </w:p>
        </w:tc>
        <w:tc>
          <w:p>
            <w:pPr>
              <w:pStyle w:val="Compact"/>
              <w:jc w:val="center"/>
            </w:pPr>
            <w:r>
              <w:t xml:space="preserve">41.14</w:t>
            </w:r>
          </w:p>
        </w:tc>
        <w:tc>
          <w:p>
            <w:pPr>
              <w:pStyle w:val="Compact"/>
              <w:jc w:val="center"/>
            </w:pPr>
            <w:r>
              <w:t xml:space="preserve">25.53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25.52</w:t>
            </w:r>
          </w:p>
        </w:tc>
        <w:tc>
          <w:p>
            <w:pPr>
              <w:pStyle w:val="Compact"/>
              <w:jc w:val="center"/>
            </w:pPr>
            <w:r>
              <w:t xml:space="preserve">27.93</w:t>
            </w:r>
          </w:p>
        </w:tc>
        <w:tc>
          <w:p>
            <w:pPr>
              <w:pStyle w:val="Compact"/>
              <w:jc w:val="center"/>
            </w:pPr>
            <w:r>
              <w:t xml:space="preserve">12.72</w:t>
            </w:r>
          </w:p>
        </w:tc>
        <w:tc>
          <w:p>
            <w:pPr>
              <w:pStyle w:val="Compact"/>
              <w:jc w:val="center"/>
            </w:pPr>
            <w:r>
              <w:t xml:space="preserve">40.06</w:t>
            </w:r>
          </w:p>
        </w:tc>
        <w:tc>
          <w:p>
            <w:pPr>
              <w:pStyle w:val="Compact"/>
              <w:jc w:val="center"/>
            </w:pPr>
            <w:r>
              <w:t xml:space="preserve">26.56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LLaMA3.1-8B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22.56</w:t>
            </w:r>
          </w:p>
        </w:tc>
        <w:tc>
          <w:p>
            <w:pPr>
              <w:pStyle w:val="Compact"/>
              <w:jc w:val="center"/>
            </w:pPr>
            <w:r>
              <w:t xml:space="preserve">29.80</w:t>
            </w:r>
          </w:p>
        </w:tc>
        <w:tc>
          <w:p>
            <w:pPr>
              <w:pStyle w:val="Compact"/>
              <w:jc w:val="center"/>
            </w:pPr>
            <w:r>
              <w:t xml:space="preserve">13.49</w:t>
            </w:r>
          </w:p>
        </w:tc>
        <w:tc>
          <w:p>
            <w:pPr>
              <w:pStyle w:val="Compact"/>
              <w:jc w:val="center"/>
            </w:pPr>
            <w:r>
              <w:t xml:space="preserve">45.96</w:t>
            </w:r>
          </w:p>
        </w:tc>
        <w:tc>
          <w:p>
            <w:pPr>
              <w:pStyle w:val="Compact"/>
              <w:jc w:val="center"/>
            </w:pPr>
            <w:r>
              <w:t xml:space="preserve">27.95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27.23</w:t>
            </w:r>
          </w:p>
        </w:tc>
        <w:tc>
          <w:p>
            <w:pPr>
              <w:pStyle w:val="Compact"/>
              <w:jc w:val="center"/>
            </w:pPr>
            <w:r>
              <w:t xml:space="preserve">32.74</w:t>
            </w:r>
          </w:p>
        </w:tc>
        <w:tc>
          <w:p>
            <w:pPr>
              <w:pStyle w:val="Compact"/>
              <w:jc w:val="center"/>
            </w:pPr>
            <w:r>
              <w:t xml:space="preserve">14.25</w:t>
            </w:r>
          </w:p>
        </w:tc>
        <w:tc>
          <w:p>
            <w:pPr>
              <w:pStyle w:val="Compact"/>
              <w:jc w:val="center"/>
            </w:pPr>
            <w:r>
              <w:t xml:space="preserve">50.20</w:t>
            </w:r>
          </w:p>
        </w:tc>
        <w:tc>
          <w:p>
            <w:pPr>
              <w:pStyle w:val="Compact"/>
              <w:jc w:val="center"/>
            </w:pPr>
            <w:r>
              <w:t xml:space="preserve">31.11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p>
            <w:pPr>
              <w:pStyle w:val="Compact"/>
              <w:jc w:val="left"/>
            </w:pPr>
            <w:r>
              <w:t xml:space="preserve">Text RAG</w:t>
            </w:r>
          </w:p>
        </w:tc>
        <w:tc>
          <w:p>
            <w:pPr>
              <w:pStyle w:val="Compact"/>
              <w:jc w:val="center"/>
            </w:pPr>
            <w:r>
              <w:t xml:space="preserve">29.82</w:t>
            </w:r>
          </w:p>
        </w:tc>
        <w:tc>
          <w:p>
            <w:pPr>
              <w:pStyle w:val="Compact"/>
              <w:jc w:val="center"/>
            </w:pPr>
            <w:r>
              <w:t xml:space="preserve">34.73</w:t>
            </w:r>
          </w:p>
        </w:tc>
        <w:tc>
          <w:p>
            <w:pPr>
              <w:pStyle w:val="Compact"/>
              <w:jc w:val="center"/>
            </w:pPr>
            <w:r>
              <w:t xml:space="preserve">17.05</w:t>
            </w:r>
          </w:p>
        </w:tc>
        <w:tc>
          <w:p>
            <w:pPr>
              <w:pStyle w:val="Compact"/>
              <w:jc w:val="center"/>
            </w:pPr>
            <w:r>
              <w:t xml:space="preserve">52.36</w:t>
            </w:r>
          </w:p>
        </w:tc>
        <w:tc>
          <w:p>
            <w:pPr>
              <w:pStyle w:val="Compact"/>
              <w:jc w:val="center"/>
            </w:pPr>
            <w:r>
              <w:t xml:space="preserve">33.49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LVLM-based</w:t>
            </w:r>
          </w:p>
        </w:tc>
        <w:tc>
          <w:p>
            <w:pPr>
              <w:pStyle w:val="Compact"/>
              <w:jc w:val="left"/>
            </w:pPr>
            <w:r>
              <w:t xml:space="preserve">LLaVA-Next-7B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7.15</w:t>
            </w:r>
          </w:p>
        </w:tc>
        <w:tc>
          <w:p>
            <w:pPr>
              <w:pStyle w:val="Compact"/>
              <w:jc w:val="center"/>
            </w:pPr>
            <w:r>
              <w:t xml:space="preserve">10.78</w:t>
            </w:r>
          </w:p>
        </w:tc>
        <w:tc>
          <w:p>
            <w:pPr>
              <w:pStyle w:val="Compact"/>
              <w:jc w:val="center"/>
            </w:pPr>
            <w:r>
              <w:t xml:space="preserve">3.05</w:t>
            </w:r>
          </w:p>
        </w:tc>
        <w:tc>
          <w:p>
            <w:pPr>
              <w:pStyle w:val="Compact"/>
              <w:jc w:val="center"/>
            </w:pPr>
            <w:r>
              <w:t xml:space="preserve">11.61</w:t>
            </w:r>
          </w:p>
        </w:tc>
        <w:tc>
          <w:p>
            <w:pPr>
              <w:pStyle w:val="Compact"/>
              <w:jc w:val="center"/>
            </w:pPr>
            <w:r>
              <w:t xml:space="preserve">8.15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10.10</w:t>
            </w:r>
          </w:p>
        </w:tc>
        <w:tc>
          <w:p>
            <w:pPr>
              <w:pStyle w:val="Compact"/>
              <w:jc w:val="center"/>
            </w:pPr>
            <w:r>
              <w:t xml:space="preserve">13.85</w:t>
            </w:r>
          </w:p>
        </w:tc>
        <w:tc>
          <w:p>
            <w:pPr>
              <w:pStyle w:val="Compact"/>
              <w:jc w:val="center"/>
            </w:pPr>
            <w:r>
              <w:t xml:space="preserve">5.34</w:t>
            </w:r>
          </w:p>
        </w:tc>
        <w:tc>
          <w:p>
            <w:pPr>
              <w:pStyle w:val="Compact"/>
              <w:jc w:val="center"/>
            </w:pPr>
            <w:r>
              <w:t xml:space="preserve">13.98</w:t>
            </w:r>
          </w:p>
        </w:tc>
        <w:tc>
          <w:p>
            <w:pPr>
              <w:pStyle w:val="Compact"/>
              <w:jc w:val="center"/>
            </w:pPr>
            <w:r>
              <w:t xml:space="preserve">10.82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9.37</w:t>
            </w:r>
          </w:p>
        </w:tc>
        <w:tc>
          <w:p>
            <w:pPr>
              <w:pStyle w:val="Compact"/>
              <w:jc w:val="center"/>
            </w:pPr>
            <w:r>
              <w:t xml:space="preserve">13.49</w:t>
            </w:r>
          </w:p>
        </w:tc>
        <w:tc>
          <w:p>
            <w:pPr>
              <w:pStyle w:val="Compact"/>
              <w:jc w:val="center"/>
            </w:pPr>
            <w:r>
              <w:t xml:space="preserve">4.83</w:t>
            </w:r>
          </w:p>
        </w:tc>
        <w:tc>
          <w:p>
            <w:pPr>
              <w:pStyle w:val="Compact"/>
              <w:jc w:val="center"/>
            </w:pPr>
            <w:r>
              <w:t xml:space="preserve">13.78</w:t>
            </w:r>
          </w:p>
        </w:tc>
        <w:tc>
          <w:p>
            <w:pPr>
              <w:pStyle w:val="Compact"/>
              <w:jc w:val="center"/>
            </w:pPr>
            <w:r>
              <w:t xml:space="preserve">10.37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9.47</w:t>
            </w:r>
          </w:p>
        </w:tc>
        <w:tc>
          <w:p>
            <w:pPr>
              <w:pStyle w:val="Compact"/>
              <w:jc w:val="center"/>
            </w:pPr>
            <w:r>
              <w:t xml:space="preserve">13.58</w:t>
            </w:r>
          </w:p>
        </w:tc>
        <w:tc>
          <w:p>
            <w:pPr>
              <w:pStyle w:val="Compact"/>
              <w:jc w:val="center"/>
            </w:pPr>
            <w:r>
              <w:t xml:space="preserve">5.60</w:t>
            </w:r>
          </w:p>
        </w:tc>
        <w:tc>
          <w:p>
            <w:pPr>
              <w:pStyle w:val="Compact"/>
              <w:jc w:val="center"/>
            </w:pPr>
            <w:r>
              <w:t xml:space="preserve">13.48</w:t>
            </w:r>
          </w:p>
        </w:tc>
        <w:tc>
          <w:p>
            <w:pPr>
              <w:pStyle w:val="Compact"/>
              <w:jc w:val="center"/>
            </w:pPr>
            <w:r>
              <w:t xml:space="preserve">10.53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DeepSeek-VL-16B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8.40</w:t>
            </w:r>
          </w:p>
        </w:tc>
        <w:tc>
          <w:p>
            <w:pPr>
              <w:pStyle w:val="Compact"/>
              <w:jc w:val="center"/>
            </w:pPr>
            <w:r>
              <w:t xml:space="preserve">14.72</w:t>
            </w:r>
          </w:p>
        </w:tc>
        <w:tc>
          <w:p>
            <w:pPr>
              <w:pStyle w:val="Compact"/>
              <w:jc w:val="center"/>
            </w:pPr>
            <w:r>
              <w:t xml:space="preserve">6.11</w:t>
            </w:r>
          </w:p>
        </w:tc>
        <w:tc>
          <w:p>
            <w:pPr>
              <w:pStyle w:val="Compact"/>
              <w:jc w:val="center"/>
            </w:pPr>
            <w:r>
              <w:t xml:space="preserve">16.14</w:t>
            </w:r>
          </w:p>
        </w:tc>
        <w:tc>
          <w:p>
            <w:pPr>
              <w:pStyle w:val="Compact"/>
              <w:jc w:val="center"/>
            </w:pPr>
            <w:r>
              <w:t xml:space="preserve">11.34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18.12</w:t>
            </w:r>
          </w:p>
        </w:tc>
        <w:tc>
          <w:p>
            <w:pPr>
              <w:pStyle w:val="Compact"/>
              <w:jc w:val="center"/>
            </w:pPr>
            <w:r>
              <w:t xml:space="preserve">29.60</w:t>
            </w:r>
          </w:p>
        </w:tc>
        <w:tc>
          <w:p>
            <w:pPr>
              <w:pStyle w:val="Compact"/>
              <w:jc w:val="center"/>
            </w:pPr>
            <w:r>
              <w:t xml:space="preserve">7.89</w:t>
            </w:r>
          </w:p>
        </w:tc>
        <w:tc>
          <w:p>
            <w:pPr>
              <w:pStyle w:val="Compact"/>
              <w:jc w:val="center"/>
            </w:pPr>
            <w:r>
              <w:t xml:space="preserve">27.07</w:t>
            </w:r>
          </w:p>
        </w:tc>
        <w:tc>
          <w:p>
            <w:pPr>
              <w:pStyle w:val="Compact"/>
              <w:jc w:val="center"/>
            </w:pPr>
            <w:r>
              <w:t xml:space="preserve">20.67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20.43</w:t>
            </w:r>
          </w:p>
        </w:tc>
        <w:tc>
          <w:p>
            <w:pPr>
              <w:pStyle w:val="Compact"/>
              <w:jc w:val="center"/>
            </w:pPr>
            <w:r>
              <w:t xml:space="preserve">29.98</w:t>
            </w:r>
          </w:p>
        </w:tc>
        <w:tc>
          <w:p>
            <w:pPr>
              <w:pStyle w:val="Compact"/>
              <w:jc w:val="center"/>
            </w:pPr>
            <w:r>
              <w:t xml:space="preserve">9.67</w:t>
            </w:r>
          </w:p>
        </w:tc>
        <w:tc>
          <w:p>
            <w:pPr>
              <w:pStyle w:val="Compact"/>
              <w:jc w:val="center"/>
            </w:pPr>
            <w:r>
              <w:t xml:space="preserve">38.98</w:t>
            </w:r>
          </w:p>
        </w:tc>
        <w:tc>
          <w:p>
            <w:pPr>
              <w:pStyle w:val="Compact"/>
              <w:jc w:val="center"/>
            </w:pPr>
            <w:r>
              <w:t xml:space="preserve">24.77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25.47</w:t>
            </w:r>
          </w:p>
        </w:tc>
        <w:tc>
          <w:p>
            <w:pPr>
              <w:pStyle w:val="Compact"/>
              <w:jc w:val="center"/>
            </w:pPr>
            <w:r>
              <w:t xml:space="preserve">37.21</w:t>
            </w:r>
          </w:p>
        </w:tc>
        <w:tc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p>
            <w:pPr>
              <w:pStyle w:val="Compact"/>
              <w:jc w:val="center"/>
            </w:pPr>
            <w:r>
              <w:t xml:space="preserve">41.54</w:t>
            </w:r>
          </w:p>
        </w:tc>
        <w:tc>
          <w:p>
            <w:pPr>
              <w:pStyle w:val="Compact"/>
              <w:jc w:val="center"/>
            </w:pPr>
            <w:r>
              <w:t xml:space="preserve">28.79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26.65</w:t>
            </w:r>
          </w:p>
        </w:tc>
        <w:tc>
          <w:p>
            <w:pPr>
              <w:pStyle w:val="Compact"/>
              <w:jc w:val="center"/>
            </w:pPr>
            <w:r>
              <w:t xml:space="preserve">24.89</w:t>
            </w:r>
          </w:p>
        </w:tc>
        <w:tc>
          <w:p>
            <w:pPr>
              <w:pStyle w:val="Compact"/>
              <w:jc w:val="center"/>
            </w:pPr>
            <w:r>
              <w:t xml:space="preserve">25.19</w:t>
            </w:r>
          </w:p>
        </w:tc>
        <w:tc>
          <w:p>
            <w:pPr>
              <w:pStyle w:val="Compact"/>
              <w:jc w:val="center"/>
            </w:pPr>
            <w:r>
              <w:t xml:space="preserve">51.57</w:t>
            </w:r>
          </w:p>
        </w:tc>
        <w:tc>
          <w:p>
            <w:pPr>
              <w:pStyle w:val="Compact"/>
              <w:jc w:val="center"/>
            </w:pPr>
            <w:r>
              <w:t xml:space="preserve">32.08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29.11</w:t>
            </w:r>
          </w:p>
        </w:tc>
        <w:tc>
          <w:p>
            <w:pPr>
              <w:pStyle w:val="Compact"/>
              <w:jc w:val="center"/>
            </w:pPr>
            <w:r>
              <w:t xml:space="preserve">44.40</w:t>
            </w:r>
          </w:p>
        </w:tc>
        <w:tc>
          <w:p>
            <w:pPr>
              <w:pStyle w:val="Compact"/>
              <w:jc w:val="center"/>
            </w:pPr>
            <w:r>
              <w:t xml:space="preserve">24.68</w:t>
            </w:r>
          </w:p>
        </w:tc>
        <w:tc>
          <w:p>
            <w:pPr>
              <w:pStyle w:val="Compact"/>
              <w:jc w:val="center"/>
            </w:pPr>
            <w:r>
              <w:t xml:space="preserve">53.25</w:t>
            </w:r>
          </w:p>
        </w:tc>
        <w:tc>
          <w:p>
            <w:pPr>
              <w:pStyle w:val="Compact"/>
              <w:jc w:val="center"/>
            </w:pPr>
            <w:r>
              <w:t xml:space="preserve">37.86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32.11</w:t>
            </w:r>
          </w:p>
        </w:tc>
        <w:tc>
          <w:p>
            <w:pPr>
              <w:pStyle w:val="Compact"/>
              <w:jc w:val="center"/>
            </w:pPr>
            <w:r>
              <w:t xml:space="preserve">45.79</w:t>
            </w:r>
          </w:p>
        </w:tc>
        <w:tc>
          <w:p>
            <w:pPr>
              <w:pStyle w:val="Compact"/>
              <w:jc w:val="center"/>
            </w:pPr>
            <w:r>
              <w:t xml:space="preserve">24.43</w:t>
            </w:r>
          </w:p>
        </w:tc>
        <w:tc>
          <w:p>
            <w:pPr>
              <w:pStyle w:val="Compact"/>
              <w:jc w:val="center"/>
            </w:pPr>
            <w:r>
              <w:t xml:space="preserve">57.68</w:t>
            </w:r>
          </w:p>
        </w:tc>
        <w:tc>
          <w:p>
            <w:pPr>
              <w:pStyle w:val="Compact"/>
              <w:jc w:val="center"/>
            </w:pPr>
            <w:r>
              <w:t xml:space="preserve">40.00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32.47</w:t>
            </w:r>
          </w:p>
        </w:tc>
        <w:tc>
          <w:p>
            <w:pPr>
              <w:pStyle w:val="Compact"/>
              <w:jc w:val="center"/>
            </w:pPr>
            <w:r>
              <w:t xml:space="preserve">45.27</w:t>
            </w:r>
          </w:p>
        </w:tc>
        <w:tc>
          <w:p>
            <w:pPr>
              <w:pStyle w:val="Compact"/>
              <w:jc w:val="center"/>
            </w:pPr>
            <w:r>
              <w:t xml:space="preserve">27.23</w:t>
            </w:r>
          </w:p>
        </w:tc>
        <w:tc>
          <w:p>
            <w:pPr>
              <w:pStyle w:val="Compact"/>
              <w:jc w:val="center"/>
            </w:pPr>
            <w:r>
              <w:t xml:space="preserve">58.76</w:t>
            </w:r>
          </w:p>
        </w:tc>
        <w:tc>
          <w:p>
            <w:pPr>
              <w:pStyle w:val="Compact"/>
              <w:jc w:val="center"/>
            </w:pPr>
            <w:r>
              <w:t xml:space="preserve">40.93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32.77</w:t>
            </w:r>
          </w:p>
        </w:tc>
        <w:tc>
          <w:p>
            <w:pPr>
              <w:pStyle w:val="Compact"/>
              <w:jc w:val="center"/>
            </w:pPr>
            <w:r>
              <w:t xml:space="preserve">26.38</w:t>
            </w:r>
          </w:p>
        </w:tc>
        <w:tc>
          <w:p>
            <w:pPr>
              <w:pStyle w:val="Compact"/>
              <w:jc w:val="center"/>
            </w:pPr>
            <w:r>
              <w:t xml:space="preserve">29.77</w:t>
            </w:r>
          </w:p>
        </w:tc>
        <w:tc>
          <w:p>
            <w:pPr>
              <w:pStyle w:val="Compact"/>
              <w:jc w:val="center"/>
            </w:pPr>
            <w:r>
              <w:t xml:space="preserve">64.07</w:t>
            </w:r>
          </w:p>
        </w:tc>
        <w:tc>
          <w:p>
            <w:pPr>
              <w:pStyle w:val="Compact"/>
              <w:jc w:val="center"/>
            </w:pPr>
            <w:r>
              <w:t xml:space="preserve">38.25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M3DocRAG</w:t>
            </w:r>
          </w:p>
        </w:tc>
        <w:tc>
          <w:p>
            <w:pPr>
              <w:pStyle w:val="Compact"/>
              <w:jc w:val="center"/>
            </w:pPr>
            <w:r>
              <w:t xml:space="preserve">36.18</w:t>
            </w:r>
          </w:p>
        </w:tc>
        <w:tc>
          <w:p>
            <w:pPr>
              <w:pStyle w:val="Compact"/>
              <w:jc w:val="center"/>
            </w:pPr>
            <w:r>
              <w:t xml:space="preserve">49.03</w:t>
            </w:r>
          </w:p>
        </w:tc>
        <w:tc>
          <w:p>
            <w:pPr>
              <w:pStyle w:val="Compact"/>
              <w:jc w:val="center"/>
            </w:pPr>
            <w:r>
              <w:t xml:space="preserve">28.50</w:t>
            </w:r>
          </w:p>
        </w:tc>
        <w:tc>
          <w:p>
            <w:pPr>
              <w:pStyle w:val="Compact"/>
              <w:jc w:val="center"/>
            </w:pPr>
            <w:r>
              <w:t xml:space="preserve">63.78</w:t>
            </w:r>
          </w:p>
        </w:tc>
        <w:tc>
          <w:p>
            <w:pPr>
              <w:pStyle w:val="Compact"/>
              <w:jc w:val="center"/>
            </w:pPr>
            <w:r>
              <w:t xml:space="preserve">44.37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</w:t>
            </w:r>
          </w:p>
        </w:tc>
        <w:tc>
          <w:p>
            <w:pPr>
              <w:pStyle w:val="Compact"/>
              <w:jc w:val="center"/>
            </w:pPr>
            <w:r>
              <w:t xml:space="preserve">39.28</w:t>
            </w:r>
          </w:p>
        </w:tc>
        <w:tc>
          <w:p>
            <w:pPr>
              <w:pStyle w:val="Compact"/>
              <w:jc w:val="center"/>
            </w:pPr>
            <w:r>
              <w:t xml:space="preserve">51.71</w:t>
            </w:r>
          </w:p>
        </w:tc>
        <w:tc>
          <w:p>
            <w:pPr>
              <w:pStyle w:val="Compact"/>
              <w:jc w:val="center"/>
            </w:pPr>
            <w:r>
              <w:t xml:space="preserve">32.32</w:t>
            </w:r>
          </w:p>
        </w:tc>
        <w:tc>
          <w:p>
            <w:pPr>
              <w:pStyle w:val="Compact"/>
              <w:jc w:val="center"/>
            </w:pPr>
            <w:r>
              <w:t xml:space="preserve">69.09</w:t>
            </w:r>
          </w:p>
        </w:tc>
        <w:tc>
          <w:p>
            <w:pPr>
              <w:pStyle w:val="Compact"/>
              <w:jc w:val="center"/>
            </w:pPr>
            <w:r>
              <w:t xml:space="preserve">48.10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MoLoRAG+</w:t>
            </w:r>
          </w:p>
        </w:tc>
        <w:tc>
          <w:p>
            <w:pPr>
              <w:pStyle w:val="Compact"/>
              <w:jc w:val="center"/>
            </w:pPr>
            <w:r>
              <w:t xml:space="preserve">41.01</w:t>
            </w:r>
          </w:p>
        </w:tc>
        <w:tc>
          <w:p>
            <w:pPr>
              <w:pStyle w:val="Compact"/>
              <w:jc w:val="center"/>
            </w:pPr>
            <w:r>
              <w:t xml:space="preserve">51.85</w:t>
            </w:r>
          </w:p>
        </w:tc>
        <w:tc>
          <w:p>
            <w:pPr>
              <w:pStyle w:val="Compact"/>
              <w:jc w:val="center"/>
            </w:pPr>
            <w:r>
              <w:t xml:space="preserve">31.04</w:t>
            </w:r>
          </w:p>
        </w:tc>
        <w:tc>
          <w:p>
            <w:pPr>
              <w:pStyle w:val="Compact"/>
              <w:jc w:val="center"/>
            </w:pPr>
            <w:r>
              <w:t xml:space="preserve">69.19</w:t>
            </w:r>
          </w:p>
        </w:tc>
        <w:tc>
          <w:p>
            <w:pPr>
              <w:pStyle w:val="Compact"/>
              <w:jc w:val="center"/>
            </w:pPr>
            <w:r>
              <w:t xml:space="preserve">48.27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Multi-agent</w:t>
            </w:r>
          </w:p>
        </w:tc>
        <w:tc>
          <w:p>
            <w:pPr>
              <w:pStyle w:val="Compact"/>
              <w:jc w:val="left"/>
            </w:pPr>
            <w:r>
              <w:t xml:space="preserve">MDocAgent</w:t>
            </w:r>
          </w:p>
        </w:tc>
        <w:tc>
          <w:p>
            <w:pPr>
              <w:pStyle w:val="Compact"/>
              <w:jc w:val="left"/>
            </w:pPr>
            <w:r>
              <w:t xml:space="preserve">LLaMA+Qwen</w:t>
            </w:r>
          </w:p>
        </w:tc>
        <w:tc>
          <w:p>
            <w:pPr>
              <w:pStyle w:val="Compact"/>
              <w:jc w:val="center"/>
            </w:pPr>
            <w:r>
              <w:t xml:space="preserve">38.53</w:t>
            </w:r>
          </w:p>
        </w:tc>
        <w:tc>
          <w:p>
            <w:pPr>
              <w:pStyle w:val="Compact"/>
              <w:jc w:val="center"/>
            </w:pPr>
            <w:r>
              <w:t xml:space="preserve">46.91</w:t>
            </w:r>
          </w:p>
        </w:tc>
        <w:tc>
          <w:p>
            <w:pPr>
              <w:pStyle w:val="Compact"/>
              <w:jc w:val="center"/>
            </w:pPr>
            <w:r>
              <w:t xml:space="preserve">30.03</w:t>
            </w:r>
          </w:p>
        </w:tc>
        <w:tc>
          <w:p>
            <w:pPr>
              <w:pStyle w:val="Compact"/>
              <w:jc w:val="center"/>
            </w:pPr>
            <w:r>
              <w:t xml:space="preserve">66.34</w:t>
            </w:r>
          </w:p>
        </w:tc>
        <w:tc>
          <w:p>
            <w:pPr>
              <w:pStyle w:val="Compact"/>
              <w:jc w:val="center"/>
            </w:pPr>
            <w:r>
              <w:t xml:space="preserve">45.45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Standard MoLoRAG provides a robust baseline for long-doc retrieval.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Implications</w:t>
      </w:r>
      <w:r>
        <w:t xml:space="preserve">: Hierarchical scoring is effective even in zero-shot settings.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Easy/Difficult</w:t>
      </w:r>
      <w:r>
        <w:t xml:space="preserve">: Dataset alignment was easy; MPS memory management was difficult.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07"/>
        </w:numPr>
        <w:pStyle w:val="Compact"/>
      </w:pPr>
      <w:r>
        <w:t xml:space="preserve">Shirley et al.,</w:t>
      </w:r>
      <w:r>
        <w:t xml:space="preserve"> </w:t>
      </w:r>
      <w:r>
        <w:t xml:space="preserve">“</w:t>
      </w:r>
      <w:r>
        <w:t xml:space="preserve">MoLoRAG: Multi-modal Logical Retrieval Augmented Generation</w:t>
      </w:r>
      <w:r>
        <w:t xml:space="preserve">”</w:t>
      </w:r>
      <w:r>
        <w:t xml:space="preserve">, 2024.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file:///Users/niteeshkumar/Documents/molorag/molorag" TargetMode="External" /><Relationship Type="http://schemas.openxmlformats.org/officeDocument/2006/relationships/hyperlink" Id="rId24" Target="https://github.com/QwenLM/Qwen2.5-VL" TargetMode="External" /><Relationship Type="http://schemas.openxmlformats.org/officeDocument/2006/relationships/hyperlink" Id="rId27" Target="https://github.com/WxxShirley/MoLoRAG" TargetMode="External" /><Relationship Type="http://schemas.openxmlformats.org/officeDocument/2006/relationships/hyperlink" Id="rId25" Target="https://github.com/openai/CL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file:///Users/niteeshkumar/Documents/molorag/molorag" TargetMode="External" /><Relationship Type="http://schemas.openxmlformats.org/officeDocument/2006/relationships/hyperlink" Id="rId24" Target="https://github.com/QwenLM/Qwen2.5-VL" TargetMode="External" /><Relationship Type="http://schemas.openxmlformats.org/officeDocument/2006/relationships/hyperlink" Id="rId27" Target="https://github.com/WxxShirley/MoLoRAG" TargetMode="External" /><Relationship Type="http://schemas.openxmlformats.org/officeDocument/2006/relationships/hyperlink" Id="rId25" Target="https://github.com/openai/CL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2026-03-09T06:46:04Z</dcterms:created>
  <dcterms:modified xsi:type="dcterms:W3CDTF">2026-03-09T06:46:04Z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