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543E3" w14:textId="77777777" w:rsidR="00D330C2" w:rsidRDefault="00000000">
      <w:pPr>
        <w:pStyle w:val="Heading1"/>
        <w:jc w:val="center"/>
      </w:pPr>
      <w:r>
        <w:rPr>
          <w:sz w:val="32"/>
          <w:szCs w:val="32"/>
        </w:rPr>
        <w:t>Internal and External Issues Register</w:t>
      </w:r>
    </w:p>
    <w:p w14:paraId="4D9A4D81" w14:textId="77777777" w:rsidR="00D330C2" w:rsidRDefault="00000000">
      <w:pPr>
        <w:spacing w:after="240"/>
        <w:jc w:val="center"/>
      </w:pPr>
      <w:r>
        <w:rPr>
          <w:sz w:val="24"/>
          <w:szCs w:val="24"/>
        </w:rPr>
        <w:t>(ISO 27001:2022 Clause 4.1)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D330C2" w14:paraId="1468679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14:paraId="339C393D" w14:textId="77777777" w:rsidR="00D330C2" w:rsidRDefault="00000000">
            <w:r>
              <w:rPr>
                <w:b/>
                <w:bCs/>
              </w:rPr>
              <w:t>Document Info</w:t>
            </w:r>
          </w:p>
        </w:tc>
        <w:tc>
          <w:tcPr>
            <w:tcW w:w="68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14:paraId="0B4C97CE" w14:textId="77777777" w:rsidR="00D330C2" w:rsidRDefault="00000000">
            <w:r>
              <w:rPr>
                <w:b/>
                <w:bCs/>
              </w:rPr>
              <w:t>Value</w:t>
            </w:r>
          </w:p>
        </w:tc>
      </w:tr>
      <w:tr w:rsidR="00D330C2" w14:paraId="2FE60E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BF191" w14:textId="77777777" w:rsidR="00D330C2" w:rsidRDefault="00000000">
            <w:r>
              <w:rPr>
                <w:b/>
                <w:bCs/>
              </w:rPr>
              <w:t>Owner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F00FF" w14:textId="77777777" w:rsidR="00D330C2" w:rsidRDefault="00000000">
            <w:r>
              <w:t>{{role_ciso}}</w:t>
            </w:r>
          </w:p>
        </w:tc>
      </w:tr>
      <w:tr w:rsidR="00D330C2" w14:paraId="033DA9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0CCF8" w14:textId="77777777" w:rsidR="00D330C2" w:rsidRDefault="00000000">
            <w:r>
              <w:rPr>
                <w:b/>
                <w:bCs/>
              </w:rP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540B2E" w14:textId="77777777" w:rsidR="00D330C2" w:rsidRDefault="00000000">
            <w:r>
              <w:t>{{version}}</w:t>
            </w:r>
          </w:p>
        </w:tc>
      </w:tr>
      <w:tr w:rsidR="00D330C2" w14:paraId="7F3297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957ECF" w14:textId="77777777" w:rsidR="00D330C2" w:rsidRDefault="00000000">
            <w:r>
              <w:rPr>
                <w:b/>
                <w:bCs/>
              </w:rPr>
              <w:t>Last Updated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ECB1A" w14:textId="77777777" w:rsidR="00D330C2" w:rsidRDefault="00000000">
            <w:r>
              <w:t>{{current_date}}</w:t>
            </w:r>
          </w:p>
        </w:tc>
      </w:tr>
    </w:tbl>
    <w:p w14:paraId="52EF1C7A" w14:textId="77777777" w:rsidR="00D330C2" w:rsidRDefault="00D330C2"/>
    <w:p w14:paraId="3A24683C" w14:textId="77777777" w:rsidR="00D330C2" w:rsidRDefault="00000000">
      <w:pPr>
        <w:pStyle w:val="Heading1"/>
      </w:pPr>
      <w:r>
        <w:t>Internal Issues (IPOPS Analysis)</w:t>
      </w:r>
    </w:p>
    <w:p w14:paraId="2CA8404E" w14:textId="706F3451" w:rsidR="003C30AC" w:rsidRDefault="003C30AC" w:rsidP="003C30AC">
      <w:pPr>
        <w:pStyle w:val="NormalWeb"/>
        <w:numPr>
          <w:ilvl w:val="0"/>
          <w:numId w:val="2"/>
        </w:numPr>
      </w:pPr>
      <w:r>
        <w:rPr>
          <w:rStyle w:val="Strong"/>
        </w:rPr>
        <w:t>Infrastructure:</w:t>
      </w:r>
      <w:r>
        <w:rPr>
          <w:rStyle w:val="Strong"/>
        </w:rPr>
        <w:t xml:space="preserve"> </w:t>
      </w:r>
      <w:r>
        <w:t xml:space="preserve">The organization is fully dependent on {{primary_cloud_provider}} for hosting all production, development, and backup environments, resulting in 100% reliance on the provider for service availability, data protection, network security, and resilience. This creates a concentration risk whereby outages, security incidents, contractual changes, or service degradation at the cloud provider could directly impact the confidentiality, integrity, and availability of information and the continuity of customer-facing services. The shared responsibility model, geographic region selection, and dependency on the provider’s incident response and disaster recovery capabilities are therefore critical considerations within the </w:t>
      </w:r>
      <w:r w:rsidR="00CF256E" w:rsidRPr="00CF256E">
        <w:rPr>
          <w:b/>
          <w:bCs/>
        </w:rPr>
        <w:t>{{active_standards_list}}</w:t>
      </w:r>
      <w:r>
        <w:t xml:space="preserve"> control environment.</w:t>
      </w:r>
    </w:p>
    <w:p w14:paraId="4DB7C95A" w14:textId="0ABF8B18" w:rsidR="003C30AC" w:rsidRDefault="003C30AC" w:rsidP="003C30AC">
      <w:pPr>
        <w:pStyle w:val="NormalWeb"/>
        <w:numPr>
          <w:ilvl w:val="0"/>
          <w:numId w:val="2"/>
        </w:numPr>
      </w:pPr>
      <w:r>
        <w:rPr>
          <w:rStyle w:val="Strong"/>
        </w:rPr>
        <w:t>Personnel:</w:t>
      </w:r>
      <w:r>
        <w:rPr>
          <w:rStyle w:val="Strong"/>
        </w:rPr>
        <w:t xml:space="preserve"> </w:t>
      </w:r>
      <w:r>
        <w:t>The organization relies on a limited number of highly skilled personnel with specialized knowledge in DevOps, cloud security, and platform operations. This introduces key-person dependency risk, where the loss, unavailability, or turnover of critical staff could adversely affect system security, operational stability, change management, and incident response. This risk necessitates formal role documentation, cross-training, knowledge transfer, succession planning, and access management controls to ensure continuity of operations and segregation of duties.</w:t>
      </w:r>
    </w:p>
    <w:p w14:paraId="297AD0F7" w14:textId="50EC8682" w:rsidR="00D330C2" w:rsidRDefault="003C30AC" w:rsidP="003C30AC">
      <w:pPr>
        <w:pStyle w:val="NormalWeb"/>
        <w:numPr>
          <w:ilvl w:val="0"/>
          <w:numId w:val="2"/>
        </w:numPr>
      </w:pPr>
      <w:r>
        <w:rPr>
          <w:rStyle w:val="Strong"/>
        </w:rPr>
        <w:t>Process:</w:t>
      </w:r>
      <w:r>
        <w:rPr>
          <w:rStyle w:val="Strong"/>
        </w:rPr>
        <w:t xml:space="preserve"> </w:t>
      </w:r>
      <w:r>
        <w:t xml:space="preserve">The organization operates rapid and frequent software development and deployment cycles using agile and CI/CD practices. While this enables fast delivery of features, it also increases the risk that security reviews, code scanning, vulnerability remediation, and change approvals could be bypassed or inadequately performed under time pressure. This creates potential exposure to insecure code, misconfigurations, and unauthorized changes, requiring strong integration of secure development lifecycle (SDLC), automated security testing, change control, and release approval mechanisms within the </w:t>
      </w:r>
      <w:r w:rsidR="00CF256E" w:rsidRPr="00CF256E">
        <w:rPr>
          <w:b/>
          <w:bCs/>
        </w:rPr>
        <w:t>{{active_standards_list}}</w:t>
      </w:r>
      <w:r w:rsidR="00CF256E">
        <w:rPr>
          <w:b/>
          <w:bCs/>
        </w:rPr>
        <w:t xml:space="preserve"> </w:t>
      </w:r>
      <w:r>
        <w:t>control framework.</w:t>
      </w:r>
    </w:p>
    <w:p w14:paraId="67AF6194" w14:textId="77777777" w:rsidR="00D330C2" w:rsidRDefault="00000000">
      <w:pPr>
        <w:pStyle w:val="Heading1"/>
      </w:pPr>
      <w:r>
        <w:t>External Issues (PESTLE Analysis)</w:t>
      </w:r>
    </w:p>
    <w:p w14:paraId="29080A85" w14:textId="1F1BDB36" w:rsidR="003C30AC" w:rsidRDefault="003C30AC" w:rsidP="003C30AC">
      <w:pPr>
        <w:pStyle w:val="NormalWeb"/>
        <w:numPr>
          <w:ilvl w:val="0"/>
          <w:numId w:val="5"/>
        </w:numPr>
        <w:spacing w:line="360" w:lineRule="auto"/>
      </w:pPr>
      <w:r>
        <w:rPr>
          <w:rStyle w:val="Strong"/>
        </w:rPr>
        <w:t>Political / Legal:</w:t>
      </w:r>
      <w:r>
        <w:rPr>
          <w:rStyle w:val="Strong"/>
        </w:rPr>
        <w:t xml:space="preserve"> </w:t>
      </w:r>
      <w:r>
        <w:t xml:space="preserve">The organization operates in or serves customers across {{operating_regions}}, which are subject to evolving data protection, privacy, cybersecurity, and data residency regulations. Changes in laws such as cross-border data </w:t>
      </w:r>
      <w:r>
        <w:lastRenderedPageBreak/>
        <w:t xml:space="preserve">transfer restrictions, sector-specific compliance requirements, and government access regulations may impact where data can be stored, how it must be protected, and what contractual and technical safeguards are required. These regulatory dynamics directly influence the design of cloud architecture, vendor selection, encryption practices, and legal compliance obligations within the </w:t>
      </w:r>
      <w:r w:rsidR="00CF256E" w:rsidRPr="00CF256E">
        <w:rPr>
          <w:b/>
          <w:bCs/>
        </w:rPr>
        <w:t>{{active_standards_list}}</w:t>
      </w:r>
      <w:r>
        <w:t>scope.</w:t>
      </w:r>
    </w:p>
    <w:p w14:paraId="431C5A82" w14:textId="77777777" w:rsidR="003C30AC" w:rsidRDefault="003C30AC" w:rsidP="003C30AC">
      <w:pPr>
        <w:pStyle w:val="NormalWeb"/>
        <w:numPr>
          <w:ilvl w:val="0"/>
          <w:numId w:val="5"/>
        </w:numPr>
        <w:spacing w:after="0" w:afterAutospacing="0"/>
      </w:pPr>
      <w:r>
        <w:rPr>
          <w:rStyle w:val="Strong"/>
        </w:rPr>
        <w:t>Technological:</w:t>
      </w:r>
      <w:r>
        <w:br/>
        <w:t>The threat landscape continues to evolve, with the increasing use of artificial intelligence by threat actors to conduct highly targeted phishing, deepfake-based social engineering, and automated credential-stuffing attacks. These developments heighten the risk of unauthorized access, account takeover, and data breaches, particularly affecting identity and access management, user awareness, and monitoring controls. The organization must therefore continuously adapt its security awareness, authentication, detection, and response capabilities to address these advanced threats.</w:t>
      </w:r>
      <w:r>
        <w:t xml:space="preserve"> </w:t>
      </w:r>
    </w:p>
    <w:p w14:paraId="3E69B20E" w14:textId="10872137" w:rsidR="003C30AC" w:rsidRDefault="003C30AC" w:rsidP="003C30AC">
      <w:pPr>
        <w:pStyle w:val="NormalWeb"/>
        <w:numPr>
          <w:ilvl w:val="0"/>
          <w:numId w:val="5"/>
        </w:numPr>
      </w:pPr>
      <w:r>
        <w:rPr>
          <w:rStyle w:val="Strong"/>
        </w:rPr>
        <w:t>Economic:</w:t>
      </w:r>
      <w:r>
        <w:br/>
        <w:t xml:space="preserve">The cost of cybersecurity operations is rising due to increased insurance premiums, stricter underwriting requirements, higher regulatory compliance costs, and strong market demand for skilled security and cloud professionals. These economic pressures may impact budgeting, resource planning, and the ability to retain or recruit qualified personnel, which in turn can affect the maturity and sustainability of the organization’s </w:t>
      </w:r>
      <w:r w:rsidR="00CF256E" w:rsidRPr="00CF256E">
        <w:rPr>
          <w:b/>
          <w:bCs/>
        </w:rPr>
        <w:t>{{active_standards_list}}</w:t>
      </w:r>
      <w:r>
        <w:t>control environment.</w:t>
      </w:r>
    </w:p>
    <w:p w14:paraId="625BE5DA" w14:textId="77777777" w:rsidR="00D330C2" w:rsidRDefault="00000000">
      <w:pPr>
        <w:pStyle w:val="Heading1"/>
      </w:pPr>
      <w:r>
        <w:t>Climate Change Requirement (2024 Amendment)</w:t>
      </w:r>
    </w:p>
    <w:p w14:paraId="72626D63" w14:textId="77777777" w:rsidR="003C30AC" w:rsidRPr="003C30AC" w:rsidRDefault="003C30AC" w:rsidP="00FB6D6C">
      <w:pPr>
        <w:spacing w:after="240"/>
      </w:pPr>
      <w:r w:rsidRPr="003C30AC">
        <w:t>The organization has determined that climate change is {{climate_relevance}} to the ISMS. This assessment considers the potential impact of climate-related events and long-term environmental changes on:</w:t>
      </w:r>
    </w:p>
    <w:p w14:paraId="450B5EE8" w14:textId="77777777" w:rsidR="003C30AC" w:rsidRPr="003C30AC" w:rsidRDefault="003C30AC" w:rsidP="003C30AC">
      <w:pPr>
        <w:pStyle w:val="ListParagraph"/>
        <w:numPr>
          <w:ilvl w:val="0"/>
          <w:numId w:val="3"/>
        </w:numPr>
        <w:spacing w:after="240"/>
      </w:pPr>
      <w:r w:rsidRPr="003C30AC">
        <w:t>The availability and resilience of cloud data centers and network infrastructure</w:t>
      </w:r>
    </w:p>
    <w:p w14:paraId="6044D281" w14:textId="77777777" w:rsidR="003C30AC" w:rsidRPr="003C30AC" w:rsidRDefault="003C30AC" w:rsidP="003C30AC">
      <w:pPr>
        <w:pStyle w:val="ListParagraph"/>
        <w:numPr>
          <w:ilvl w:val="0"/>
          <w:numId w:val="3"/>
        </w:numPr>
        <w:spacing w:after="240"/>
      </w:pPr>
      <w:r w:rsidRPr="003C30AC">
        <w:t>Business continuity and disaster recovery arrangements, including regional outages and extreme weather scenarios</w:t>
      </w:r>
    </w:p>
    <w:p w14:paraId="4B4C921A" w14:textId="77777777" w:rsidR="003C30AC" w:rsidRPr="003C30AC" w:rsidRDefault="003C30AC" w:rsidP="003C30AC">
      <w:pPr>
        <w:pStyle w:val="ListParagraph"/>
        <w:numPr>
          <w:ilvl w:val="0"/>
          <w:numId w:val="3"/>
        </w:numPr>
        <w:spacing w:after="240"/>
      </w:pPr>
      <w:r w:rsidRPr="003C30AC">
        <w:t>Supply chain and third-party service continuity</w:t>
      </w:r>
    </w:p>
    <w:p w14:paraId="538DD738" w14:textId="77777777" w:rsidR="003C30AC" w:rsidRPr="003C30AC" w:rsidRDefault="003C30AC" w:rsidP="003C30AC">
      <w:pPr>
        <w:pStyle w:val="ListParagraph"/>
        <w:numPr>
          <w:ilvl w:val="0"/>
          <w:numId w:val="3"/>
        </w:numPr>
        <w:spacing w:after="240"/>
      </w:pPr>
      <w:r w:rsidRPr="003C30AC">
        <w:t>Regulatory and stakeholder expectations regarding environmental risk management and operational resilience</w:t>
      </w:r>
    </w:p>
    <w:p w14:paraId="03866F24" w14:textId="1632AA4D" w:rsidR="003C30AC" w:rsidRPr="003C30AC" w:rsidRDefault="003C30AC" w:rsidP="00FB6D6C">
      <w:pPr>
        <w:spacing w:after="240"/>
      </w:pPr>
      <w:r w:rsidRPr="003C30AC">
        <w:t xml:space="preserve">Climate-related risks and opportunities are reviewed as part of the organization’s context analysis, risk assessment, and business continuity planning processes, and are considered in the ongoing effectiveness of the </w:t>
      </w:r>
      <w:r w:rsidR="00CF256E" w:rsidRPr="00CF256E">
        <w:rPr>
          <w:b/>
          <w:bCs/>
        </w:rPr>
        <w:t>{{active_standards_list}}</w:t>
      </w:r>
      <w:r w:rsidRPr="003C30AC">
        <w:t xml:space="preserve"> system.</w:t>
      </w:r>
    </w:p>
    <w:p w14:paraId="2CDD59CB" w14:textId="5FF6E580" w:rsidR="003C30AC" w:rsidRDefault="003C30AC">
      <w:r>
        <w:br w:type="page"/>
      </w:r>
    </w:p>
    <w:p w14:paraId="1DCF5990" w14:textId="77777777" w:rsidR="00D330C2" w:rsidRDefault="00D330C2">
      <w:pPr>
        <w:pBdr>
          <w:bottom w:val="single" w:sz="6" w:space="1" w:color="CCCCCC"/>
        </w:pBdr>
      </w:pPr>
    </w:p>
    <w:p w14:paraId="42CA9CFC" w14:textId="77777777" w:rsidR="00D330C2" w:rsidRDefault="00D330C2"/>
    <w:p w14:paraId="71F53A06" w14:textId="77777777" w:rsidR="00D330C2" w:rsidRDefault="00000000">
      <w:pPr>
        <w:pStyle w:val="Heading2"/>
      </w:pPr>
      <w:r>
        <w:t>Review and Update Schedule</w:t>
      </w:r>
    </w:p>
    <w:p w14:paraId="67BFE725" w14:textId="77777777" w:rsidR="00D330C2" w:rsidRDefault="00000000">
      <w:r>
        <w:t>This register shall be reviewed {{review_frequency}} or when significant changes occur in the organization's context.</w:t>
      </w:r>
    </w:p>
    <w:sectPr w:rsidR="00D330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0CD"/>
    <w:multiLevelType w:val="multilevel"/>
    <w:tmpl w:val="6B7E1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1B05"/>
    <w:multiLevelType w:val="hybridMultilevel"/>
    <w:tmpl w:val="93908EA4"/>
    <w:lvl w:ilvl="0" w:tplc="C9D8D6BE">
      <w:start w:val="1"/>
      <w:numFmt w:val="bullet"/>
      <w:lvlText w:val="●"/>
      <w:lvlJc w:val="left"/>
      <w:pPr>
        <w:ind w:left="720" w:hanging="360"/>
      </w:pPr>
    </w:lvl>
    <w:lvl w:ilvl="1" w:tplc="EE7CCA0A">
      <w:start w:val="1"/>
      <w:numFmt w:val="bullet"/>
      <w:lvlText w:val="○"/>
      <w:lvlJc w:val="left"/>
      <w:pPr>
        <w:ind w:left="1440" w:hanging="360"/>
      </w:pPr>
    </w:lvl>
    <w:lvl w:ilvl="2" w:tplc="77E040A6">
      <w:start w:val="1"/>
      <w:numFmt w:val="bullet"/>
      <w:lvlText w:val="■"/>
      <w:lvlJc w:val="left"/>
      <w:pPr>
        <w:ind w:left="2160" w:hanging="360"/>
      </w:pPr>
    </w:lvl>
    <w:lvl w:ilvl="3" w:tplc="98D48196">
      <w:start w:val="1"/>
      <w:numFmt w:val="bullet"/>
      <w:lvlText w:val="●"/>
      <w:lvlJc w:val="left"/>
      <w:pPr>
        <w:ind w:left="2880" w:hanging="360"/>
      </w:pPr>
    </w:lvl>
    <w:lvl w:ilvl="4" w:tplc="D55A71E6">
      <w:start w:val="1"/>
      <w:numFmt w:val="bullet"/>
      <w:lvlText w:val="○"/>
      <w:lvlJc w:val="left"/>
      <w:pPr>
        <w:ind w:left="3600" w:hanging="360"/>
      </w:pPr>
    </w:lvl>
    <w:lvl w:ilvl="5" w:tplc="DF66D286">
      <w:start w:val="1"/>
      <w:numFmt w:val="bullet"/>
      <w:lvlText w:val="■"/>
      <w:lvlJc w:val="left"/>
      <w:pPr>
        <w:ind w:left="4320" w:hanging="360"/>
      </w:pPr>
    </w:lvl>
    <w:lvl w:ilvl="6" w:tplc="03F064D2">
      <w:start w:val="1"/>
      <w:numFmt w:val="bullet"/>
      <w:lvlText w:val="●"/>
      <w:lvlJc w:val="left"/>
      <w:pPr>
        <w:ind w:left="5040" w:hanging="360"/>
      </w:pPr>
    </w:lvl>
    <w:lvl w:ilvl="7" w:tplc="48F0AA28">
      <w:start w:val="1"/>
      <w:numFmt w:val="bullet"/>
      <w:lvlText w:val="●"/>
      <w:lvlJc w:val="left"/>
      <w:pPr>
        <w:ind w:left="5760" w:hanging="360"/>
      </w:pPr>
    </w:lvl>
    <w:lvl w:ilvl="8" w:tplc="5AD03036">
      <w:start w:val="1"/>
      <w:numFmt w:val="bullet"/>
      <w:lvlText w:val="●"/>
      <w:lvlJc w:val="left"/>
      <w:pPr>
        <w:ind w:left="6480" w:hanging="360"/>
      </w:pPr>
    </w:lvl>
  </w:abstractNum>
  <w:abstractNum w:abstractNumId="2" w15:restartNumberingAfterBreak="0">
    <w:nsid w:val="1F942895"/>
    <w:multiLevelType w:val="hybridMultilevel"/>
    <w:tmpl w:val="2F22B218"/>
    <w:lvl w:ilvl="0" w:tplc="B7D876DC">
      <w:start w:val="1"/>
      <w:numFmt w:val="bullet"/>
      <w:lvlText w:val="•"/>
      <w:lvlJc w:val="left"/>
      <w:pPr>
        <w:ind w:left="720" w:hanging="360"/>
      </w:pPr>
    </w:lvl>
    <w:lvl w:ilvl="1" w:tplc="4094D760">
      <w:numFmt w:val="decimal"/>
      <w:lvlText w:val=""/>
      <w:lvlJc w:val="left"/>
    </w:lvl>
    <w:lvl w:ilvl="2" w:tplc="21F41282">
      <w:numFmt w:val="decimal"/>
      <w:lvlText w:val=""/>
      <w:lvlJc w:val="left"/>
    </w:lvl>
    <w:lvl w:ilvl="3" w:tplc="62142FBE">
      <w:numFmt w:val="decimal"/>
      <w:lvlText w:val=""/>
      <w:lvlJc w:val="left"/>
    </w:lvl>
    <w:lvl w:ilvl="4" w:tplc="190C4010">
      <w:numFmt w:val="decimal"/>
      <w:lvlText w:val=""/>
      <w:lvlJc w:val="left"/>
    </w:lvl>
    <w:lvl w:ilvl="5" w:tplc="0DD2B386">
      <w:numFmt w:val="decimal"/>
      <w:lvlText w:val=""/>
      <w:lvlJc w:val="left"/>
    </w:lvl>
    <w:lvl w:ilvl="6" w:tplc="BAA6293E">
      <w:numFmt w:val="decimal"/>
      <w:lvlText w:val=""/>
      <w:lvlJc w:val="left"/>
    </w:lvl>
    <w:lvl w:ilvl="7" w:tplc="9028E5D8">
      <w:numFmt w:val="decimal"/>
      <w:lvlText w:val=""/>
      <w:lvlJc w:val="left"/>
    </w:lvl>
    <w:lvl w:ilvl="8" w:tplc="4A7A9ED0">
      <w:numFmt w:val="decimal"/>
      <w:lvlText w:val=""/>
      <w:lvlJc w:val="left"/>
    </w:lvl>
  </w:abstractNum>
  <w:abstractNum w:abstractNumId="3" w15:restartNumberingAfterBreak="0">
    <w:nsid w:val="1FCE4CF4"/>
    <w:multiLevelType w:val="hybridMultilevel"/>
    <w:tmpl w:val="F7B2FD76"/>
    <w:lvl w:ilvl="0" w:tplc="4860057A">
      <w:start w:val="1"/>
      <w:numFmt w:val="decimal"/>
      <w:lvlText w:val="%1."/>
      <w:lvlJc w:val="left"/>
      <w:pPr>
        <w:ind w:left="720" w:hanging="360"/>
      </w:pPr>
    </w:lvl>
    <w:lvl w:ilvl="1" w:tplc="70389EAE">
      <w:numFmt w:val="decimal"/>
      <w:lvlText w:val=""/>
      <w:lvlJc w:val="left"/>
    </w:lvl>
    <w:lvl w:ilvl="2" w:tplc="1800FAD8">
      <w:numFmt w:val="decimal"/>
      <w:lvlText w:val=""/>
      <w:lvlJc w:val="left"/>
    </w:lvl>
    <w:lvl w:ilvl="3" w:tplc="EBF6035E">
      <w:numFmt w:val="decimal"/>
      <w:lvlText w:val=""/>
      <w:lvlJc w:val="left"/>
    </w:lvl>
    <w:lvl w:ilvl="4" w:tplc="7352A434">
      <w:numFmt w:val="decimal"/>
      <w:lvlText w:val=""/>
      <w:lvlJc w:val="left"/>
    </w:lvl>
    <w:lvl w:ilvl="5" w:tplc="12E8BAA0">
      <w:numFmt w:val="decimal"/>
      <w:lvlText w:val=""/>
      <w:lvlJc w:val="left"/>
    </w:lvl>
    <w:lvl w:ilvl="6" w:tplc="2DB603F8">
      <w:numFmt w:val="decimal"/>
      <w:lvlText w:val=""/>
      <w:lvlJc w:val="left"/>
    </w:lvl>
    <w:lvl w:ilvl="7" w:tplc="BF80317E">
      <w:numFmt w:val="decimal"/>
      <w:lvlText w:val=""/>
      <w:lvlJc w:val="left"/>
    </w:lvl>
    <w:lvl w:ilvl="8" w:tplc="0CB4983E">
      <w:numFmt w:val="decimal"/>
      <w:lvlText w:val=""/>
      <w:lvlJc w:val="left"/>
    </w:lvl>
  </w:abstractNum>
  <w:abstractNum w:abstractNumId="4" w15:restartNumberingAfterBreak="0">
    <w:nsid w:val="6E37110E"/>
    <w:multiLevelType w:val="hybridMultilevel"/>
    <w:tmpl w:val="F7B2FD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74846856">
    <w:abstractNumId w:val="1"/>
    <w:lvlOverride w:ilvl="0">
      <w:startOverride w:val="1"/>
    </w:lvlOverride>
  </w:num>
  <w:num w:numId="2" w16cid:durableId="1496069693">
    <w:abstractNumId w:val="3"/>
    <w:lvlOverride w:ilvl="0">
      <w:startOverride w:val="1"/>
    </w:lvlOverride>
  </w:num>
  <w:num w:numId="3" w16cid:durableId="409736954">
    <w:abstractNumId w:val="2"/>
    <w:lvlOverride w:ilvl="0">
      <w:startOverride w:val="1"/>
    </w:lvlOverride>
  </w:num>
  <w:num w:numId="4" w16cid:durableId="528760878">
    <w:abstractNumId w:val="3"/>
  </w:num>
  <w:num w:numId="5" w16cid:durableId="142935852">
    <w:abstractNumId w:val="4"/>
  </w:num>
  <w:num w:numId="6" w16cid:durableId="68244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0C2"/>
    <w:rsid w:val="003C30AC"/>
    <w:rsid w:val="009D3A1A"/>
    <w:rsid w:val="00CF256E"/>
    <w:rsid w:val="00D330C2"/>
    <w:rsid w:val="00FB6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560B"/>
  <w15:docId w15:val="{C4A48855-F8A1-4285-B7D1-4BA102E0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unhideWhenUsed/>
    <w:qFormat/>
    <w:pPr>
      <w:spacing w:before="180" w:after="100"/>
      <w:outlineLvl w:val="1"/>
    </w:pPr>
    <w:rPr>
      <w:b/>
      <w:bCs/>
      <w:color w:val="2E75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3C30A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C30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607</Words>
  <Characters>4366</Characters>
  <Application>Microsoft Office Word</Application>
  <DocSecurity>0</DocSecurity>
  <Lines>145</Lines>
  <Paragraphs>121</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 Dhanker</cp:lastModifiedBy>
  <cp:revision>5</cp:revision>
  <dcterms:created xsi:type="dcterms:W3CDTF">2026-01-19T05:33:00Z</dcterms:created>
  <dcterms:modified xsi:type="dcterms:W3CDTF">2026-01-19T06:13:00Z</dcterms:modified>
</cp:coreProperties>
</file>