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Information Security Policy</w:t>
      </w:r>
    </w:p>
    <w:p>
      <w:pPr>
        <w:spacing w:after="240"/>
        <w:jc w:val="center"/>
      </w:pPr>
      <w:r>
        <w:rPr>
          <w:i/>
          <w:iCs/>
          <w:sz w:val="24"/>
          <w:szCs w:val="24"/>
        </w:rPr>
        <w:t xml:space="preserve">(Master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Document Info</w:t>
            </w:r>
          </w:p>
        </w:tc>
        <w:tc>
          <w:tcPr>
            <w:tcW w:type="dxa" w:w="68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Owner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{{role_ciso}}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Approved By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{{approver_name}}, {{approver_title}}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Effective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{{effective_date}}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Review Frequency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{{review_frequency}}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{{classification}}</w:t>
            </w:r>
          </w:p>
        </w:tc>
      </w:tr>
    </w:tbl>
    <w:p>
      <w:pPr>
        <w:pBdr>
          <w:bottom w:val="single" w:color="CCCCCC" w:sz="6" w:space="1"/>
        </w:pBdr>
      </w:pPr>
      <w:r>
        <w:t xml:space="preserve"/>
      </w:r>
    </w:p>
    <w:p/>
    <w:p>
      <w:pPr>
        <w:pStyle w:val="Heading1"/>
      </w:pPr>
      <w:r>
        <w:t xml:space="preserve">1. Purpose</w:t>
      </w:r>
    </w:p>
    <w:p>
      <w:pPr>
        <w:spacing w:after="120"/>
      </w:pPr>
      <w:r>
        <w:t xml:space="preserve">This Information Security Policy defines the commitment of </w:t>
      </w:r>
      <w:r>
        <w:rPr>
          <w:b/>
          <w:bCs/>
        </w:rPr>
        <w:t xml:space="preserve">{{company_name}}</w:t>
      </w:r>
      <w:r>
        <w:t xml:space="preserve"> to protect its information assets and establishes the overarching framework for information security management. This policy demonstrates top management's commitment to information security and provides direction and support for information security in accordance with business requirements and relevant laws and regulations.</w:t>
      </w:r>
    </w:p>
    <w:p>
      <w:pPr>
        <w:pBdr>
          <w:bottom w:val="single" w:color="CCCCCC" w:sz="6" w:space="1"/>
        </w:pBdr>
      </w:pPr>
      <w:r>
        <w:t xml:space="preserve"/>
      </w:r>
    </w:p>
    <w:p/>
    <w:p>
      <w:pPr>
        <w:pStyle w:val="Heading1"/>
      </w:pPr>
      <w:r>
        <w:t xml:space="preserve">2. Scope</w:t>
      </w:r>
    </w:p>
    <w:p>
      <w:pPr>
        <w:spacing w:after="120"/>
      </w:pPr>
      <w:r>
        <w:t xml:space="preserve">This policy applies to </w:t>
      </w:r>
      <w:r>
        <w:rPr>
          <w:b/>
          <w:bCs/>
        </w:rPr>
        <w:t xml:space="preserve">{{policy_scope}}</w:t>
      </w:r>
      <w:r>
        <w:t xml:space="preserve">. It covers all information in any form (electronic, paper, verbal) and all information systems, networks, and devices used to process, store, or transmit company information.</w:t>
      </w:r>
    </w:p>
    <w:p>
      <w:pPr>
        <w:pBdr>
          <w:bottom w:val="single" w:color="CCCCCC" w:sz="6" w:space="1"/>
        </w:pBdr>
      </w:pPr>
      <w:r>
        <w:t xml:space="preserve"/>
      </w:r>
    </w:p>
    <w:p/>
    <w:p>
      <w:pPr>
        <w:pStyle w:val="Heading1"/>
      </w:pPr>
      <w:r>
        <w:t xml:space="preserve">3. Policy Statement</w:t>
      </w:r>
    </w:p>
    <w:p>
      <w:pPr>
        <w:spacing w:after="120"/>
      </w:pPr>
      <w:r>
        <w:rPr>
          <w:b/>
          <w:bCs/>
        </w:rPr>
        <w:t xml:space="preserve">{{company_name}}</w:t>
      </w:r>
      <w:r>
        <w:t xml:space="preserve"> is committed to:</w:t>
      </w:r>
    </w:p>
    <w:p>
      <w:pPr>
        <w:pStyle w:val="ListParagraph"/>
        <w:numPr>
          <w:ilvl w:val="0"/>
          <w:numId w:val="2"/>
        </w:numPr>
      </w:pPr>
      <w:r>
        <w:rPr>
          <w:b/>
          <w:bCs/>
        </w:rPr>
        <w:t xml:space="preserve">Protecting the confidentiality, integrity, and availability</w:t>
      </w:r>
      <w:r>
        <w:t xml:space="preserve"> of information assets</w:t>
      </w:r>
    </w:p>
    <w:p>
      <w:pPr>
        <w:pStyle w:val="ListParagraph"/>
        <w:numPr>
          <w:ilvl w:val="0"/>
          <w:numId w:val="2"/>
        </w:numPr>
      </w:pPr>
      <w:r>
        <w:rPr>
          <w:b/>
          <w:bCs/>
        </w:rPr>
        <w:t xml:space="preserve">Complying with applicable legal, regulatory, and contractual requirements</w:t>
      </w:r>
      <w:r>
        <w:t xml:space="preserve"> including {{key_regulations}}</w:t>
      </w:r>
    </w:p>
    <w:p>
      <w:pPr>
        <w:pStyle w:val="ListParagraph"/>
        <w:numPr>
          <w:ilvl w:val="0"/>
          <w:numId w:val="2"/>
        </w:numPr>
      </w:pPr>
      <w:r>
        <w:rPr>
          <w:b/>
          <w:bCs/>
        </w:rPr>
        <w:t xml:space="preserve">Implementing a risk-based approach</w:t>
      </w:r>
      <w:r>
        <w:t xml:space="preserve"> to identify, assess, and manage information security risks</w:t>
      </w:r>
    </w:p>
    <w:p>
      <w:pPr>
        <w:pStyle w:val="ListParagraph"/>
        <w:numPr>
          <w:ilvl w:val="0"/>
          <w:numId w:val="2"/>
        </w:numPr>
      </w:pPr>
      <w:r>
        <w:rPr>
          <w:b/>
          <w:bCs/>
        </w:rPr>
        <w:t xml:space="preserve">Ensuring business continuity</w:t>
      </w:r>
      <w:r>
        <w:t xml:space="preserve"> and resilience against security incidents</w:t>
      </w:r>
    </w:p>
    <w:p>
      <w:pPr>
        <w:pStyle w:val="ListParagraph"/>
        <w:numPr>
          <w:ilvl w:val="0"/>
          <w:numId w:val="2"/>
        </w:numPr>
      </w:pPr>
      <w:r>
        <w:rPr>
          <w:b/>
          <w:bCs/>
        </w:rPr>
        <w:t xml:space="preserve">Providing appropriate security awareness and training</w:t>
      </w:r>
      <w:r>
        <w:t xml:space="preserve"> to all personnel</w:t>
      </w:r>
    </w:p>
    <w:p>
      <w:pPr>
        <w:pStyle w:val="ListParagraph"/>
        <w:numPr>
          <w:ilvl w:val="0"/>
          <w:numId w:val="2"/>
        </w:numPr>
      </w:pPr>
      <w:r>
        <w:rPr>
          <w:b/>
          <w:bCs/>
        </w:rPr>
        <w:t xml:space="preserve">Managing third-party security risks</w:t>
      </w:r>
      <w:r>
        <w:t xml:space="preserve"> through supplier assessments and contracts</w:t>
      </w:r>
    </w:p>
    <w:p>
      <w:pPr>
        <w:pStyle w:val="ListParagraph"/>
        <w:numPr>
          <w:ilvl w:val="0"/>
          <w:numId w:val="2"/>
        </w:numPr>
        <w:spacing w:after="120"/>
      </w:pPr>
      <w:r>
        <w:rPr>
          <w:b/>
          <w:bCs/>
        </w:rPr>
        <w:t xml:space="preserve">Continually improving</w:t>
      </w:r>
      <w:r>
        <w:t xml:space="preserve"> the Information Security Management System (ISMS)</w:t>
      </w:r>
    </w:p>
    <w:p>
      <w:pPr>
        <w:pBdr>
          <w:bottom w:val="single" w:color="CCCCCC" w:sz="6" w:space="1"/>
        </w:pBdr>
      </w:pPr>
      <w:r>
        <w:t xml:space="preserve"/>
      </w:r>
    </w:p>
    <w:p/>
    <w:p>
      <w:pPr>
        <w:pStyle w:val="Heading1"/>
      </w:pPr>
      <w:r>
        <w:t xml:space="preserve">4. Information Security Objectives</w:t>
      </w:r>
    </w:p>
    <w:p>
      <w:r>
        <w:t xml:space="preserve">To achieve our commitment to information security, </w:t>
      </w:r>
      <w:r>
        <w:rPr>
          <w:b/>
          <w:bCs/>
        </w:rPr>
        <w:t xml:space="preserve">{{company_name}}</w:t>
      </w:r>
      <w:r>
        <w:t xml:space="preserve"> has established the following measurable objectives:</w:t>
      </w:r>
    </w:p>
    <w:p>
      <w:pPr>
        <w:pStyle w:val="ListParagraph"/>
        <w:numPr>
          <w:ilvl w:val="0"/>
          <w:numId w:val="2"/>
        </w:numPr>
      </w:pPr>
      <w:r>
        <w:t xml:space="preserve">{{objective_1}}</w:t>
      </w:r>
    </w:p>
    <w:p>
      <w:pPr>
        <w:pStyle w:val="ListParagraph"/>
        <w:numPr>
          <w:ilvl w:val="0"/>
          <w:numId w:val="2"/>
        </w:numPr>
      </w:pPr>
      <w:r>
        <w:t xml:space="preserve">{{objective_2}}</w:t>
      </w:r>
    </w:p>
    <w:p>
      <w:pPr>
        <w:pStyle w:val="ListParagraph"/>
        <w:numPr>
          <w:ilvl w:val="0"/>
          <w:numId w:val="2"/>
        </w:numPr>
      </w:pPr>
      <w:r>
        <w:t xml:space="preserve">{{objective_3}}</w:t>
      </w:r>
    </w:p>
    <w:p>
      <w:pPr>
        <w:pStyle w:val="ListParagraph"/>
        <w:numPr>
          <w:ilvl w:val="0"/>
          <w:numId w:val="2"/>
        </w:numPr>
      </w:pPr>
      <w:r>
        <w:t xml:space="preserve">{{objective_4}}</w:t>
      </w:r>
    </w:p>
    <w:p>
      <w:pPr>
        <w:pStyle w:val="ListParagraph"/>
        <w:numPr>
          <w:ilvl w:val="0"/>
          <w:numId w:val="2"/>
        </w:numPr>
        <w:spacing w:after="120"/>
      </w:pPr>
      <w:r>
        <w:t xml:space="preserve">{{objective_5}}</w:t>
      </w:r>
    </w:p>
    <w:p>
      <w:pPr>
        <w:spacing w:after="120"/>
      </w:pPr>
      <w:r>
        <w:t xml:space="preserve">Detailed objectives, targets, and monitoring plans are documented in the </w:t>
      </w:r>
      <w:r>
        <w:rPr>
          <w:i/>
          <w:iCs/>
        </w:rPr>
        <w:t xml:space="preserve">Information Security Objectives &amp; Monitoring Plan</w:t>
      </w:r>
      <w:r>
        <w:t xml:space="preserve">.</w:t>
      </w:r>
    </w:p>
    <w:p>
      <w:pPr>
        <w:pBdr>
          <w:bottom w:val="single" w:color="CCCCCC" w:sz="6" w:space="1"/>
        </w:pBdr>
      </w:pPr>
      <w:r>
        <w:t xml:space="preserve"/>
      </w:r>
    </w:p>
    <w:p/>
    <w:p>
      <w:pPr>
        <w:pStyle w:val="Heading1"/>
      </w:pPr>
      <w:r>
        <w:t xml:space="preserve">5. Roles and Responsibilities</w:t>
      </w:r>
    </w:p>
    <w:p>
      <w:pPr>
        <w:pStyle w:val="Heading2"/>
      </w:pPr>
      <w:r>
        <w:t xml:space="preserve">5.1 Top Management</w:t>
      </w:r>
    </w:p>
    <w:p>
      <w:pPr>
        <w:spacing w:after="120"/>
      </w:pPr>
      <w:r>
        <w:t xml:space="preserve">Top management demonstrates leadership and commitment by approving this policy, allocating resources, and ensuring the ISMS achieves its intended outcomes.</w:t>
      </w:r>
    </w:p>
    <w:p>
      <w:pPr>
        <w:pStyle w:val="Heading2"/>
      </w:pPr>
      <w:r>
        <w:t xml:space="preserve">5.2 Chief Information Security Officer (CISO)</w:t>
      </w:r>
    </w:p>
    <w:p>
      <w:pPr>
        <w:spacing w:after="120"/>
      </w:pPr>
      <w:r>
        <w:t xml:space="preserve">The </w:t>
      </w:r>
      <w:r>
        <w:rPr>
          <w:b/>
          <w:bCs/>
        </w:rPr>
        <w:t xml:space="preserve">{{role_ciso}}</w:t>
      </w:r>
      <w:r>
        <w:t xml:space="preserve"> is responsible for overseeing the implementation, maintenance, and continual improvement of the ISMS, and ensuring compliance with this policy.</w:t>
      </w:r>
    </w:p>
    <w:p>
      <w:pPr>
        <w:pStyle w:val="Heading2"/>
      </w:pPr>
      <w:r>
        <w:t xml:space="preserve">5.3 All Employees and Contractors</w:t>
      </w:r>
    </w:p>
    <w:p>
      <w:pPr>
        <w:spacing w:after="120"/>
      </w:pPr>
      <w:r>
        <w:t xml:space="preserve">All personnel are responsible for understanding and complying with this policy and related security procedures. This includes reporting security incidents and participating in security awareness training.</w:t>
      </w:r>
    </w:p>
    <w:p>
      <w:pPr>
        <w:pStyle w:val="Heading2"/>
      </w:pPr>
      <w:r>
        <w:t xml:space="preserve">5.4 Asset Owners and Custodians</w:t>
      </w:r>
    </w:p>
    <w:p>
      <w:pPr>
        <w:spacing w:after="120"/>
      </w:pPr>
      <w:r>
        <w:t xml:space="preserve">Information asset owners and custodians are responsible for implementing appropriate security controls and maintaining the security of assets under their control.</w:t>
      </w:r>
    </w:p>
    <w:p>
      <w:pPr>
        <w:pBdr>
          <w:bottom w:val="single" w:color="CCCCCC" w:sz="6" w:space="1"/>
        </w:pBdr>
      </w:pPr>
      <w:r>
        <w:t xml:space="preserve"/>
      </w:r>
    </w:p>
    <w:p/>
    <w:p>
      <w:pPr>
        <w:pStyle w:val="Heading1"/>
      </w:pPr>
      <w:r>
        <w:t xml:space="preserve">6. Key Security Principles</w:t>
      </w:r>
    </w:p>
    <w:p>
      <w:pPr>
        <w:pStyle w:val="Heading2"/>
      </w:pPr>
      <w:r>
        <w:t xml:space="preserve">6.1 Confidentiality</w:t>
      </w:r>
    </w:p>
    <w:p>
      <w:pPr>
        <w:spacing w:after="120"/>
      </w:pPr>
      <w:r>
        <w:t xml:space="preserve">Information is accessible only to authorized individuals and systems. Confidentiality is maintained through access controls, encryption, and data classification.</w:t>
      </w:r>
    </w:p>
    <w:p>
      <w:pPr>
        <w:pStyle w:val="Heading2"/>
      </w:pPr>
      <w:r>
        <w:t xml:space="preserve">6.2 Integrity</w:t>
      </w:r>
    </w:p>
    <w:p>
      <w:pPr>
        <w:spacing w:after="120"/>
      </w:pPr>
      <w:r>
        <w:t xml:space="preserve">Information and systems are protected from unauthorized modification or deletion. Integrity is ensured through change management, version control, and audit logging.</w:t>
      </w:r>
    </w:p>
    <w:p>
      <w:pPr>
        <w:pStyle w:val="Heading2"/>
      </w:pPr>
      <w:r>
        <w:t xml:space="preserve">6.3 Availability</w:t>
      </w:r>
    </w:p>
    <w:p>
      <w:pPr>
        <w:spacing w:after="120"/>
      </w:pPr>
      <w:r>
        <w:t xml:space="preserve">Information and systems are accessible when needed by authorized users. Availability is maintained through redundancy, backup and recovery, and incident response capabilities.</w:t>
      </w:r>
    </w:p>
    <w:p>
      <w:pPr>
        <w:pBdr>
          <w:bottom w:val="single" w:color="CCCCCC" w:sz="6" w:space="1"/>
        </w:pBdr>
      </w:pPr>
      <w:r>
        <w:t xml:space="preserve"/>
      </w:r>
    </w:p>
    <w:p/>
    <w:p>
      <w:pPr>
        <w:pStyle w:val="Heading1"/>
      </w:pPr>
      <w:r>
        <w:t xml:space="preserve">7. Risk Management</w:t>
      </w:r>
    </w:p>
    <w:p>
      <w:pPr>
        <w:spacing w:after="120"/>
      </w:pPr>
      <w:r>
        <w:rPr>
          <w:b/>
          <w:bCs/>
        </w:rPr>
        <w:t xml:space="preserve">{{company_name}}</w:t>
      </w:r>
      <w:r>
        <w:t xml:space="preserve"> uses a systematic approach to identify, assess, treat, and monitor information security risks. Risk assessments are conducted {{risk_assessment_frequency}} and when significant changes occur. Risks are treated based on the organization's risk appetite and acceptance criteria as defined in the </w:t>
      </w:r>
      <w:r>
        <w:rPr>
          <w:i/>
          <w:iCs/>
        </w:rPr>
        <w:t xml:space="preserve">Risk Assessment Methodology</w:t>
      </w:r>
      <w:r>
        <w:t xml:space="preserve">.</w:t>
      </w:r>
    </w:p>
    <w:p>
      <w:pPr>
        <w:pBdr>
          <w:bottom w:val="single" w:color="CCCCCC" w:sz="6" w:space="1"/>
        </w:pBdr>
      </w:pPr>
      <w:r>
        <w:t xml:space="preserve"/>
      </w:r>
    </w:p>
    <w:p/>
    <w:p>
      <w:pPr>
        <w:pStyle w:val="Heading1"/>
      </w:pPr>
      <w:r>
        <w:t xml:space="preserve">8. Compliance</w:t>
      </w:r>
    </w:p>
    <w:p>
      <w:pPr>
        <w:spacing w:after="120"/>
      </w:pPr>
      <w:r>
        <w:t xml:space="preserve">The organization complies with applicable information security laws, regulations, and contractual obligations including but not limited to:</w:t>
      </w:r>
    </w:p>
    <w:p>
      <w:pPr>
        <w:pStyle w:val="ListParagraph"/>
        <w:numPr>
          <w:ilvl w:val="0"/>
          <w:numId w:val="2"/>
        </w:numPr>
      </w:pPr>
      <w:r>
        <w:t xml:space="preserve">{{compliance_1}}</w:t>
      </w:r>
    </w:p>
    <w:p>
      <w:pPr>
        <w:pStyle w:val="ListParagraph"/>
        <w:numPr>
          <w:ilvl w:val="0"/>
          <w:numId w:val="2"/>
        </w:numPr>
      </w:pPr>
      <w:r>
        <w:t xml:space="preserve">{{compliance_2}}</w:t>
      </w:r>
    </w:p>
    <w:p>
      <w:pPr>
        <w:pStyle w:val="ListParagraph"/>
        <w:numPr>
          <w:ilvl w:val="0"/>
          <w:numId w:val="2"/>
        </w:numPr>
        <w:spacing w:after="120"/>
      </w:pPr>
      <w:r>
        <w:t xml:space="preserve">{{compliance_3}}</w:t>
      </w:r>
    </w:p>
    <w:p>
      <w:pPr>
        <w:spacing w:after="120"/>
      </w:pPr>
      <w:r>
        <w:t xml:space="preserve">Non-compliance is addressed through corrective actions and may result in disciplinary measures up to and including termination of employment or contract.</w:t>
      </w:r>
    </w:p>
    <w:p>
      <w:pPr>
        <w:pBdr>
          <w:bottom w:val="single" w:color="CCCCCC" w:sz="6" w:space="1"/>
        </w:pBdr>
      </w:pPr>
      <w:r>
        <w:t xml:space="preserve"/>
      </w:r>
    </w:p>
    <w:p/>
    <w:p>
      <w:pPr>
        <w:pStyle w:val="Heading1"/>
      </w:pPr>
      <w:r>
        <w:t xml:space="preserve">9. Incident Management</w:t>
      </w:r>
    </w:p>
    <w:p>
      <w:pPr>
        <w:spacing w:after="120"/>
      </w:pPr>
      <w:r>
        <w:t xml:space="preserve">Security incidents and weaknesses must be reported immediately through </w:t>
      </w:r>
      <w:r>
        <w:rPr>
          <w:b/>
          <w:bCs/>
        </w:rPr>
        <w:t xml:space="preserve">{{incident_reporting_channel}}</w:t>
      </w:r>
      <w:r>
        <w:t xml:space="preserve">. The organization maintains an incident response plan to detect, respond to, recover from, and learn from security incidents.</w:t>
      </w:r>
    </w:p>
    <w:p>
      <w:pPr>
        <w:pBdr>
          <w:bottom w:val="single" w:color="CCCCCC" w:sz="6" w:space="1"/>
        </w:pBdr>
      </w:pPr>
      <w:r>
        <w:t xml:space="preserve"/>
      </w:r>
    </w:p>
    <w:p/>
    <w:p>
      <w:pPr>
        <w:pStyle w:val="Heading1"/>
      </w:pPr>
      <w:r>
        <w:t xml:space="preserve">10. Policy Review and Maintenance</w:t>
      </w:r>
    </w:p>
    <w:p>
      <w:pPr>
        <w:spacing w:after="120"/>
      </w:pPr>
      <w:r>
        <w:t xml:space="preserve">This policy is reviewed </w:t>
      </w:r>
      <w:r>
        <w:rPr>
          <w:b/>
          <w:bCs/>
        </w:rPr>
        <w:t xml:space="preserve">{{review_frequency}}</w:t>
      </w:r>
      <w:r>
        <w:t xml:space="preserve"> or when significant changes occur to the business, technology, threat landscape, or regulatory environment. Policy updates are approved by top management and communicated to all relevant parties.</w:t>
      </w:r>
    </w:p>
    <w:p>
      <w:pPr>
        <w:pBdr>
          <w:bottom w:val="single" w:color="CCCCCC" w:sz="6" w:space="1"/>
        </w:pBdr>
      </w:pPr>
      <w:r>
        <w:t xml:space="preserve"/>
      </w:r>
    </w:p>
    <w:p/>
    <w:p>
      <w:pPr>
        <w:pStyle w:val="Heading1"/>
      </w:pPr>
      <w:r>
        <w:t xml:space="preserve">11. Supporting Policies and Procedures</w:t>
      </w:r>
    </w:p>
    <w:p>
      <w:pPr>
        <w:spacing w:after="120"/>
      </w:pPr>
      <w:r>
        <w:t xml:space="preserve">This master policy is supported by the following specific policies and procedures:</w:t>
      </w:r>
    </w:p>
    <w:p>
      <w:pPr>
        <w:pStyle w:val="ListParagraph"/>
        <w:numPr>
          <w:ilvl w:val="0"/>
          <w:numId w:val="2"/>
        </w:numPr>
      </w:pPr>
      <w:r>
        <w:t xml:space="preserve">Access Control Policy</w:t>
      </w:r>
    </w:p>
    <w:p>
      <w:pPr>
        <w:pStyle w:val="ListParagraph"/>
        <w:numPr>
          <w:ilvl w:val="0"/>
          <w:numId w:val="2"/>
        </w:numPr>
      </w:pPr>
      <w:r>
        <w:t xml:space="preserve">Acceptable Use Policy</w:t>
      </w:r>
    </w:p>
    <w:p>
      <w:pPr>
        <w:pStyle w:val="ListParagraph"/>
        <w:numPr>
          <w:ilvl w:val="0"/>
          <w:numId w:val="2"/>
        </w:numPr>
      </w:pPr>
      <w:r>
        <w:t xml:space="preserve">Incident Response Policy</w:t>
      </w:r>
    </w:p>
    <w:p>
      <w:pPr>
        <w:pStyle w:val="ListParagraph"/>
        <w:numPr>
          <w:ilvl w:val="0"/>
          <w:numId w:val="2"/>
        </w:numPr>
      </w:pPr>
      <w:r>
        <w:t xml:space="preserve">Business Continuity Policy</w:t>
      </w:r>
    </w:p>
    <w:p>
      <w:pPr>
        <w:pStyle w:val="ListParagraph"/>
        <w:numPr>
          <w:ilvl w:val="0"/>
          <w:numId w:val="2"/>
        </w:numPr>
      </w:pPr>
      <w:r>
        <w:t xml:space="preserve">Data Protection and Privacy Policy</w:t>
      </w:r>
    </w:p>
    <w:p>
      <w:pPr>
        <w:pStyle w:val="ListParagraph"/>
        <w:numPr>
          <w:ilvl w:val="0"/>
          <w:numId w:val="2"/>
        </w:numPr>
      </w:pPr>
      <w:r>
        <w:t xml:space="preserve">Third Party Security Policy</w:t>
      </w:r>
    </w:p>
    <w:p>
      <w:pPr>
        <w:pStyle w:val="ListParagraph"/>
        <w:numPr>
          <w:ilvl w:val="0"/>
          <w:numId w:val="2"/>
        </w:numPr>
      </w:pPr>
      <w:r>
        <w:t xml:space="preserve">Cryptography Policy</w:t>
      </w:r>
    </w:p>
    <w:p>
      <w:pPr>
        <w:pStyle w:val="ListParagraph"/>
        <w:numPr>
          <w:ilvl w:val="0"/>
          <w:numId w:val="2"/>
        </w:numPr>
        <w:spacing w:after="120"/>
      </w:pPr>
      <w:r>
        <w:t xml:space="preserve">{{additional_policies}}</w:t>
      </w:r>
    </w:p>
    <w:p>
      <w:pPr>
        <w:pBdr>
          <w:bottom w:val="single" w:color="CCCCCC" w:sz="6" w:space="1"/>
        </w:pBdr>
      </w:pPr>
      <w:r>
        <w:t xml:space="preserve"/>
      </w:r>
    </w:p>
    <w:p/>
    <w:p>
      <w:pPr>
        <w:pStyle w:val="Heading1"/>
      </w:pPr>
      <w:r>
        <w:t xml:space="preserve">12. Exceptions</w:t>
      </w:r>
    </w:p>
    <w:p>
      <w:pPr>
        <w:spacing w:after="120"/>
      </w:pPr>
      <w:r>
        <w:t xml:space="preserve">Exceptions to this policy must be approved by </w:t>
      </w:r>
      <w:r>
        <w:rPr>
          <w:b/>
          <w:bCs/>
        </w:rPr>
        <w:t xml:space="preserve">{{exception_approver}}</w:t>
      </w:r>
      <w:r>
        <w:t xml:space="preserve">, documented with business justification and compensating controls, and reviewed periodically.</w:t>
      </w:r>
    </w:p>
    <w:p>
      <w:pPr>
        <w:pBdr>
          <w:bottom w:val="single" w:color="CCCCCC" w:sz="6" w:space="1"/>
        </w:pBdr>
      </w:pPr>
      <w:r>
        <w:t xml:space="preserve"/>
      </w:r>
    </w:p>
    <w:p/>
    <w:p>
      <w:pPr>
        <w:pStyle w:val="Heading1"/>
      </w:pPr>
      <w:r>
        <w:t xml:space="preserve">Policy Approval</w:t>
      </w:r>
    </w:p>
    <w:p>
      <w:pPr>
        <w:spacing w:after="240"/>
      </w:pPr>
      <w:r>
        <w:t xml:space="preserve">This policy has been reviewed and approved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Name</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Title</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{{approver_name}}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{{approver_title}}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{{approval_date}}</w:t>
            </w:r>
          </w:p>
        </w:tc>
      </w:tr>
    </w:tbl>
    <w:p>
      <w:pPr>
        <w:pBdr>
          <w:bottom w:val="single" w:color="CCCCCC" w:sz="6" w:space="1"/>
        </w:pBdr>
      </w:pPr>
      <w:r>
        <w:t xml:space="preserve"/>
      </w:r>
    </w:p>
    <w:p/>
    <w:p>
      <w:pPr>
        <w:pStyle w:val="Heading1"/>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Version</w:t>
            </w:r>
          </w:p>
        </w:tc>
        <w:tc>
          <w:tcPr>
            <w:tcW w:type="dxa" w:w="15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Date</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Author</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r>
              <w:rPr>
                <w:b/>
                <w:bCs/>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{{version}}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{{current_date}}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{{author_name}}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{{description}}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75B5"/>
      <w:sz w:val="26"/>
      <w:szCs w:val="26"/>
    </w:rPr>
  </w:style>
  <w:style w:type="paragraph" w:styleId="Heading3">
    <w:name w:val="Heading 3"/>
    <w:basedOn w:val="Normal"/>
    <w:next w:val="Normal"/>
    <w:qFormat/>
    <w:pPr>
      <w:spacing w:before="120" w:after="80"/>
      <w:outlineLvl w:val="2"/>
    </w:pPr>
    <w:rPr>
      <w:rFonts w:ascii="Arial" w:cs="Arial" w:eastAsia="Arial" w:hAnsi="Arial"/>
      <w:b/>
      <w:bCs/>
      <w:color w:val="2E75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2026-01-19T06:41:17.908Z</dcterms:created>
  <dcterms:modified xsi:type="dcterms:W3CDTF">2026-01-19T06:41:17.909Z</dcterms:modified>
</cp:coreProperties>
</file>

<file path=docProps/custom.xml><?xml version="1.0" encoding="utf-8"?>
<Properties xmlns="http://schemas.openxmlformats.org/officeDocument/2006/custom-properties" xmlns:vt="http://schemas.openxmlformats.org/officeDocument/2006/docPropsVTypes"/>
</file>