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B3B4" w14:textId="77777777" w:rsidR="0040429E" w:rsidRPr="0040429E" w:rsidRDefault="0040429E" w:rsidP="0040429E">
      <w:pPr>
        <w:rPr>
          <w:b/>
          <w:bCs/>
        </w:rPr>
      </w:pPr>
      <w:r w:rsidRPr="0040429E">
        <w:rPr>
          <w:b/>
          <w:bCs/>
        </w:rPr>
        <w:t>Incidence and Mortality</w:t>
      </w:r>
    </w:p>
    <w:p w14:paraId="2310F5CE" w14:textId="77777777" w:rsidR="0040429E" w:rsidRPr="0040429E" w:rsidRDefault="0040429E" w:rsidP="0040429E">
      <w:r w:rsidRPr="0040429E">
        <w:t>Estimated new cases and deaths from liver and intrahepatic bile duct cancer in the United States in 2025:[</w:t>
      </w:r>
      <w:hyperlink r:id="rId5" w:anchor="cit/section_1.1" w:history="1">
        <w:r w:rsidRPr="0040429E">
          <w:rPr>
            <w:rStyle w:val="Hyperlink"/>
          </w:rPr>
          <w:t>1</w:t>
        </w:r>
      </w:hyperlink>
      <w:r w:rsidRPr="0040429E">
        <w:t>]</w:t>
      </w:r>
    </w:p>
    <w:p w14:paraId="5CB2AB83" w14:textId="77777777" w:rsidR="0040429E" w:rsidRPr="0040429E" w:rsidRDefault="0040429E" w:rsidP="0040429E">
      <w:pPr>
        <w:numPr>
          <w:ilvl w:val="0"/>
          <w:numId w:val="1"/>
        </w:numPr>
      </w:pPr>
      <w:r w:rsidRPr="0040429E">
        <w:t>New cases: 42,240.</w:t>
      </w:r>
    </w:p>
    <w:p w14:paraId="4D6AABF6" w14:textId="77777777" w:rsidR="0040429E" w:rsidRPr="0040429E" w:rsidRDefault="0040429E" w:rsidP="0040429E">
      <w:pPr>
        <w:numPr>
          <w:ilvl w:val="0"/>
          <w:numId w:val="1"/>
        </w:numPr>
      </w:pPr>
      <w:r w:rsidRPr="0040429E">
        <w:t>Deaths: 30,090.</w:t>
      </w:r>
    </w:p>
    <w:p w14:paraId="1053E160" w14:textId="77777777" w:rsidR="0040429E" w:rsidRPr="0040429E" w:rsidRDefault="0040429E" w:rsidP="0040429E">
      <w:r w:rsidRPr="0040429E">
        <w:t>HCC is relatively uncommon in the United States, although its incidence is rising, principally in relation to the spread of hepatitis C virus infection.[</w:t>
      </w:r>
      <w:hyperlink r:id="rId6" w:anchor="cit/section_1.2" w:history="1">
        <w:r w:rsidRPr="0040429E">
          <w:rPr>
            <w:rStyle w:val="Hyperlink"/>
          </w:rPr>
          <w:t>2</w:t>
        </w:r>
      </w:hyperlink>
      <w:r w:rsidRPr="0040429E">
        <w:t>] Worldwide, HCC is the sixth most prevalent cancer and the third leading cause of cancer-related deaths.[</w:t>
      </w:r>
      <w:hyperlink r:id="rId7" w:anchor="cit/section_1.3" w:history="1">
        <w:r w:rsidRPr="0040429E">
          <w:rPr>
            <w:rStyle w:val="Hyperlink"/>
          </w:rPr>
          <w:t>3</w:t>
        </w:r>
      </w:hyperlink>
      <w:r w:rsidRPr="0040429E">
        <w:t>]</w:t>
      </w:r>
    </w:p>
    <w:p w14:paraId="142A3E00" w14:textId="77777777" w:rsidR="0040429E" w:rsidRPr="0040429E" w:rsidRDefault="0040429E" w:rsidP="0040429E">
      <w:pPr>
        <w:rPr>
          <w:b/>
          <w:bCs/>
        </w:rPr>
      </w:pPr>
      <w:r w:rsidRPr="0040429E">
        <w:rPr>
          <w:b/>
          <w:bCs/>
        </w:rPr>
        <w:t>Risk Factors</w:t>
      </w:r>
    </w:p>
    <w:p w14:paraId="33993B0D" w14:textId="77777777" w:rsidR="0040429E" w:rsidRPr="0040429E" w:rsidRDefault="0040429E" w:rsidP="0040429E">
      <w:r w:rsidRPr="0040429E">
        <w:t>Increasing age is the most important risk factor for most cancers. Other risk factors for liver (hepatocellular) cancer include:</w:t>
      </w:r>
    </w:p>
    <w:p w14:paraId="187B2C47" w14:textId="77777777" w:rsidR="0040429E" w:rsidRPr="0040429E" w:rsidRDefault="0040429E" w:rsidP="0040429E">
      <w:pPr>
        <w:numPr>
          <w:ilvl w:val="0"/>
          <w:numId w:val="2"/>
        </w:numPr>
      </w:pPr>
      <w:r w:rsidRPr="0040429E">
        <w:t>Chronic and/or persistent infection with hepatitis B and/or hepatitis C.[</w:t>
      </w:r>
      <w:hyperlink r:id="rId8" w:anchor="cit/section_1.4" w:history="1">
        <w:r w:rsidRPr="0040429E">
          <w:rPr>
            <w:rStyle w:val="Hyperlink"/>
          </w:rPr>
          <w:t>4</w:t>
        </w:r>
      </w:hyperlink>
      <w:r w:rsidRPr="0040429E">
        <w:t>-</w:t>
      </w:r>
      <w:hyperlink r:id="rId9" w:anchor="cit/section_1.7" w:history="1">
        <w:r w:rsidRPr="0040429E">
          <w:rPr>
            <w:rStyle w:val="Hyperlink"/>
          </w:rPr>
          <w:t>7</w:t>
        </w:r>
      </w:hyperlink>
      <w:r w:rsidRPr="0040429E">
        <w:t>]</w:t>
      </w:r>
    </w:p>
    <w:p w14:paraId="485E6F5E" w14:textId="77777777" w:rsidR="0040429E" w:rsidRPr="0040429E" w:rsidRDefault="0040429E" w:rsidP="0040429E">
      <w:pPr>
        <w:numPr>
          <w:ilvl w:val="0"/>
          <w:numId w:val="2"/>
        </w:numPr>
      </w:pPr>
      <w:r w:rsidRPr="0040429E">
        <w:t>Cirrhosis.[</w:t>
      </w:r>
      <w:hyperlink r:id="rId10" w:anchor="cit/section_1.5" w:history="1">
        <w:r w:rsidRPr="0040429E">
          <w:rPr>
            <w:rStyle w:val="Hyperlink"/>
          </w:rPr>
          <w:t>5</w:t>
        </w:r>
      </w:hyperlink>
      <w:r w:rsidRPr="0040429E">
        <w:t>,</w:t>
      </w:r>
      <w:hyperlink r:id="rId11" w:anchor="cit/section_1.7" w:history="1">
        <w:r w:rsidRPr="0040429E">
          <w:rPr>
            <w:rStyle w:val="Hyperlink"/>
          </w:rPr>
          <w:t>7</w:t>
        </w:r>
      </w:hyperlink>
      <w:r w:rsidRPr="0040429E">
        <w:t>,</w:t>
      </w:r>
      <w:hyperlink r:id="rId12" w:anchor="cit/section_1.8" w:history="1">
        <w:r w:rsidRPr="0040429E">
          <w:rPr>
            <w:rStyle w:val="Hyperlink"/>
          </w:rPr>
          <w:t>8</w:t>
        </w:r>
      </w:hyperlink>
      <w:r w:rsidRPr="0040429E">
        <w:t>]</w:t>
      </w:r>
    </w:p>
    <w:p w14:paraId="69E33F3D" w14:textId="77777777" w:rsidR="0040429E" w:rsidRPr="0040429E" w:rsidRDefault="0040429E" w:rsidP="0040429E">
      <w:pPr>
        <w:numPr>
          <w:ilvl w:val="0"/>
          <w:numId w:val="2"/>
        </w:numPr>
      </w:pPr>
      <w:r w:rsidRPr="0040429E">
        <w:t>Heavy alcohol use.[</w:t>
      </w:r>
      <w:hyperlink r:id="rId13" w:anchor="cit/section_1.6" w:history="1">
        <w:r w:rsidRPr="0040429E">
          <w:rPr>
            <w:rStyle w:val="Hyperlink"/>
          </w:rPr>
          <w:t>6</w:t>
        </w:r>
      </w:hyperlink>
      <w:r w:rsidRPr="0040429E">
        <w:t>,</w:t>
      </w:r>
      <w:hyperlink r:id="rId14" w:anchor="cit/section_1.8" w:history="1">
        <w:r w:rsidRPr="0040429E">
          <w:rPr>
            <w:rStyle w:val="Hyperlink"/>
          </w:rPr>
          <w:t>8</w:t>
        </w:r>
      </w:hyperlink>
      <w:r w:rsidRPr="0040429E">
        <w:t>,</w:t>
      </w:r>
      <w:hyperlink r:id="rId15" w:anchor="cit/section_1.9" w:history="1">
        <w:r w:rsidRPr="0040429E">
          <w:rPr>
            <w:rStyle w:val="Hyperlink"/>
          </w:rPr>
          <w:t>9</w:t>
        </w:r>
      </w:hyperlink>
      <w:r w:rsidRPr="0040429E">
        <w:t>]</w:t>
      </w:r>
    </w:p>
    <w:p w14:paraId="4DFDFC0C" w14:textId="77777777" w:rsidR="0040429E" w:rsidRPr="0040429E" w:rsidRDefault="0040429E" w:rsidP="0040429E">
      <w:pPr>
        <w:numPr>
          <w:ilvl w:val="0"/>
          <w:numId w:val="2"/>
        </w:numPr>
      </w:pPr>
      <w:r w:rsidRPr="0040429E">
        <w:t>Ingestion of foods contaminated with aflatoxin B1.[</w:t>
      </w:r>
      <w:hyperlink r:id="rId16" w:anchor="cit/section_1.10" w:history="1">
        <w:r w:rsidRPr="0040429E">
          <w:rPr>
            <w:rStyle w:val="Hyperlink"/>
          </w:rPr>
          <w:t>10</w:t>
        </w:r>
      </w:hyperlink>
      <w:r w:rsidRPr="0040429E">
        <w:t>-</w:t>
      </w:r>
      <w:hyperlink r:id="rId17" w:anchor="cit/section_1.13" w:history="1">
        <w:r w:rsidRPr="0040429E">
          <w:rPr>
            <w:rStyle w:val="Hyperlink"/>
          </w:rPr>
          <w:t>13</w:t>
        </w:r>
      </w:hyperlink>
      <w:r w:rsidRPr="0040429E">
        <w:t>]</w:t>
      </w:r>
    </w:p>
    <w:p w14:paraId="23BB3FFD" w14:textId="77777777" w:rsidR="0040429E" w:rsidRPr="0040429E" w:rsidRDefault="0040429E" w:rsidP="0040429E">
      <w:pPr>
        <w:numPr>
          <w:ilvl w:val="0"/>
          <w:numId w:val="2"/>
        </w:numPr>
      </w:pPr>
      <w:r w:rsidRPr="0040429E">
        <w:t>Nonalcoholic steatohepatitis (NASH).[</w:t>
      </w:r>
      <w:hyperlink r:id="rId18" w:anchor="cit/section_1.14" w:history="1">
        <w:r w:rsidRPr="0040429E">
          <w:rPr>
            <w:rStyle w:val="Hyperlink"/>
          </w:rPr>
          <w:t>14</w:t>
        </w:r>
      </w:hyperlink>
      <w:r w:rsidRPr="0040429E">
        <w:t>-</w:t>
      </w:r>
      <w:hyperlink r:id="rId19" w:anchor="cit/section_1.17" w:history="1">
        <w:r w:rsidRPr="0040429E">
          <w:rPr>
            <w:rStyle w:val="Hyperlink"/>
          </w:rPr>
          <w:t>17</w:t>
        </w:r>
      </w:hyperlink>
      <w:r w:rsidRPr="0040429E">
        <w:t>]</w:t>
      </w:r>
    </w:p>
    <w:p w14:paraId="61928867" w14:textId="77777777" w:rsidR="0040429E" w:rsidRPr="0040429E" w:rsidRDefault="0040429E" w:rsidP="0040429E">
      <w:pPr>
        <w:numPr>
          <w:ilvl w:val="0"/>
          <w:numId w:val="2"/>
        </w:numPr>
      </w:pPr>
      <w:r w:rsidRPr="0040429E">
        <w:t>Tobacco use.[</w:t>
      </w:r>
      <w:hyperlink r:id="rId20" w:anchor="cit/section_1.18" w:history="1">
        <w:r w:rsidRPr="0040429E">
          <w:rPr>
            <w:rStyle w:val="Hyperlink"/>
          </w:rPr>
          <w:t>18</w:t>
        </w:r>
      </w:hyperlink>
      <w:r w:rsidRPr="0040429E">
        <w:t>-</w:t>
      </w:r>
      <w:hyperlink r:id="rId21" w:anchor="cit/section_1.20" w:history="1">
        <w:r w:rsidRPr="0040429E">
          <w:rPr>
            <w:rStyle w:val="Hyperlink"/>
          </w:rPr>
          <w:t>20</w:t>
        </w:r>
      </w:hyperlink>
      <w:r w:rsidRPr="0040429E">
        <w:t>]</w:t>
      </w:r>
    </w:p>
    <w:p w14:paraId="4D87B9CC" w14:textId="77777777" w:rsidR="0040429E" w:rsidRPr="0040429E" w:rsidRDefault="0040429E" w:rsidP="0040429E">
      <w:pPr>
        <w:numPr>
          <w:ilvl w:val="0"/>
          <w:numId w:val="2"/>
        </w:numPr>
      </w:pPr>
      <w:r w:rsidRPr="0040429E">
        <w:t>Certain inherited or rare disorders that include:</w:t>
      </w:r>
    </w:p>
    <w:p w14:paraId="6AEFB3E7" w14:textId="77777777" w:rsidR="0040429E" w:rsidRPr="0040429E" w:rsidRDefault="0040429E" w:rsidP="0040429E">
      <w:pPr>
        <w:numPr>
          <w:ilvl w:val="1"/>
          <w:numId w:val="2"/>
        </w:numPr>
      </w:pPr>
      <w:r w:rsidRPr="0040429E">
        <w:t>Hereditary hemochromatosis.[</w:t>
      </w:r>
      <w:hyperlink r:id="rId22" w:anchor="cit/section_1.7" w:history="1">
        <w:r w:rsidRPr="0040429E">
          <w:rPr>
            <w:rStyle w:val="Hyperlink"/>
          </w:rPr>
          <w:t>7</w:t>
        </w:r>
      </w:hyperlink>
      <w:r w:rsidRPr="0040429E">
        <w:t>,</w:t>
      </w:r>
      <w:hyperlink r:id="rId23" w:anchor="cit/section_1.10" w:history="1">
        <w:r w:rsidRPr="0040429E">
          <w:rPr>
            <w:rStyle w:val="Hyperlink"/>
          </w:rPr>
          <w:t>10</w:t>
        </w:r>
      </w:hyperlink>
      <w:r w:rsidRPr="0040429E">
        <w:t>]</w:t>
      </w:r>
    </w:p>
    <w:p w14:paraId="08D59B3C" w14:textId="77777777" w:rsidR="0040429E" w:rsidRPr="0040429E" w:rsidRDefault="0040429E" w:rsidP="0040429E">
      <w:pPr>
        <w:numPr>
          <w:ilvl w:val="1"/>
          <w:numId w:val="2"/>
        </w:numPr>
      </w:pPr>
      <w:r w:rsidRPr="0040429E">
        <w:t>Alpha-1 antitrypsin deficiency.[</w:t>
      </w:r>
      <w:hyperlink r:id="rId24" w:anchor="cit/section_1.21" w:history="1">
        <w:r w:rsidRPr="0040429E">
          <w:rPr>
            <w:rStyle w:val="Hyperlink"/>
          </w:rPr>
          <w:t>21</w:t>
        </w:r>
      </w:hyperlink>
      <w:r w:rsidRPr="0040429E">
        <w:t>]</w:t>
      </w:r>
    </w:p>
    <w:p w14:paraId="05B0F915" w14:textId="77777777" w:rsidR="0040429E" w:rsidRPr="0040429E" w:rsidRDefault="0040429E" w:rsidP="0040429E">
      <w:pPr>
        <w:numPr>
          <w:ilvl w:val="1"/>
          <w:numId w:val="2"/>
        </w:numPr>
      </w:pPr>
      <w:r w:rsidRPr="0040429E">
        <w:t>Glycogen storage disease.[</w:t>
      </w:r>
      <w:hyperlink r:id="rId25" w:anchor="cit/section_1.10" w:history="1">
        <w:r w:rsidRPr="0040429E">
          <w:rPr>
            <w:rStyle w:val="Hyperlink"/>
          </w:rPr>
          <w:t>10</w:t>
        </w:r>
      </w:hyperlink>
      <w:r w:rsidRPr="0040429E">
        <w:t>]</w:t>
      </w:r>
    </w:p>
    <w:p w14:paraId="71505B84" w14:textId="77777777" w:rsidR="0040429E" w:rsidRPr="0040429E" w:rsidRDefault="0040429E" w:rsidP="0040429E">
      <w:pPr>
        <w:numPr>
          <w:ilvl w:val="1"/>
          <w:numId w:val="2"/>
        </w:numPr>
      </w:pPr>
      <w:r w:rsidRPr="0040429E">
        <w:t xml:space="preserve">Porphyria cutanea </w:t>
      </w:r>
      <w:proofErr w:type="spellStart"/>
      <w:r w:rsidRPr="0040429E">
        <w:t>tarda</w:t>
      </w:r>
      <w:proofErr w:type="spellEnd"/>
      <w:r w:rsidRPr="0040429E">
        <w:t>.[</w:t>
      </w:r>
      <w:hyperlink r:id="rId26" w:anchor="cit/section_1.10" w:history="1">
        <w:r w:rsidRPr="0040429E">
          <w:rPr>
            <w:rStyle w:val="Hyperlink"/>
          </w:rPr>
          <w:t>10</w:t>
        </w:r>
      </w:hyperlink>
      <w:r w:rsidRPr="0040429E">
        <w:t>]</w:t>
      </w:r>
    </w:p>
    <w:p w14:paraId="32D3BC55" w14:textId="77777777" w:rsidR="0040429E" w:rsidRDefault="0040429E" w:rsidP="0040429E">
      <w:pPr>
        <w:numPr>
          <w:ilvl w:val="1"/>
          <w:numId w:val="2"/>
        </w:numPr>
      </w:pPr>
      <w:r w:rsidRPr="0040429E">
        <w:t>Wilson disease.[</w:t>
      </w:r>
      <w:hyperlink r:id="rId27" w:anchor="cit/section_1.10" w:history="1">
        <w:r w:rsidRPr="0040429E">
          <w:rPr>
            <w:rStyle w:val="Hyperlink"/>
          </w:rPr>
          <w:t>10</w:t>
        </w:r>
      </w:hyperlink>
      <w:r w:rsidRPr="0040429E">
        <w:t>,</w:t>
      </w:r>
      <w:hyperlink r:id="rId28" w:anchor="cit/section_1.22" w:history="1">
        <w:r w:rsidRPr="0040429E">
          <w:rPr>
            <w:rStyle w:val="Hyperlink"/>
          </w:rPr>
          <w:t>22</w:t>
        </w:r>
      </w:hyperlink>
      <w:r w:rsidRPr="0040429E">
        <w:t>,</w:t>
      </w:r>
      <w:hyperlink r:id="rId29" w:anchor="cit/section_1.23" w:history="1">
        <w:r w:rsidRPr="0040429E">
          <w:rPr>
            <w:rStyle w:val="Hyperlink"/>
          </w:rPr>
          <w:t>23</w:t>
        </w:r>
      </w:hyperlink>
      <w:r w:rsidRPr="0040429E">
        <w:t>]</w:t>
      </w:r>
    </w:p>
    <w:p w14:paraId="75EED5A7" w14:textId="77777777" w:rsidR="00D748B8" w:rsidRDefault="00D748B8" w:rsidP="00D748B8"/>
    <w:p w14:paraId="6D397BE3" w14:textId="77777777" w:rsidR="00D748B8" w:rsidRPr="00D748B8" w:rsidRDefault="00D748B8" w:rsidP="00D748B8">
      <w:pPr>
        <w:rPr>
          <w:b/>
          <w:bCs/>
        </w:rPr>
      </w:pPr>
      <w:r w:rsidRPr="00D748B8">
        <w:rPr>
          <w:b/>
          <w:bCs/>
        </w:rPr>
        <w:t>Factors With Adequate Evidence of Increased Risk of HCC</w:t>
      </w:r>
    </w:p>
    <w:p w14:paraId="5152935F" w14:textId="77777777" w:rsidR="00D748B8" w:rsidRPr="00D748B8" w:rsidRDefault="00D748B8" w:rsidP="00D748B8">
      <w:pPr>
        <w:rPr>
          <w:b/>
          <w:bCs/>
          <w:i/>
          <w:iCs/>
        </w:rPr>
      </w:pPr>
      <w:r w:rsidRPr="00D748B8">
        <w:rPr>
          <w:b/>
          <w:bCs/>
          <w:i/>
          <w:iCs/>
        </w:rPr>
        <w:t>In This Section</w:t>
      </w:r>
    </w:p>
    <w:p w14:paraId="67EC9088" w14:textId="77777777" w:rsidR="00D748B8" w:rsidRPr="00D748B8" w:rsidRDefault="00D748B8" w:rsidP="00D748B8">
      <w:pPr>
        <w:numPr>
          <w:ilvl w:val="0"/>
          <w:numId w:val="3"/>
        </w:numPr>
      </w:pPr>
      <w:hyperlink r:id="rId30" w:anchor="_160_toc" w:history="1">
        <w:r w:rsidRPr="00D748B8">
          <w:rPr>
            <w:rStyle w:val="Hyperlink"/>
          </w:rPr>
          <w:t>Chronic HBV Infection</w:t>
        </w:r>
      </w:hyperlink>
    </w:p>
    <w:p w14:paraId="79719642" w14:textId="77777777" w:rsidR="00D748B8" w:rsidRPr="00D748B8" w:rsidRDefault="00D748B8" w:rsidP="00D748B8">
      <w:pPr>
        <w:numPr>
          <w:ilvl w:val="0"/>
          <w:numId w:val="3"/>
        </w:numPr>
      </w:pPr>
      <w:hyperlink r:id="rId31" w:anchor="_135_toc" w:history="1">
        <w:r w:rsidRPr="00D748B8">
          <w:rPr>
            <w:rStyle w:val="Hyperlink"/>
          </w:rPr>
          <w:t>Chronic HCV Infection</w:t>
        </w:r>
      </w:hyperlink>
    </w:p>
    <w:p w14:paraId="159E4E8D" w14:textId="77777777" w:rsidR="00D748B8" w:rsidRPr="00D748B8" w:rsidRDefault="00D748B8" w:rsidP="00D748B8">
      <w:pPr>
        <w:numPr>
          <w:ilvl w:val="0"/>
          <w:numId w:val="3"/>
        </w:numPr>
      </w:pPr>
      <w:hyperlink r:id="rId32" w:anchor="_235_toc" w:history="1">
        <w:r w:rsidRPr="00D748B8">
          <w:rPr>
            <w:rStyle w:val="Hyperlink"/>
          </w:rPr>
          <w:t>Cirrhosis</w:t>
        </w:r>
      </w:hyperlink>
    </w:p>
    <w:p w14:paraId="75383257" w14:textId="77777777" w:rsidR="00D748B8" w:rsidRPr="00D748B8" w:rsidRDefault="00D748B8" w:rsidP="00D748B8">
      <w:pPr>
        <w:numPr>
          <w:ilvl w:val="0"/>
          <w:numId w:val="3"/>
        </w:numPr>
      </w:pPr>
      <w:hyperlink r:id="rId33" w:anchor="_239_toc" w:history="1">
        <w:r w:rsidRPr="00D748B8">
          <w:rPr>
            <w:rStyle w:val="Hyperlink"/>
          </w:rPr>
          <w:t>Heavy Alcohol Use</w:t>
        </w:r>
      </w:hyperlink>
    </w:p>
    <w:p w14:paraId="07F01983" w14:textId="77777777" w:rsidR="00D748B8" w:rsidRPr="00D748B8" w:rsidRDefault="00D748B8" w:rsidP="00D748B8">
      <w:pPr>
        <w:numPr>
          <w:ilvl w:val="0"/>
          <w:numId w:val="3"/>
        </w:numPr>
      </w:pPr>
      <w:hyperlink r:id="rId34" w:anchor="_243_toc" w:history="1">
        <w:r w:rsidRPr="00D748B8">
          <w:rPr>
            <w:rStyle w:val="Hyperlink"/>
          </w:rPr>
          <w:t>Aflatoxin B1</w:t>
        </w:r>
      </w:hyperlink>
    </w:p>
    <w:p w14:paraId="210F6B44" w14:textId="77777777" w:rsidR="00D748B8" w:rsidRPr="00D748B8" w:rsidRDefault="00D748B8" w:rsidP="00D748B8">
      <w:pPr>
        <w:numPr>
          <w:ilvl w:val="0"/>
          <w:numId w:val="3"/>
        </w:numPr>
      </w:pPr>
      <w:hyperlink r:id="rId35" w:anchor="_247_toc" w:history="1">
        <w:r w:rsidRPr="00D748B8">
          <w:rPr>
            <w:rStyle w:val="Hyperlink"/>
          </w:rPr>
          <w:t>NASH</w:t>
        </w:r>
      </w:hyperlink>
    </w:p>
    <w:p w14:paraId="6792DDC7" w14:textId="77777777" w:rsidR="00D748B8" w:rsidRPr="00D748B8" w:rsidRDefault="00D748B8" w:rsidP="00D748B8">
      <w:pPr>
        <w:numPr>
          <w:ilvl w:val="0"/>
          <w:numId w:val="3"/>
        </w:numPr>
      </w:pPr>
      <w:hyperlink r:id="rId36" w:anchor="_252_toc" w:history="1">
        <w:r w:rsidRPr="00D748B8">
          <w:rPr>
            <w:rStyle w:val="Hyperlink"/>
          </w:rPr>
          <w:t>Cigarette Smoking</w:t>
        </w:r>
      </w:hyperlink>
    </w:p>
    <w:p w14:paraId="0852FF7A" w14:textId="77777777" w:rsidR="00D748B8" w:rsidRPr="00D748B8" w:rsidRDefault="00D748B8" w:rsidP="00D748B8">
      <w:pPr>
        <w:numPr>
          <w:ilvl w:val="0"/>
          <w:numId w:val="3"/>
        </w:numPr>
      </w:pPr>
      <w:hyperlink r:id="rId37" w:anchor="_268_toc" w:history="1">
        <w:r w:rsidRPr="00D748B8">
          <w:rPr>
            <w:rStyle w:val="Hyperlink"/>
          </w:rPr>
          <w:t>Certain Rare Medical and Genetic Conditions (Untreated HH, Alpha-1-Antitrypsin Deficiency, Glycogen Storage Disease, Porphyria Cutanea Tarda, and Wilson Disease)</w:t>
        </w:r>
      </w:hyperlink>
    </w:p>
    <w:p w14:paraId="731F992C" w14:textId="77777777" w:rsidR="00D748B8" w:rsidRPr="00D748B8" w:rsidRDefault="00D748B8" w:rsidP="00D748B8">
      <w:pPr>
        <w:rPr>
          <w:b/>
          <w:bCs/>
        </w:rPr>
      </w:pPr>
      <w:r w:rsidRPr="00D748B8">
        <w:rPr>
          <w:b/>
          <w:bCs/>
        </w:rPr>
        <w:t>Chronic HBV Infection</w:t>
      </w:r>
    </w:p>
    <w:p w14:paraId="1E44337C" w14:textId="77777777" w:rsidR="00D748B8" w:rsidRPr="00D748B8" w:rsidRDefault="00D748B8" w:rsidP="00D748B8">
      <w:r w:rsidRPr="00D748B8">
        <w:t>Chronic hepatitis B virus (HBV) infection is the leading cause of hepatocellular cancer (HCC) in Asia and Africa.[</w:t>
      </w:r>
      <w:hyperlink r:id="rId38" w:anchor="cit/section_3.1" w:history="1">
        <w:r w:rsidRPr="00D748B8">
          <w:rPr>
            <w:rStyle w:val="Hyperlink"/>
          </w:rPr>
          <w:t>1</w:t>
        </w:r>
      </w:hyperlink>
      <w:r w:rsidRPr="00D748B8">
        <w:t>] Hepatitis B is transmitted through contact with infected blood, semen, or other body fluids. In areas with high incidence of chronic HBV infection and HCC, about 70% of infections are acquired in the perinatal period or in early childhood.[</w:t>
      </w:r>
      <w:hyperlink r:id="rId39" w:anchor="cit/section_3.2" w:history="1">
        <w:r w:rsidRPr="00D748B8">
          <w:rPr>
            <w:rStyle w:val="Hyperlink"/>
          </w:rPr>
          <w:t>2</w:t>
        </w:r>
      </w:hyperlink>
      <w:r w:rsidRPr="00D748B8">
        <w:t>] In addition to maternal-to-child transmission, HBV can be spread through sexual contact and contact with infected blood.[</w:t>
      </w:r>
      <w:hyperlink r:id="rId40" w:anchor="cit/section_3.3" w:history="1">
        <w:r w:rsidRPr="00D748B8">
          <w:rPr>
            <w:rStyle w:val="Hyperlink"/>
          </w:rPr>
          <w:t>3</w:t>
        </w:r>
      </w:hyperlink>
      <w:r w:rsidRPr="00D748B8">
        <w:t>] In the United States, the most common route of transmission is sharing drug-injecting needles.[</w:t>
      </w:r>
      <w:hyperlink r:id="rId41" w:anchor="cit/section_3.4" w:history="1">
        <w:r w:rsidRPr="00D748B8">
          <w:rPr>
            <w:rStyle w:val="Hyperlink"/>
          </w:rPr>
          <w:t>4</w:t>
        </w:r>
      </w:hyperlink>
      <w:r w:rsidRPr="00D748B8">
        <w:t>] It is estimated that 850,000 to 2.2 million people in the United States have chronic HBV infection [</w:t>
      </w:r>
      <w:hyperlink r:id="rId42" w:anchor="cit/section_3.3" w:history="1">
        <w:r w:rsidRPr="00D748B8">
          <w:rPr>
            <w:rStyle w:val="Hyperlink"/>
          </w:rPr>
          <w:t>3</w:t>
        </w:r>
      </w:hyperlink>
      <w:r w:rsidRPr="00D748B8">
        <w:t>] and that the infection is responsible for 10% to 15% of HCC cases.[</w:t>
      </w:r>
      <w:hyperlink r:id="rId43" w:anchor="cit/section_3.5" w:history="1">
        <w:r w:rsidRPr="00D748B8">
          <w:rPr>
            <w:rStyle w:val="Hyperlink"/>
          </w:rPr>
          <w:t>5</w:t>
        </w:r>
      </w:hyperlink>
      <w:r w:rsidRPr="00D748B8">
        <w:t>] The World Health Organization (WHO) estimates that 240 million people are infected worldwide.[</w:t>
      </w:r>
      <w:hyperlink r:id="rId44" w:anchor="cit/section_3.4" w:history="1">
        <w:r w:rsidRPr="00D748B8">
          <w:rPr>
            <w:rStyle w:val="Hyperlink"/>
          </w:rPr>
          <w:t>4</w:t>
        </w:r>
      </w:hyperlink>
      <w:r w:rsidRPr="00D748B8">
        <w:t>]</w:t>
      </w:r>
    </w:p>
    <w:p w14:paraId="3977D152" w14:textId="77777777" w:rsidR="00D748B8" w:rsidRPr="00D748B8" w:rsidRDefault="00D748B8" w:rsidP="00D748B8">
      <w:r w:rsidRPr="00D748B8">
        <w:t>Evidence for a causal relationship between chronic HBV infection and HCC comes from etiological studies, case series, case-control studies, and prospective epidemiological studies.[</w:t>
      </w:r>
      <w:hyperlink r:id="rId45" w:anchor="cit/section_3.2" w:history="1">
        <w:r w:rsidRPr="00D748B8">
          <w:rPr>
            <w:rStyle w:val="Hyperlink"/>
          </w:rPr>
          <w:t>2</w:t>
        </w:r>
      </w:hyperlink>
      <w:r w:rsidRPr="00D748B8">
        <w:t>] Ecological studies demonstrate a strong positive correlation between the prevalence of chronic HBV and HCC incidence and mortality. HBV is present in liver tissue in nearly all patients who are seropositive for the virus and have HCC,[</w:t>
      </w:r>
      <w:hyperlink r:id="rId46" w:anchor="cit/section_3.2" w:history="1">
        <w:r w:rsidRPr="00D748B8">
          <w:rPr>
            <w:rStyle w:val="Hyperlink"/>
          </w:rPr>
          <w:t>2</w:t>
        </w:r>
      </w:hyperlink>
      <w:r w:rsidRPr="00D748B8">
        <w:t>] and HBV DNA has been found in 10% to 20% of HCC tumors in patients who are seronegative but are positive for HBV antibodies.[</w:t>
      </w:r>
      <w:hyperlink r:id="rId47" w:anchor="cit/section_3.2" w:history="1">
        <w:r w:rsidRPr="00D748B8">
          <w:rPr>
            <w:rStyle w:val="Hyperlink"/>
          </w:rPr>
          <w:t>2</w:t>
        </w:r>
      </w:hyperlink>
      <w:r w:rsidRPr="00D748B8">
        <w:t>] Case-control studies and prospective studies have observed odds ratios or relative risks (RRs) of at least 5 for chronic HBV infection.[</w:t>
      </w:r>
      <w:hyperlink r:id="rId48" w:anchor="cit/section_3.2" w:history="1">
        <w:r w:rsidRPr="00D748B8">
          <w:rPr>
            <w:rStyle w:val="Hyperlink"/>
          </w:rPr>
          <w:t>2</w:t>
        </w:r>
      </w:hyperlink>
      <w:r w:rsidRPr="00D748B8">
        <w:t>] Some prospective studies have observed RRs exceeding 50.[</w:t>
      </w:r>
      <w:hyperlink r:id="rId49" w:anchor="cit/section_3.2" w:history="1">
        <w:r w:rsidRPr="00D748B8">
          <w:rPr>
            <w:rStyle w:val="Hyperlink"/>
          </w:rPr>
          <w:t>2</w:t>
        </w:r>
      </w:hyperlink>
      <w:r w:rsidRPr="00D748B8">
        <w:t>] The lifetime risk of HCC in individuals chronically infected with HBV is estimated to be between 10% and 25%.[</w:t>
      </w:r>
      <w:hyperlink r:id="rId50" w:anchor="cit/section_3.2" w:history="1">
        <w:r w:rsidRPr="00D748B8">
          <w:rPr>
            <w:rStyle w:val="Hyperlink"/>
          </w:rPr>
          <w:t>2</w:t>
        </w:r>
      </w:hyperlink>
      <w:r w:rsidRPr="00D748B8">
        <w:t>] Clinical factors that have been reported to increase risk in individuals with chronic HBV infection include higher levels of HBV replication; certain HBV genotypes; longer duration of infection; and coinfection with hepatitis C virus (HCV), HIV, or hepatitis D virus.[</w:t>
      </w:r>
      <w:hyperlink r:id="rId51" w:anchor="cit/section_3.6" w:history="1">
        <w:r w:rsidRPr="00D748B8">
          <w:rPr>
            <w:rStyle w:val="Hyperlink"/>
          </w:rPr>
          <w:t>6</w:t>
        </w:r>
      </w:hyperlink>
      <w:r w:rsidRPr="00D748B8">
        <w:t>] The presence of cirrhosis increases risk, although HBV can cause HCC in the absence of cirrhosis.[</w:t>
      </w:r>
      <w:hyperlink r:id="rId52" w:anchor="cit/section_3.7" w:history="1">
        <w:r w:rsidRPr="00D748B8">
          <w:rPr>
            <w:rStyle w:val="Hyperlink"/>
          </w:rPr>
          <w:t>7</w:t>
        </w:r>
      </w:hyperlink>
      <w:r w:rsidRPr="00D748B8">
        <w:t>]</w:t>
      </w:r>
    </w:p>
    <w:p w14:paraId="44A6163F" w14:textId="77777777" w:rsidR="00D748B8" w:rsidRPr="00D748B8" w:rsidRDefault="00D748B8" w:rsidP="00D748B8">
      <w:r w:rsidRPr="00D748B8">
        <w:lastRenderedPageBreak/>
        <w:t>Coinfection with HCV appears to have an additive effect on risk.[</w:t>
      </w:r>
      <w:hyperlink r:id="rId53" w:anchor="cit/section_3.8" w:history="1">
        <w:r w:rsidRPr="00D748B8">
          <w:rPr>
            <w:rStyle w:val="Hyperlink"/>
          </w:rPr>
          <w:t>8</w:t>
        </w:r>
      </w:hyperlink>
      <w:r w:rsidRPr="00D748B8">
        <w:t>] In addition, degree of increased risk of chronic HBV varies with the presence of other factors and is discussed in sections of this summary that cover those specific factors.</w:t>
      </w:r>
    </w:p>
    <w:p w14:paraId="32B05876" w14:textId="77777777" w:rsidR="00D748B8" w:rsidRPr="00D748B8" w:rsidRDefault="00D748B8" w:rsidP="00D748B8">
      <w:pPr>
        <w:rPr>
          <w:b/>
          <w:bCs/>
        </w:rPr>
      </w:pPr>
      <w:r w:rsidRPr="00D748B8">
        <w:rPr>
          <w:b/>
          <w:bCs/>
        </w:rPr>
        <w:t>Chronic HCV Infection</w:t>
      </w:r>
    </w:p>
    <w:p w14:paraId="323E7E16" w14:textId="77777777" w:rsidR="00D748B8" w:rsidRPr="00D748B8" w:rsidRDefault="00D748B8" w:rsidP="00D748B8">
      <w:r w:rsidRPr="00D748B8">
        <w:t>Chronic HCV infection is the leading cause of HCC in North America, Europe, and Japan.[</w:t>
      </w:r>
      <w:hyperlink r:id="rId54" w:anchor="cit/section_3.1" w:history="1">
        <w:r w:rsidRPr="00D748B8">
          <w:rPr>
            <w:rStyle w:val="Hyperlink"/>
          </w:rPr>
          <w:t>1</w:t>
        </w:r>
      </w:hyperlink>
      <w:r w:rsidRPr="00D748B8">
        <w:t>] Chronic HCV infection accounts for about one-third of HCC cases in the United States.[</w:t>
      </w:r>
      <w:hyperlink r:id="rId55" w:anchor="cit/section_3.4" w:history="1">
        <w:r w:rsidRPr="00D748B8">
          <w:rPr>
            <w:rStyle w:val="Hyperlink"/>
          </w:rPr>
          <w:t>4</w:t>
        </w:r>
      </w:hyperlink>
      <w:r w:rsidRPr="00D748B8">
        <w:t>] HCV is a blood-borne pathogen; before screening of the blood supply or donated human organs (1992), HCV infection often was acquired during blood transfusions or organ transplants. Today, most new infections are caused by the sharing of drug-injecting needles. HCV can be transmitted during sexual contact, although this occurs infrequently. An estimated 2.7 to 3.9 million people in the United States have chronic hepatitis C.[</w:t>
      </w:r>
      <w:hyperlink r:id="rId56" w:anchor="cit/section_3.9" w:history="1">
        <w:r w:rsidRPr="00D748B8">
          <w:rPr>
            <w:rStyle w:val="Hyperlink"/>
          </w:rPr>
          <w:t>9</w:t>
        </w:r>
      </w:hyperlink>
      <w:r w:rsidRPr="00D748B8">
        <w:t>] In the United States, more cases are attributable to chronic HCV infection than to any other risk factor.[</w:t>
      </w:r>
      <w:hyperlink r:id="rId57" w:anchor="cit/section_3.10" w:history="1">
        <w:r w:rsidRPr="00D748B8">
          <w:rPr>
            <w:rStyle w:val="Hyperlink"/>
          </w:rPr>
          <w:t>10</w:t>
        </w:r>
      </w:hyperlink>
      <w:r w:rsidRPr="00D748B8">
        <w:t>]</w:t>
      </w:r>
    </w:p>
    <w:p w14:paraId="2277D5F4" w14:textId="77777777" w:rsidR="00D748B8" w:rsidRPr="00D748B8" w:rsidRDefault="00D748B8" w:rsidP="00D748B8">
      <w:r w:rsidRPr="00D748B8">
        <w:t>Even though the mechanisms through which HCV increases HCC risk are unclear, chronic HCV infection is accepted as playing a causal role in the development of HCC. Evidence of a strong association comes primarily from cross-sectional and case-control studies, which suggest that individuals with HCV infection have at least a 15-fold increase in HCC risk, relative to individuals without HCV infection.[</w:t>
      </w:r>
      <w:hyperlink r:id="rId58" w:anchor="cit/section_3.6" w:history="1">
        <w:r w:rsidRPr="00D748B8">
          <w:rPr>
            <w:rStyle w:val="Hyperlink"/>
          </w:rPr>
          <w:t>6</w:t>
        </w:r>
      </w:hyperlink>
      <w:r w:rsidRPr="00D748B8">
        <w:t>] A prospective study of more than 23,000 residents of Taiwan observed a cumulative lifetime HCC incidence of 24% in men and 17% in women;[</w:t>
      </w:r>
      <w:hyperlink r:id="rId59" w:anchor="cit/section_3.11" w:history="1">
        <w:r w:rsidRPr="00D748B8">
          <w:rPr>
            <w:rStyle w:val="Hyperlink"/>
          </w:rPr>
          <w:t>11</w:t>
        </w:r>
      </w:hyperlink>
      <w:r w:rsidRPr="00D748B8">
        <w:t>] other prospective studies, including cases series of individuals accidently infected with HCV through blood transfusion, have produced a wide range of incidence estimates.[</w:t>
      </w:r>
      <w:hyperlink r:id="rId60" w:anchor="cit/section_3.2" w:history="1">
        <w:r w:rsidRPr="00D748B8">
          <w:rPr>
            <w:rStyle w:val="Hyperlink"/>
          </w:rPr>
          <w:t>2</w:t>
        </w:r>
      </w:hyperlink>
      <w:r w:rsidRPr="00D748B8">
        <w:t>] The reason for such variability is likely the variation in prevalence of advanced fibrosis and cirrhosis in the groups being studied. Chronic HCV infection typically leads to liver fibrosis, but HCC is rare in HCV-positive individuals with minimal or no fibrosis.[</w:t>
      </w:r>
      <w:hyperlink r:id="rId61" w:anchor="cit/section_3.6" w:history="1">
        <w:r w:rsidRPr="00D748B8">
          <w:rPr>
            <w:rStyle w:val="Hyperlink"/>
          </w:rPr>
          <w:t>6</w:t>
        </w:r>
      </w:hyperlink>
      <w:r w:rsidRPr="00D748B8">
        <w:t>] Once HCV-related cirrhosis develops, HCC develops annually in 1% to 8% of patients.[</w:t>
      </w:r>
      <w:hyperlink r:id="rId62" w:anchor="cit/section_3.6" w:history="1">
        <w:r w:rsidRPr="00D748B8">
          <w:rPr>
            <w:rStyle w:val="Hyperlink"/>
          </w:rPr>
          <w:t>6</w:t>
        </w:r>
      </w:hyperlink>
      <w:r w:rsidRPr="00D748B8">
        <w:t>] Other clinical factors that have been reported to increase risk in individuals with chronic HCV infection include coinfection with HBV or HIV, HCV genotype 1b, and steatosis.[</w:t>
      </w:r>
      <w:hyperlink r:id="rId63" w:anchor="cit/section_3.6" w:history="1">
        <w:r w:rsidRPr="00D748B8">
          <w:rPr>
            <w:rStyle w:val="Hyperlink"/>
          </w:rPr>
          <w:t>6</w:t>
        </w:r>
      </w:hyperlink>
      <w:r w:rsidRPr="00D748B8">
        <w:t>]</w:t>
      </w:r>
    </w:p>
    <w:p w14:paraId="6A57C1D0" w14:textId="77777777" w:rsidR="00D748B8" w:rsidRPr="00D748B8" w:rsidRDefault="00D748B8" w:rsidP="00D748B8">
      <w:r w:rsidRPr="00D748B8">
        <w:t>Coinfection with HBV appears to have an additive effect on risk.[</w:t>
      </w:r>
      <w:hyperlink r:id="rId64" w:anchor="cit/section_3.8" w:history="1">
        <w:r w:rsidRPr="00D748B8">
          <w:rPr>
            <w:rStyle w:val="Hyperlink"/>
          </w:rPr>
          <w:t>8</w:t>
        </w:r>
      </w:hyperlink>
      <w:r w:rsidRPr="00D748B8">
        <w:t>] In addition, degree of increased risk of chronic HCV varies with the presence of other factors and is discussed in sections of this summary that cover those specific factors.</w:t>
      </w:r>
    </w:p>
    <w:p w14:paraId="43B3300A" w14:textId="77777777" w:rsidR="00D748B8" w:rsidRPr="00D748B8" w:rsidRDefault="00D748B8" w:rsidP="00D748B8">
      <w:pPr>
        <w:rPr>
          <w:b/>
          <w:bCs/>
        </w:rPr>
      </w:pPr>
      <w:r w:rsidRPr="00D748B8">
        <w:rPr>
          <w:b/>
          <w:bCs/>
        </w:rPr>
        <w:t>Cirrhosis</w:t>
      </w:r>
    </w:p>
    <w:p w14:paraId="4C46C38D" w14:textId="77777777" w:rsidR="00D748B8" w:rsidRPr="00D748B8" w:rsidRDefault="00D748B8" w:rsidP="00D748B8">
      <w:r w:rsidRPr="00D748B8">
        <w:t>The prevalence of cirrhosis in the United States is estimated to be 0.3%, which corresponds to more than 600,000 adults.[</w:t>
      </w:r>
      <w:hyperlink r:id="rId65" w:anchor="cit/section_3.12" w:history="1">
        <w:r w:rsidRPr="00D748B8">
          <w:rPr>
            <w:rStyle w:val="Hyperlink"/>
          </w:rPr>
          <w:t>12</w:t>
        </w:r>
      </w:hyperlink>
      <w:r w:rsidRPr="00D748B8">
        <w:t>] Because cirrhosis is present in 70% to 90% of HCC patients at the time of diagnosis,[</w:t>
      </w:r>
      <w:hyperlink r:id="rId66" w:anchor="cit/section_3.13" w:history="1">
        <w:r w:rsidRPr="00D748B8">
          <w:rPr>
            <w:rStyle w:val="Hyperlink"/>
          </w:rPr>
          <w:t>13</w:t>
        </w:r>
      </w:hyperlink>
      <w:r w:rsidRPr="00D748B8">
        <w:t>] cirrhosis is considered a predisposing factor for HCC.[</w:t>
      </w:r>
      <w:hyperlink r:id="rId67" w:anchor="cit/section_3.14" w:history="1">
        <w:r w:rsidRPr="00D748B8">
          <w:rPr>
            <w:rStyle w:val="Hyperlink"/>
          </w:rPr>
          <w:t>14</w:t>
        </w:r>
      </w:hyperlink>
      <w:r w:rsidRPr="00D748B8">
        <w:t xml:space="preserve">] In autopsy studies, 80% to 90% of individuals who die of HCC have cirrhotic </w:t>
      </w:r>
      <w:r w:rsidRPr="00D748B8">
        <w:lastRenderedPageBreak/>
        <w:t>livers.[</w:t>
      </w:r>
      <w:hyperlink r:id="rId68" w:anchor="cit/section_3.14" w:history="1">
        <w:r w:rsidRPr="00D748B8">
          <w:rPr>
            <w:rStyle w:val="Hyperlink"/>
          </w:rPr>
          <w:t>14</w:t>
        </w:r>
      </w:hyperlink>
      <w:r w:rsidRPr="00D748B8">
        <w:t>] A standardized incidence ratio of 60 was observed in a prospective 16-year study of 11,065 Danish individuals with cirrhosis (more than one-half of cases caused by alcohol consumption).[</w:t>
      </w:r>
      <w:hyperlink r:id="rId69" w:anchor="cit/section_3.2" w:history="1">
        <w:r w:rsidRPr="00D748B8">
          <w:rPr>
            <w:rStyle w:val="Hyperlink"/>
          </w:rPr>
          <w:t>2</w:t>
        </w:r>
      </w:hyperlink>
      <w:r w:rsidRPr="00D748B8">
        <w:t>] The 5-year cumulative risk of developing HCC for patients with cirrhosis is 5% to 30%, with risk dependent on cause of cirrhosis and stage of cirrhosis.[</w:t>
      </w:r>
      <w:hyperlink r:id="rId70" w:anchor="cit/section_3.6" w:history="1">
        <w:r w:rsidRPr="00D748B8">
          <w:rPr>
            <w:rStyle w:val="Hyperlink"/>
          </w:rPr>
          <w:t>6</w:t>
        </w:r>
      </w:hyperlink>
      <w:r w:rsidRPr="00D748B8">
        <w:t>]</w:t>
      </w:r>
    </w:p>
    <w:p w14:paraId="51C8E2D8" w14:textId="77777777" w:rsidR="00D748B8" w:rsidRPr="00D748B8" w:rsidRDefault="00D748B8" w:rsidP="00D748B8">
      <w:r w:rsidRPr="00D748B8">
        <w:t>With perhaps the exception of aflatoxin B1, all HCC risk factors are also risk factors for cirrhosis.[</w:t>
      </w:r>
      <w:hyperlink r:id="rId71" w:anchor="cit/section_3.1" w:history="1">
        <w:r w:rsidRPr="00D748B8">
          <w:rPr>
            <w:rStyle w:val="Hyperlink"/>
          </w:rPr>
          <w:t>1</w:t>
        </w:r>
      </w:hyperlink>
      <w:r w:rsidRPr="00D748B8">
        <w:t>] In patients with established cirrhosis, HCC risk may be modifiable with elimination of the factor responsible for cirrhosis.[</w:t>
      </w:r>
      <w:hyperlink r:id="rId72" w:anchor="cit/section_3.15" w:history="1">
        <w:r w:rsidRPr="00D748B8">
          <w:rPr>
            <w:rStyle w:val="Hyperlink"/>
          </w:rPr>
          <w:t>15</w:t>
        </w:r>
      </w:hyperlink>
      <w:r w:rsidRPr="00D748B8">
        <w:t xml:space="preserve">] However, evidence to support that possibility is limited, and reduction in risk is likely to occur only in patients with </w:t>
      </w:r>
      <w:proofErr w:type="spellStart"/>
      <w:r w:rsidRPr="00D748B8">
        <w:t>precirrhotic</w:t>
      </w:r>
      <w:proofErr w:type="spellEnd"/>
      <w:r w:rsidRPr="00D748B8">
        <w:t xml:space="preserve"> changes or very early-stage cirrhosis.[</w:t>
      </w:r>
      <w:hyperlink r:id="rId73" w:anchor="cit/section_3.15" w:history="1">
        <w:r w:rsidRPr="00D748B8">
          <w:rPr>
            <w:rStyle w:val="Hyperlink"/>
          </w:rPr>
          <w:t>15</w:t>
        </w:r>
      </w:hyperlink>
      <w:r w:rsidRPr="00D748B8">
        <w:t>]</w:t>
      </w:r>
    </w:p>
    <w:p w14:paraId="22B36484" w14:textId="77777777" w:rsidR="00D748B8" w:rsidRPr="00D748B8" w:rsidRDefault="00D748B8" w:rsidP="00D748B8">
      <w:r w:rsidRPr="00D748B8">
        <w:t>Patients with HCV-related cirrhosis are at greater risk of developing HCC than are those with cirrhosis related to HBV and alcohol-related cirrhosis.[</w:t>
      </w:r>
      <w:hyperlink r:id="rId74" w:anchor="cit/section_3.14" w:history="1">
        <w:r w:rsidRPr="00D748B8">
          <w:rPr>
            <w:rStyle w:val="Hyperlink"/>
          </w:rPr>
          <w:t>14</w:t>
        </w:r>
      </w:hyperlink>
      <w:r w:rsidRPr="00D748B8">
        <w:t>] Using data from several prospective studies, 5-year cumulative HCC incidence rates for individuals with cirrhosis and specific risk factors were estimated as follows: HCV, 30% in Japan and 17% in Western countries; HBV, 15% in endemic areas and 10% in Western countries; and alcohol, 8%.[</w:t>
      </w:r>
      <w:hyperlink r:id="rId75" w:anchor="cit/section_3.14" w:history="1">
        <w:r w:rsidRPr="00D748B8">
          <w:rPr>
            <w:rStyle w:val="Hyperlink"/>
          </w:rPr>
          <w:t>14</w:t>
        </w:r>
      </w:hyperlink>
      <w:r w:rsidRPr="00D748B8">
        <w:t>]</w:t>
      </w:r>
    </w:p>
    <w:p w14:paraId="5723F2F2" w14:textId="77777777" w:rsidR="00D748B8" w:rsidRPr="00D748B8" w:rsidRDefault="00D748B8" w:rsidP="00D748B8">
      <w:pPr>
        <w:rPr>
          <w:b/>
          <w:bCs/>
        </w:rPr>
      </w:pPr>
      <w:r w:rsidRPr="00D748B8">
        <w:rPr>
          <w:b/>
          <w:bCs/>
        </w:rPr>
        <w:t>Heavy Alcohol Use</w:t>
      </w:r>
    </w:p>
    <w:p w14:paraId="192C0356" w14:textId="77777777" w:rsidR="00D748B8" w:rsidRPr="00D748B8" w:rsidRDefault="00D748B8" w:rsidP="00D748B8">
      <w:r w:rsidRPr="00D748B8">
        <w:t>Heavy alcohol use causes cirrhosis; between 8% and 20% of chronic alcoholics develop the condition.[</w:t>
      </w:r>
      <w:hyperlink r:id="rId76" w:anchor="cit/section_3.1" w:history="1">
        <w:r w:rsidRPr="00D748B8">
          <w:rPr>
            <w:rStyle w:val="Hyperlink"/>
          </w:rPr>
          <w:t>1</w:t>
        </w:r>
      </w:hyperlink>
      <w:r w:rsidRPr="00D748B8">
        <w:t>] HCC also occurs in heavy alcohol users who do not have cirrhosis. Some data exist to suggest a synergistic effect on HCC risk by heavy alcohol use and tobacco use, fatty liver disease, and metabolic syndrome (</w:t>
      </w:r>
      <w:proofErr w:type="spellStart"/>
      <w:r w:rsidRPr="00D748B8">
        <w:t>MetS</w:t>
      </w:r>
      <w:proofErr w:type="spellEnd"/>
      <w:r w:rsidRPr="00D748B8">
        <w:t>) components.[</w:t>
      </w:r>
      <w:hyperlink r:id="rId77" w:anchor="cit/section_3.16" w:history="1">
        <w:r w:rsidRPr="00D748B8">
          <w:rPr>
            <w:rStyle w:val="Hyperlink"/>
          </w:rPr>
          <w:t>16</w:t>
        </w:r>
      </w:hyperlink>
      <w:r w:rsidRPr="00D748B8">
        <w:t>]</w:t>
      </w:r>
    </w:p>
    <w:p w14:paraId="4888B06A" w14:textId="77777777" w:rsidR="00D748B8" w:rsidRPr="00D748B8" w:rsidRDefault="00D748B8" w:rsidP="00D748B8">
      <w:r w:rsidRPr="00D748B8">
        <w:t>Many epidemiological studies have examined the association of alcohol use and HCC; those that could examine the impact of increasing exposure typically have seen a positive correlation between consumption and risk. The following RRs (95% confidence intervals [CIs]) were generated by using models derived from a meta-analysis: 1.19 (1.12–1.27) for 25 g of alcohol per day; 1.40 (1.25–1.56) for 50 g/d; and 1.81 (1.50–2.19) for 100 g/d.[</w:t>
      </w:r>
      <w:hyperlink r:id="rId78" w:anchor="cit/section_3.1" w:history="1">
        <w:r w:rsidRPr="00D748B8">
          <w:rPr>
            <w:rStyle w:val="Hyperlink"/>
          </w:rPr>
          <w:t>1</w:t>
        </w:r>
      </w:hyperlink>
      <w:r w:rsidRPr="00D748B8">
        <w:t>] While there is agreement that alcohol consumption, especially heavy consumption, is an important HCC risk factor, the magnitude of the increase in risk varies across studies.[</w:t>
      </w:r>
      <w:hyperlink r:id="rId79" w:anchor="cit/section_3.16" w:history="1">
        <w:r w:rsidRPr="00D748B8">
          <w:rPr>
            <w:rStyle w:val="Hyperlink"/>
          </w:rPr>
          <w:t>16</w:t>
        </w:r>
      </w:hyperlink>
      <w:r w:rsidRPr="00D748B8">
        <w:t>] Some studies report a twofold increase in risk with heavy consumption, while others observe a greater increase, at least fivefold. Variability is likely caused by many factors, including choice of control subjects, choice of referent categories, definition of heavy alcohol use, and presence of cofactors.</w:t>
      </w:r>
    </w:p>
    <w:p w14:paraId="3EE4B8DC" w14:textId="77777777" w:rsidR="00D748B8" w:rsidRPr="00D748B8" w:rsidRDefault="00D748B8" w:rsidP="00D748B8">
      <w:r w:rsidRPr="00D748B8">
        <w:t>Alcoholics with cirrhosis appear to have a roughly tenfold risk of developing HCC, relative to alcoholics without cirrhosis.[</w:t>
      </w:r>
      <w:hyperlink r:id="rId80" w:anchor="cit/section_3.14" w:history="1">
        <w:r w:rsidRPr="00D748B8">
          <w:rPr>
            <w:rStyle w:val="Hyperlink"/>
          </w:rPr>
          <w:t>14</w:t>
        </w:r>
      </w:hyperlink>
      <w:r w:rsidRPr="00D748B8">
        <w:t>,</w:t>
      </w:r>
      <w:hyperlink r:id="rId81" w:anchor="cit/section_3.16" w:history="1">
        <w:r w:rsidRPr="00D748B8">
          <w:rPr>
            <w:rStyle w:val="Hyperlink"/>
          </w:rPr>
          <w:t>16</w:t>
        </w:r>
      </w:hyperlink>
      <w:r w:rsidRPr="00D748B8">
        <w:t>] In a cohort study of alcoholics, the summary incidence rate was 0.2 per 100 person-years in people with cirrhosis, and 0.01 per 100 person-years in those without cirrhosis.[</w:t>
      </w:r>
      <w:hyperlink r:id="rId82" w:anchor="cit/section_3.14" w:history="1">
        <w:r w:rsidRPr="00D748B8">
          <w:rPr>
            <w:rStyle w:val="Hyperlink"/>
          </w:rPr>
          <w:t>14</w:t>
        </w:r>
      </w:hyperlink>
      <w:r w:rsidRPr="00D748B8">
        <w:t xml:space="preserve">] The evidence for a twofold to threefold increase in risk with heavy alcohol use is more consistent for individuals with chronic HCV </w:t>
      </w:r>
      <w:r w:rsidRPr="00D748B8">
        <w:lastRenderedPageBreak/>
        <w:t>infection than for individuals with chronic HBV infection.[</w:t>
      </w:r>
      <w:hyperlink r:id="rId83" w:anchor="cit/section_3.16" w:history="1">
        <w:r w:rsidRPr="00D748B8">
          <w:rPr>
            <w:rStyle w:val="Hyperlink"/>
          </w:rPr>
          <w:t>16</w:t>
        </w:r>
      </w:hyperlink>
      <w:r w:rsidRPr="00D748B8">
        <w:t>] An Italian case-control study observed synergistic effects of heavy alcohol use and HBV or HCV infection: heavy alcohol use and HBV infection led to a 50-fold increase in risk, and heavy alcohol use and HCV infection led to a 100-fold increase in risk, relative to absence of heavy alcohol use and HBV or HCV infection.[</w:t>
      </w:r>
      <w:hyperlink r:id="rId84" w:anchor="cit/section_3.17" w:history="1">
        <w:r w:rsidRPr="00D748B8">
          <w:rPr>
            <w:rStyle w:val="Hyperlink"/>
          </w:rPr>
          <w:t>17</w:t>
        </w:r>
      </w:hyperlink>
      <w:r w:rsidRPr="00D748B8">
        <w:t>]</w:t>
      </w:r>
    </w:p>
    <w:p w14:paraId="6794AE68" w14:textId="77777777" w:rsidR="00D748B8" w:rsidRPr="00D748B8" w:rsidRDefault="00D748B8" w:rsidP="00D748B8">
      <w:pPr>
        <w:rPr>
          <w:b/>
          <w:bCs/>
        </w:rPr>
      </w:pPr>
      <w:r w:rsidRPr="00D748B8">
        <w:rPr>
          <w:b/>
          <w:bCs/>
        </w:rPr>
        <w:t>Aflatoxin B1</w:t>
      </w:r>
    </w:p>
    <w:p w14:paraId="4DF3A77E" w14:textId="77777777" w:rsidR="00D748B8" w:rsidRPr="00D748B8" w:rsidRDefault="00D748B8" w:rsidP="00D748B8">
      <w:r w:rsidRPr="00D748B8">
        <w:t>Aflatoxin B1 is a mycotoxin that can contaminate corn and peanuts stored in warm, humid environments.[</w:t>
      </w:r>
      <w:hyperlink r:id="rId85" w:anchor="cit/section_3.2" w:history="1">
        <w:r w:rsidRPr="00D748B8">
          <w:rPr>
            <w:rStyle w:val="Hyperlink"/>
          </w:rPr>
          <w:t>2</w:t>
        </w:r>
      </w:hyperlink>
      <w:r w:rsidRPr="00D748B8">
        <w:t>] The highest levels of aflatoxin B1 exposure are found in sub-Saharan Africa, Southeast Asia, and China.[</w:t>
      </w:r>
      <w:hyperlink r:id="rId86" w:anchor="cit/section_3.18" w:history="1">
        <w:r w:rsidRPr="00D748B8">
          <w:rPr>
            <w:rStyle w:val="Hyperlink"/>
          </w:rPr>
          <w:t>18</w:t>
        </w:r>
      </w:hyperlink>
      <w:r w:rsidRPr="00D748B8">
        <w:t>]</w:t>
      </w:r>
    </w:p>
    <w:p w14:paraId="176D7334" w14:textId="77777777" w:rsidR="00D748B8" w:rsidRPr="00D748B8" w:rsidRDefault="00D748B8" w:rsidP="00D748B8">
      <w:r w:rsidRPr="00D748B8">
        <w:t>Aflatoxin B1 was deemed a carcinogen by the International Agency for Research on Cancer (IARC) in 1987.[</w:t>
      </w:r>
      <w:hyperlink r:id="rId87" w:anchor="cit/section_3.2" w:history="1">
        <w:r w:rsidRPr="00D748B8">
          <w:rPr>
            <w:rStyle w:val="Hyperlink"/>
          </w:rPr>
          <w:t>2</w:t>
        </w:r>
      </w:hyperlink>
      <w:r w:rsidRPr="00D748B8">
        <w:t>] The population-attributable risk of aflatoxin B1 to HCC is estimated to be 20% in the Western Pacific (including China), 27% in southeast Asia, and 40% in Africa.[</w:t>
      </w:r>
      <w:hyperlink r:id="rId88" w:anchor="cit/section_3.19" w:history="1">
        <w:r w:rsidRPr="00D748B8">
          <w:rPr>
            <w:rStyle w:val="Hyperlink"/>
          </w:rPr>
          <w:t>19</w:t>
        </w:r>
      </w:hyperlink>
      <w:r w:rsidRPr="00D748B8">
        <w:t>] Exposure may be responsible for up to 155,000 HCC cases worldwide.[</w:t>
      </w:r>
      <w:hyperlink r:id="rId89" w:anchor="cit/section_3.19" w:history="1">
        <w:r w:rsidRPr="00D748B8">
          <w:rPr>
            <w:rStyle w:val="Hyperlink"/>
          </w:rPr>
          <w:t>19</w:t>
        </w:r>
      </w:hyperlink>
      <w:r w:rsidRPr="00D748B8">
        <w:t>]</w:t>
      </w:r>
    </w:p>
    <w:p w14:paraId="5CE950FB" w14:textId="77777777" w:rsidR="00D748B8" w:rsidRPr="00D748B8" w:rsidRDefault="00D748B8" w:rsidP="00D748B8">
      <w:r w:rsidRPr="00D748B8">
        <w:t>Prospective cohort studies established aflatoxin B1 as an etiologic agent for HCC, and demonstrated that magnitude of risk varies by presence or absence of chronic HBV infection. A nested case-control study comprising about 18,000 men who resided in Shanghai in the 1980s indicated that aflatoxin exposure increases risk 4-fold among individuals without chronic HBV infection, but exposure increases risk 60-fold among individuals with chronic HBV infection.[</w:t>
      </w:r>
      <w:hyperlink r:id="rId90" w:anchor="cit/section_3.20" w:history="1">
        <w:r w:rsidRPr="00D748B8">
          <w:rPr>
            <w:rStyle w:val="Hyperlink"/>
          </w:rPr>
          <w:t>20</w:t>
        </w:r>
      </w:hyperlink>
      <w:r w:rsidRPr="00D748B8">
        <w:t>] A subsequent cohort study in Taiwan observed a similar multiplicative or more-than-multiplicative increase in risk with the presence of both factors, relative to the presence of neither factor.[</w:t>
      </w:r>
      <w:hyperlink r:id="rId91" w:anchor="cit/section_3.20" w:history="1">
        <w:r w:rsidRPr="00D748B8">
          <w:rPr>
            <w:rStyle w:val="Hyperlink"/>
          </w:rPr>
          <w:t>20</w:t>
        </w:r>
      </w:hyperlink>
      <w:r w:rsidRPr="00D748B8">
        <w:t>]</w:t>
      </w:r>
    </w:p>
    <w:p w14:paraId="7DD484C5" w14:textId="77777777" w:rsidR="00D748B8" w:rsidRPr="00D748B8" w:rsidRDefault="00D748B8" w:rsidP="00D748B8">
      <w:pPr>
        <w:rPr>
          <w:b/>
          <w:bCs/>
        </w:rPr>
      </w:pPr>
      <w:r w:rsidRPr="00D748B8">
        <w:rPr>
          <w:b/>
          <w:bCs/>
        </w:rPr>
        <w:t>NASH</w:t>
      </w:r>
    </w:p>
    <w:p w14:paraId="5CF686BB" w14:textId="77777777" w:rsidR="00D748B8" w:rsidRPr="00D748B8" w:rsidRDefault="00D748B8" w:rsidP="00D748B8">
      <w:r w:rsidRPr="00D748B8">
        <w:t>Nonalcoholic steatohepatitis (NASH) is an aggressive yet dynamic condition; it can regress, persist at a relatively constant level of activity, or cause progressive fibrosis that leads to cirrhosis. It is estimated that 6% of the U.S. adult population has NASH and that 2% of U.S. adults will develop NASH-related cirrhosis at some time in their lives.[</w:t>
      </w:r>
      <w:hyperlink r:id="rId92" w:anchor="cit/section_3.21" w:history="1">
        <w:r w:rsidRPr="00D748B8">
          <w:rPr>
            <w:rStyle w:val="Hyperlink"/>
          </w:rPr>
          <w:t>21</w:t>
        </w:r>
      </w:hyperlink>
      <w:r w:rsidRPr="00D748B8">
        <w:t>]</w:t>
      </w:r>
    </w:p>
    <w:p w14:paraId="789B95DD" w14:textId="77777777" w:rsidR="00D748B8" w:rsidRPr="00D748B8" w:rsidRDefault="00D748B8" w:rsidP="00D748B8">
      <w:r w:rsidRPr="00D748B8">
        <w:t>At least 17 prospective cohort studies have examined HCC risk in patients with either NASH or nonalcoholic fatty liver disease (NAFLD), but few have examined NASH patients alone.[</w:t>
      </w:r>
      <w:hyperlink r:id="rId93" w:anchor="cit/section_3.22" w:history="1">
        <w:r w:rsidRPr="00D748B8">
          <w:rPr>
            <w:rStyle w:val="Hyperlink"/>
          </w:rPr>
          <w:t>22</w:t>
        </w:r>
      </w:hyperlink>
      <w:r w:rsidRPr="00D748B8">
        <w:t>] The most frequently referenced study of NASH patients is a prospective study conducted in the United States that examined HCC experience in 195 patients with NASH-related cirrhosis. After a median follow-up of 3.2 years, 13% of the patients had been diagnosed with HCC.[</w:t>
      </w:r>
      <w:hyperlink r:id="rId94" w:anchor="cit/section_3.23" w:history="1">
        <w:r w:rsidRPr="00D748B8">
          <w:rPr>
            <w:rStyle w:val="Hyperlink"/>
          </w:rPr>
          <w:t>23</w:t>
        </w:r>
      </w:hyperlink>
      <w:r w:rsidRPr="00D748B8">
        <w:t>] Yearly cumulative incidence in this case series was 2.6%. A case series of HCV patients was conducted concurrently; that group experienced higher rates (20% had an HCC diagnosis, and yearly cumulative incidence was 4%).</w:t>
      </w:r>
    </w:p>
    <w:p w14:paraId="03D128A3" w14:textId="77777777" w:rsidR="00D748B8" w:rsidRPr="00D748B8" w:rsidRDefault="00D748B8" w:rsidP="00D748B8">
      <w:r w:rsidRPr="00D748B8">
        <w:lastRenderedPageBreak/>
        <w:t>HCC has been observed in patients with NASH who do not have cirrhosis. Reliable risk estimates are not available, but most researchers believe that these individuals are at elevated risk, albeit lower than in those with cirrhosis.[</w:t>
      </w:r>
      <w:hyperlink r:id="rId95" w:anchor="cit/section_3.22" w:history="1">
        <w:r w:rsidRPr="00D748B8">
          <w:rPr>
            <w:rStyle w:val="Hyperlink"/>
          </w:rPr>
          <w:t>22</w:t>
        </w:r>
      </w:hyperlink>
      <w:r w:rsidRPr="00D748B8">
        <w:t>]</w:t>
      </w:r>
    </w:p>
    <w:p w14:paraId="0A10B7AE" w14:textId="77777777" w:rsidR="00D748B8" w:rsidRPr="00D748B8" w:rsidRDefault="00D748B8" w:rsidP="00D748B8">
      <w:proofErr w:type="spellStart"/>
      <w:r w:rsidRPr="00D748B8">
        <w:t>MetS</w:t>
      </w:r>
      <w:proofErr w:type="spellEnd"/>
      <w:r w:rsidRPr="00D748B8">
        <w:t xml:space="preserve">, obesity, type 2 diabetes, insulin resistance, hypertension, and hyperlipidemia or dyslipidemia, are suspected risk factors for HCC and are associated with NASH. A study of 8.5 million people from 22 countries reported prevalence estimates for NASH patients with the following diagnoses: overweight or obesity, 80%; hyperlipidemia or dyslipidemia, 72%; type 2 diabetes, 44%; and </w:t>
      </w:r>
      <w:proofErr w:type="spellStart"/>
      <w:r w:rsidRPr="00D748B8">
        <w:t>MetS</w:t>
      </w:r>
      <w:proofErr w:type="spellEnd"/>
      <w:r w:rsidRPr="00D748B8">
        <w:t>, 71%.[</w:t>
      </w:r>
      <w:hyperlink r:id="rId96" w:anchor="cit/section_3.24" w:history="1">
        <w:r w:rsidRPr="00D748B8">
          <w:rPr>
            <w:rStyle w:val="Hyperlink"/>
          </w:rPr>
          <w:t>24</w:t>
        </w:r>
      </w:hyperlink>
      <w:r w:rsidRPr="00D748B8">
        <w:t>]</w:t>
      </w:r>
    </w:p>
    <w:p w14:paraId="3E63461C" w14:textId="77777777" w:rsidR="00D748B8" w:rsidRPr="00D748B8" w:rsidRDefault="00D748B8" w:rsidP="00D748B8">
      <w:pPr>
        <w:rPr>
          <w:b/>
          <w:bCs/>
        </w:rPr>
      </w:pPr>
      <w:r w:rsidRPr="00D748B8">
        <w:rPr>
          <w:b/>
          <w:bCs/>
        </w:rPr>
        <w:t>Cigarette Smoking</w:t>
      </w:r>
    </w:p>
    <w:p w14:paraId="018566FC" w14:textId="77777777" w:rsidR="00D748B8" w:rsidRPr="00D748B8" w:rsidRDefault="00D748B8" w:rsidP="00D748B8">
      <w:r w:rsidRPr="00D748B8">
        <w:t>The relationship between tobacco use and liver cancer has been studied extensively for many years.[</w:t>
      </w:r>
      <w:hyperlink r:id="rId97" w:anchor="cit/section_3.25" w:history="1">
        <w:r w:rsidRPr="00D748B8">
          <w:rPr>
            <w:rStyle w:val="Hyperlink"/>
          </w:rPr>
          <w:t>25</w:t>
        </w:r>
      </w:hyperlink>
      <w:r w:rsidRPr="00D748B8">
        <w:t>] Early epidemiological studies produced positive associations, but doubt regarding the legitimacy of tobacco use as an independent risk factor existed because of the possibility of residual confounding by HBV status, HCV status, and alcohol consumption. In addition, some studies also suggested that the increase in risk might exist only in subgroups, particularly in patients with chronic HBV infection. In 2004, the IARC reported that tobacco use was causally associated with HCC; that conclusion was on the basis of studies that had consistently shown increased risk with increased duration or intensity of tobacco use after careful consideration of potential confounders.[</w:t>
      </w:r>
      <w:hyperlink r:id="rId98" w:anchor="cit/section_3.25" w:history="1">
        <w:r w:rsidRPr="00D748B8">
          <w:rPr>
            <w:rStyle w:val="Hyperlink"/>
          </w:rPr>
          <w:t>25</w:t>
        </w:r>
      </w:hyperlink>
      <w:r w:rsidRPr="00D748B8">
        <w:t>] In 2014, the U.S. Surgeon General concluded a causal relationship on the basis of study results published after 2004.[</w:t>
      </w:r>
      <w:hyperlink r:id="rId99" w:anchor="cit/section_3.26" w:history="1">
        <w:r w:rsidRPr="00D748B8">
          <w:rPr>
            <w:rStyle w:val="Hyperlink"/>
          </w:rPr>
          <w:t>26</w:t>
        </w:r>
      </w:hyperlink>
      <w:r w:rsidRPr="00D748B8">
        <w:t>]</w:t>
      </w:r>
    </w:p>
    <w:p w14:paraId="75CC779C" w14:textId="77777777" w:rsidR="00D748B8" w:rsidRPr="00D748B8" w:rsidRDefault="00D748B8" w:rsidP="00D748B8">
      <w:r w:rsidRPr="00D748B8">
        <w:t>An extensive meta-analysis published in 2009 examined 38 cohort and 58 case-control studies that evaluated the relationship between cigarette smoking and liver cancer.[</w:t>
      </w:r>
      <w:hyperlink r:id="rId100" w:anchor="cit/section_3.25" w:history="1">
        <w:r w:rsidRPr="00D748B8">
          <w:rPr>
            <w:rStyle w:val="Hyperlink"/>
          </w:rPr>
          <w:t>25</w:t>
        </w:r>
      </w:hyperlink>
      <w:r w:rsidRPr="00D748B8">
        <w:t>] Studies varied in their degree of adjustment for possible confounders, though most adjusted for age and about one-third adjusted for alcohol consumption. Relative to never-smokers, the summary RR (SRR) for current smokers was 1.51 (95% CI, 1.37–1.67) and for former smokers, 1.12 (95% CI, 0.78–1.60). The point estimate was similar when restricted to five high-quality studies that adjusted for alcohol use (RR, 1.45; 95% CI, 1.14–1.80); the point estimates were similar but not significant when restricted to three studies that adjusted for chronic HBV infection and three studies that adjusted for chronic HCV infection. A dose-response relationship for the number of cigarettes smoked per day was observed, even though there was substantial statistical heterogeneity in the eight studies that were analyzed together for that analysis. A prospective cohort study published after the meta-analysis observed significant linear increases in risk with increasing number of cigarettes smoked per day, years smoked, and pack-years; analyses were adjusted for grams of alcohol consumed per day, and significant linear increases also were observed when daily drinkers were excluded.[</w:t>
      </w:r>
      <w:hyperlink r:id="rId101" w:anchor="cit/section_3.27" w:history="1">
        <w:r w:rsidRPr="00D748B8">
          <w:rPr>
            <w:rStyle w:val="Hyperlink"/>
          </w:rPr>
          <w:t>27</w:t>
        </w:r>
      </w:hyperlink>
      <w:r w:rsidRPr="00D748B8">
        <w:t>]</w:t>
      </w:r>
    </w:p>
    <w:p w14:paraId="40158001" w14:textId="77777777" w:rsidR="00D748B8" w:rsidRPr="00D748B8" w:rsidRDefault="00D748B8" w:rsidP="00D748B8">
      <w:r w:rsidRPr="00D748B8">
        <w:lastRenderedPageBreak/>
        <w:t>A meta-analysis that examined the relationship of cigarette smoking in the presence and absence of chronic HBV or HCV infection observed the following:[</w:t>
      </w:r>
      <w:hyperlink r:id="rId102" w:anchor="cit/section_3.28" w:history="1">
        <w:r w:rsidRPr="00D748B8">
          <w:rPr>
            <w:rStyle w:val="Hyperlink"/>
          </w:rPr>
          <w:t>28</w:t>
        </w:r>
      </w:hyperlink>
      <w:r w:rsidRPr="00D748B8">
        <w:t>] in the absence of viral infection, cigarette smoking was associated with an RR of about 1.5 to 2; in the presence of HBV, the increase in risk appeared additive; and in the presence of HCV, the increase in risk appeared to be more than multiplicative. Relative to persons who were negative for HBV and did not smoke cigarettes, the adjusted random effects estimate was 21.7 (11.8–40) for those with HBV who smoked cigarettes. Relative to individuals who were negative for HCV and did not smoke cigarettes, the adjusted random effects estimate was 19.6 (1.55–247) for those with HCV who smoked cigarettes.[</w:t>
      </w:r>
      <w:hyperlink r:id="rId103" w:anchor="cit/section_3.28" w:history="1">
        <w:r w:rsidRPr="00D748B8">
          <w:rPr>
            <w:rStyle w:val="Hyperlink"/>
          </w:rPr>
          <w:t>28</w:t>
        </w:r>
      </w:hyperlink>
      <w:r w:rsidRPr="00D748B8">
        <w:t>]</w:t>
      </w:r>
    </w:p>
    <w:p w14:paraId="13DC6DC6" w14:textId="77777777" w:rsidR="00D748B8" w:rsidRPr="00D748B8" w:rsidRDefault="00D748B8" w:rsidP="00D748B8">
      <w:pPr>
        <w:rPr>
          <w:b/>
          <w:bCs/>
        </w:rPr>
      </w:pPr>
      <w:r w:rsidRPr="00D748B8">
        <w:rPr>
          <w:b/>
          <w:bCs/>
        </w:rPr>
        <w:t>Certain Rare Medical and Genetic Conditions (Untreated HH, Alpha-1-Antitrypsin Deficiency, Glycogen Storage Disease, Porphyria Cutanea Tarda, and Wilson Disease)</w:t>
      </w:r>
    </w:p>
    <w:p w14:paraId="0A6BFC61" w14:textId="77777777" w:rsidR="00D748B8" w:rsidRPr="00D748B8" w:rsidRDefault="00D748B8" w:rsidP="00D748B8">
      <w:r w:rsidRPr="00D748B8">
        <w:t xml:space="preserve">Untreated hereditary hemochromatosis (HH), alpha-1-antitrypsin (AAT) deficiency, glycogen storage disease, porphyria cutanea </w:t>
      </w:r>
      <w:proofErr w:type="spellStart"/>
      <w:r w:rsidRPr="00D748B8">
        <w:t>tarda</w:t>
      </w:r>
      <w:proofErr w:type="spellEnd"/>
      <w:r w:rsidRPr="00D748B8">
        <w:t xml:space="preserve"> (PCT), and Wilson disease are known to increase the risk of developing HCC. While increases in risk are known or believed to be large, these conditions contribute little to the burden of HCC.</w:t>
      </w:r>
    </w:p>
    <w:p w14:paraId="6BBDD899" w14:textId="77777777" w:rsidR="00D748B8" w:rsidRPr="00D748B8" w:rsidRDefault="00D748B8" w:rsidP="00D748B8">
      <w:r w:rsidRPr="00D748B8">
        <w:t>Hemochromatosis is an autosomal recessive disorder that leads to excessive absorption of dietary iron and subsequent iron loading in certain organs, including the liver.[</w:t>
      </w:r>
      <w:hyperlink r:id="rId104" w:anchor="cit/section_3.2" w:history="1">
        <w:r w:rsidRPr="00D748B8">
          <w:rPr>
            <w:rStyle w:val="Hyperlink"/>
          </w:rPr>
          <w:t>2</w:t>
        </w:r>
      </w:hyperlink>
      <w:r w:rsidRPr="00D748B8">
        <w:t>] Between 1 in 200 and 1 in 400 individuals of northern European descent carry the most common genetic mutation, although many of these individuals do not develop progressive iron overload.[</w:t>
      </w:r>
      <w:hyperlink r:id="rId105" w:anchor="cit/section_3.29" w:history="1">
        <w:r w:rsidRPr="00D748B8">
          <w:rPr>
            <w:rStyle w:val="Hyperlink"/>
          </w:rPr>
          <w:t>29</w:t>
        </w:r>
      </w:hyperlink>
      <w:r w:rsidRPr="00D748B8">
        <w:t>] Patients with untreated hemochromatosis may develop cirrhosis. The annual incidence of HCC in patients with hemochromatosis is 4% once cirrhosis has been established.[</w:t>
      </w:r>
      <w:hyperlink r:id="rId106" w:anchor="cit/section_3.30" w:history="1">
        <w:r w:rsidRPr="00D748B8">
          <w:rPr>
            <w:rStyle w:val="Hyperlink"/>
          </w:rPr>
          <w:t>30</w:t>
        </w:r>
      </w:hyperlink>
      <w:r w:rsidRPr="00D748B8">
        <w:t>] In cohorts of patients with untreated hemochromatosis and cirrhosis, the observed number of HCC cases is at least 20-fold higher than expected.[</w:t>
      </w:r>
      <w:hyperlink r:id="rId107" w:anchor="cit/section_3.29" w:history="1">
        <w:r w:rsidRPr="00D748B8">
          <w:rPr>
            <w:rStyle w:val="Hyperlink"/>
          </w:rPr>
          <w:t>29</w:t>
        </w:r>
      </w:hyperlink>
      <w:r w:rsidRPr="00D748B8">
        <w:t>] HCC is seen, albeit rarely, in hemochromatosis patients who do not have cirrhosis.[</w:t>
      </w:r>
      <w:hyperlink r:id="rId108" w:anchor="cit/section_3.29" w:history="1">
        <w:r w:rsidRPr="00D748B8">
          <w:rPr>
            <w:rStyle w:val="Hyperlink"/>
          </w:rPr>
          <w:t>29</w:t>
        </w:r>
      </w:hyperlink>
      <w:r w:rsidRPr="00D748B8">
        <w:t>] Between 25% and 45% of premature deaths in hemochromatosis patients are caused by HCC.[</w:t>
      </w:r>
      <w:hyperlink r:id="rId109" w:anchor="cit/section_3.29" w:history="1">
        <w:r w:rsidRPr="00D748B8">
          <w:rPr>
            <w:rStyle w:val="Hyperlink"/>
          </w:rPr>
          <w:t>29</w:t>
        </w:r>
      </w:hyperlink>
      <w:r w:rsidRPr="00D748B8">
        <w:t>] Hemochromatosis can be treated successfully through phlebotomy, repeated at necessary intervals.[</w:t>
      </w:r>
      <w:hyperlink r:id="rId110" w:anchor="cit/section_3.30" w:history="1">
        <w:r w:rsidRPr="00D748B8">
          <w:rPr>
            <w:rStyle w:val="Hyperlink"/>
          </w:rPr>
          <w:t>30</w:t>
        </w:r>
      </w:hyperlink>
      <w:r w:rsidRPr="00D748B8">
        <w:t>] Treatment before the development of cirrhosis appears to greatly reduce the risk of HCC.[</w:t>
      </w:r>
      <w:hyperlink r:id="rId111" w:anchor="cit/section_3.30" w:history="1">
        <w:r w:rsidRPr="00D748B8">
          <w:rPr>
            <w:rStyle w:val="Hyperlink"/>
          </w:rPr>
          <w:t>30</w:t>
        </w:r>
      </w:hyperlink>
      <w:r w:rsidRPr="00D748B8">
        <w:t>] It is hypothesized that the presence of other HCC risk factors, particularly chronic HBV infection, chronic HCV infection, and heavy alcohol use, could increase risk among patients with untreated hemochromatosis in a more-than-additive manner,[</w:t>
      </w:r>
      <w:hyperlink r:id="rId112" w:anchor="cit/section_3.29" w:history="1">
        <w:r w:rsidRPr="00D748B8">
          <w:rPr>
            <w:rStyle w:val="Hyperlink"/>
          </w:rPr>
          <w:t>29</w:t>
        </w:r>
      </w:hyperlink>
      <w:r w:rsidRPr="00D748B8">
        <w:t>] but appropriate data in which to explore this possibility are not available.</w:t>
      </w:r>
    </w:p>
    <w:p w14:paraId="6D2B4ABC" w14:textId="77777777" w:rsidR="00D748B8" w:rsidRPr="00D748B8" w:rsidRDefault="00D748B8" w:rsidP="00D748B8">
      <w:r w:rsidRPr="00D748B8">
        <w:t>AAT deficiency is an inherited disorder affecting the lungs, liver, and rarely, the skin. It is estimated that about 100,000 individuals in the United States have AAT deficiency.[</w:t>
      </w:r>
      <w:hyperlink r:id="rId113" w:anchor="cit/section_3.31" w:history="1">
        <w:r w:rsidRPr="00D748B8">
          <w:rPr>
            <w:rStyle w:val="Hyperlink"/>
          </w:rPr>
          <w:t>31</w:t>
        </w:r>
      </w:hyperlink>
      <w:r w:rsidRPr="00D748B8">
        <w:t xml:space="preserve">] Liver disease results from the accumulation within hepatocytes of </w:t>
      </w:r>
      <w:proofErr w:type="spellStart"/>
      <w:r w:rsidRPr="00D748B8">
        <w:t>unsecreted</w:t>
      </w:r>
      <w:proofErr w:type="spellEnd"/>
      <w:r w:rsidRPr="00D748B8">
        <w:t xml:space="preserve"> variant AAT proteins.[</w:t>
      </w:r>
      <w:hyperlink r:id="rId114" w:anchor="cit/section_3.32" w:history="1">
        <w:r w:rsidRPr="00D748B8">
          <w:rPr>
            <w:rStyle w:val="Hyperlink"/>
          </w:rPr>
          <w:t>32</w:t>
        </w:r>
      </w:hyperlink>
      <w:r w:rsidRPr="00D748B8">
        <w:t>] Individuals with certain AAT deficiency genotypes are at high risk of developing HCC.[</w:t>
      </w:r>
      <w:hyperlink r:id="rId115" w:anchor="cit/section_3.33" w:history="1">
        <w:r w:rsidRPr="00D748B8">
          <w:rPr>
            <w:rStyle w:val="Hyperlink"/>
          </w:rPr>
          <w:t>33</w:t>
        </w:r>
      </w:hyperlink>
      <w:r w:rsidRPr="00D748B8">
        <w:t>]</w:t>
      </w:r>
    </w:p>
    <w:p w14:paraId="30DEF087" w14:textId="77777777" w:rsidR="00D748B8" w:rsidRPr="00D748B8" w:rsidRDefault="00D748B8" w:rsidP="00D748B8">
      <w:r w:rsidRPr="00D748B8">
        <w:lastRenderedPageBreak/>
        <w:t>Glucose-6-phosphatase deficiency (G6PD) is an autosomal-recessive disorder. It also is known as von Gierke disease and is more commonly known as glycogen storage disease, or GSD1. The defective enzymes involved are mainly active in the liver and kidneys. The incidence of GSD1 is 1 per 100,000 live births. HCC is recognized as a late complication of GSD1.[</w:t>
      </w:r>
      <w:hyperlink r:id="rId116" w:anchor="cit/section_3.34" w:history="1">
        <w:r w:rsidRPr="00D748B8">
          <w:rPr>
            <w:rStyle w:val="Hyperlink"/>
          </w:rPr>
          <w:t>34</w:t>
        </w:r>
      </w:hyperlink>
      <w:r w:rsidRPr="00D748B8">
        <w:t>] No estimates of increase in HCC risk are available.</w:t>
      </w:r>
    </w:p>
    <w:p w14:paraId="73BE49F9" w14:textId="77777777" w:rsidR="00D748B8" w:rsidRPr="00D748B8" w:rsidRDefault="00D748B8" w:rsidP="00D748B8">
      <w:r w:rsidRPr="00D748B8">
        <w:t>PCT is the result of deficient activity of hepatic uroporphyrinogen; acute intermittent porphyria (AIP, also known as Swedish porphyria) is characterized by deficient activity of porphobilinogen. The prevalence of PCT in the United States is 1 in 25,000.[</w:t>
      </w:r>
      <w:hyperlink r:id="rId117" w:anchor="cit/section_3.35" w:history="1">
        <w:r w:rsidRPr="00D748B8">
          <w:rPr>
            <w:rStyle w:val="Hyperlink"/>
          </w:rPr>
          <w:t>35</w:t>
        </w:r>
      </w:hyperlink>
      <w:r w:rsidRPr="00D748B8">
        <w:t>] PCT and AIP are associated with increases in HCC risk.[</w:t>
      </w:r>
      <w:hyperlink r:id="rId118" w:anchor="cit/section_3.2" w:history="1">
        <w:r w:rsidRPr="00D748B8">
          <w:rPr>
            <w:rStyle w:val="Hyperlink"/>
          </w:rPr>
          <w:t>2</w:t>
        </w:r>
      </w:hyperlink>
      <w:r w:rsidRPr="00D748B8">
        <w:t>] A prospective study in Sweden of individuals with porphyria observed a standardized incidence ratio of 21 for PCT and 70 for AIP.[</w:t>
      </w:r>
      <w:hyperlink r:id="rId119" w:anchor="cit/section_3.36" w:history="1">
        <w:r w:rsidRPr="00D748B8">
          <w:rPr>
            <w:rStyle w:val="Hyperlink"/>
          </w:rPr>
          <w:t>36</w:t>
        </w:r>
      </w:hyperlink>
      <w:r w:rsidRPr="00D748B8">
        <w:t>]</w:t>
      </w:r>
    </w:p>
    <w:p w14:paraId="6628DAFA" w14:textId="77777777" w:rsidR="00D748B8" w:rsidRDefault="00D748B8" w:rsidP="00D748B8">
      <w:r w:rsidRPr="00D748B8">
        <w:t>Wilson disease (hepatolenticular degeneration) is caused by a genetic abnormality inherited in an autosomal recessive manner that leads to impairment of cellular copper transport. Worldwide prevalence is approximately 1 in 30,000 live births.[</w:t>
      </w:r>
      <w:hyperlink r:id="rId120" w:anchor="cit/section_3.37" w:history="1">
        <w:r w:rsidRPr="00D748B8">
          <w:rPr>
            <w:rStyle w:val="Hyperlink"/>
          </w:rPr>
          <w:t>37</w:t>
        </w:r>
      </w:hyperlink>
      <w:r w:rsidRPr="00D748B8">
        <w:t>] Wilson disease causes progressive liver damage, including cirrhosis. The association between Wilson disease and HCC is uncertain but suspected given that tumors of the liver, including HCC, are observed in Wilson disease patients.[</w:t>
      </w:r>
      <w:hyperlink r:id="rId121" w:anchor="cit/section_3.38" w:history="1">
        <w:r w:rsidRPr="00D748B8">
          <w:rPr>
            <w:rStyle w:val="Hyperlink"/>
          </w:rPr>
          <w:t>38</w:t>
        </w:r>
      </w:hyperlink>
      <w:r w:rsidRPr="00D748B8">
        <w:t>]</w:t>
      </w:r>
    </w:p>
    <w:p w14:paraId="7954726E" w14:textId="1609CEBC" w:rsidR="00A00FB5" w:rsidRDefault="00A00FB5" w:rsidP="00D748B8">
      <w:r>
        <w:t>Intervention:</w:t>
      </w:r>
    </w:p>
    <w:p w14:paraId="46DD9EFD" w14:textId="77777777" w:rsidR="00A00FB5" w:rsidRDefault="00A00FB5" w:rsidP="00D748B8"/>
    <w:p w14:paraId="347D100D" w14:textId="77777777" w:rsidR="00A00FB5" w:rsidRPr="00A00FB5" w:rsidRDefault="00A00FB5" w:rsidP="00A00FB5">
      <w:pPr>
        <w:spacing w:before="240" w:after="120" w:line="300" w:lineRule="atLeast"/>
        <w:outlineLvl w:val="2"/>
        <w:rPr>
          <w:rFonts w:ascii="Poppins" w:eastAsia="Times New Roman" w:hAnsi="Poppins" w:cs="Poppins"/>
          <w:b/>
          <w:bCs/>
          <w:color w:val="1B1B1B"/>
          <w:kern w:val="0"/>
          <w:sz w:val="30"/>
          <w:szCs w:val="30"/>
          <w14:ligatures w14:val="none"/>
        </w:rPr>
      </w:pPr>
      <w:r w:rsidRPr="00A00FB5">
        <w:rPr>
          <w:rFonts w:ascii="Poppins" w:eastAsia="Times New Roman" w:hAnsi="Poppins" w:cs="Poppins"/>
          <w:b/>
          <w:bCs/>
          <w:color w:val="1B1B1B"/>
          <w:kern w:val="0"/>
          <w:sz w:val="30"/>
          <w:szCs w:val="30"/>
          <w14:ligatures w14:val="none"/>
        </w:rPr>
        <w:t>Interventions With Adequate Evidence of Decreased Risk of HCC</w:t>
      </w:r>
    </w:p>
    <w:p w14:paraId="3CDD8137" w14:textId="77777777" w:rsidR="00A00FB5" w:rsidRPr="00A00FB5" w:rsidRDefault="00A00FB5" w:rsidP="00A00FB5">
      <w:pPr>
        <w:spacing w:before="240" w:after="120" w:line="320" w:lineRule="atLeast"/>
        <w:outlineLvl w:val="3"/>
        <w:rPr>
          <w:rFonts w:ascii="Poppins" w:eastAsia="Times New Roman" w:hAnsi="Poppins" w:cs="Poppins"/>
          <w:b/>
          <w:bCs/>
          <w:color w:val="1B1B1B"/>
          <w:kern w:val="0"/>
          <w:sz w:val="27"/>
          <w:szCs w:val="27"/>
          <w14:ligatures w14:val="none"/>
        </w:rPr>
      </w:pPr>
      <w:r w:rsidRPr="00A00FB5">
        <w:rPr>
          <w:rFonts w:ascii="Poppins" w:eastAsia="Times New Roman" w:hAnsi="Poppins" w:cs="Poppins"/>
          <w:b/>
          <w:bCs/>
          <w:color w:val="1B1B1B"/>
          <w:kern w:val="0"/>
          <w:sz w:val="27"/>
          <w:szCs w:val="27"/>
          <w14:ligatures w14:val="none"/>
        </w:rPr>
        <w:t>HBV vaccination</w:t>
      </w:r>
    </w:p>
    <w:p w14:paraId="18B2E131" w14:textId="77777777" w:rsidR="00A00FB5" w:rsidRPr="00A00FB5" w:rsidRDefault="00A00FB5" w:rsidP="00A00FB5">
      <w:pPr>
        <w:spacing w:before="120" w:after="300" w:line="360" w:lineRule="atLeast"/>
        <w:rPr>
          <w:rFonts w:ascii="inherit" w:eastAsia="Times New Roman" w:hAnsi="inherit" w:cs="Times New Roman"/>
          <w:kern w:val="0"/>
          <w14:ligatures w14:val="none"/>
        </w:rPr>
      </w:pPr>
      <w:r w:rsidRPr="00A00FB5">
        <w:rPr>
          <w:rFonts w:ascii="inherit" w:eastAsia="Times New Roman" w:hAnsi="inherit" w:cs="Times New Roman"/>
          <w:kern w:val="0"/>
          <w14:ligatures w14:val="none"/>
        </w:rPr>
        <w:t>Based on solid evidence, neonatal HBV vaccination or catch-up vaccination at young ages reduces HCC incidence in young adults.[</w:t>
      </w:r>
      <w:hyperlink r:id="rId122" w:anchor="cit/section_1.24" w:history="1">
        <w:r w:rsidRPr="00A00FB5">
          <w:rPr>
            <w:rFonts w:ascii="inherit" w:eastAsia="Times New Roman" w:hAnsi="inherit" w:cs="Times New Roman"/>
            <w:color w:val="01679D"/>
            <w:kern w:val="0"/>
            <w14:ligatures w14:val="none"/>
          </w:rPr>
          <w:t>24</w:t>
        </w:r>
      </w:hyperlink>
      <w:r w:rsidRPr="00A00FB5">
        <w:rPr>
          <w:rFonts w:ascii="inherit" w:eastAsia="Times New Roman" w:hAnsi="inherit" w:cs="Times New Roman"/>
          <w:kern w:val="0"/>
          <w14:ligatures w14:val="none"/>
        </w:rPr>
        <w:t>]</w:t>
      </w:r>
    </w:p>
    <w:p w14:paraId="2175CFD9" w14:textId="77777777" w:rsidR="00A00FB5" w:rsidRPr="00A00FB5" w:rsidRDefault="00A00FB5" w:rsidP="00A00FB5">
      <w:pPr>
        <w:spacing w:before="300" w:after="300" w:line="360" w:lineRule="atLeast"/>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Magnitude of Effect</w:t>
      </w:r>
      <w:r w:rsidRPr="00A00FB5">
        <w:rPr>
          <w:rFonts w:ascii="inherit" w:eastAsia="Times New Roman" w:hAnsi="inherit" w:cs="Times New Roman"/>
          <w:kern w:val="0"/>
          <w14:ligatures w14:val="none"/>
        </w:rPr>
        <w:t>: Reductions in pediatric and young adult HCC risk of at least 50% have been observed in cohorts immunized at birth or during early childhood. It is predicted that universal neonate immunization will ultimately eliminate 70% to 85% of global HCC cases.[</w:t>
      </w:r>
      <w:hyperlink r:id="rId123" w:anchor="cit/section_1.24" w:history="1">
        <w:r w:rsidRPr="00A00FB5">
          <w:rPr>
            <w:rFonts w:ascii="inherit" w:eastAsia="Times New Roman" w:hAnsi="inherit" w:cs="Times New Roman"/>
            <w:color w:val="01679D"/>
            <w:kern w:val="0"/>
            <w14:ligatures w14:val="none"/>
          </w:rPr>
          <w:t>24</w:t>
        </w:r>
      </w:hyperlink>
      <w:r w:rsidRPr="00A00FB5">
        <w:rPr>
          <w:rFonts w:ascii="inherit" w:eastAsia="Times New Roman" w:hAnsi="inherit" w:cs="Times New Roman"/>
          <w:kern w:val="0"/>
          <w14:ligatures w14:val="none"/>
        </w:rPr>
        <w:t>,</w:t>
      </w:r>
      <w:hyperlink r:id="rId124" w:anchor="cit/section_1.25" w:history="1">
        <w:r w:rsidRPr="00A00FB5">
          <w:rPr>
            <w:rFonts w:ascii="inherit" w:eastAsia="Times New Roman" w:hAnsi="inherit" w:cs="Times New Roman"/>
            <w:color w:val="01679D"/>
            <w:kern w:val="0"/>
            <w14:ligatures w14:val="none"/>
          </w:rPr>
          <w:t>25</w:t>
        </w:r>
      </w:hyperlink>
      <w:r w:rsidRPr="00A00FB5">
        <w:rPr>
          <w:rFonts w:ascii="inherit" w:eastAsia="Times New Roman" w:hAnsi="inherit" w:cs="Times New Roman"/>
          <w:kern w:val="0"/>
          <w14:ligatures w14:val="none"/>
        </w:rPr>
        <w:t>]</w:t>
      </w:r>
    </w:p>
    <w:p w14:paraId="3FB37067" w14:textId="77777777" w:rsidR="00A00FB5" w:rsidRPr="00A00FB5" w:rsidRDefault="00A00FB5" w:rsidP="00A00FB5">
      <w:pPr>
        <w:numPr>
          <w:ilvl w:val="0"/>
          <w:numId w:val="4"/>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Study Design</w:t>
      </w:r>
      <w:r w:rsidRPr="00A00FB5">
        <w:rPr>
          <w:rFonts w:ascii="inherit" w:eastAsia="Times New Roman" w:hAnsi="inherit" w:cs="Times New Roman"/>
          <w:kern w:val="0"/>
          <w14:ligatures w14:val="none"/>
        </w:rPr>
        <w:t>: Cluster randomized controlled trial (RCT), historical trends, mathematical modeling.</w:t>
      </w:r>
    </w:p>
    <w:p w14:paraId="61EBFE93" w14:textId="77777777" w:rsidR="00A00FB5" w:rsidRPr="00A00FB5" w:rsidRDefault="00A00FB5" w:rsidP="00A00FB5">
      <w:pPr>
        <w:numPr>
          <w:ilvl w:val="0"/>
          <w:numId w:val="4"/>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Internal Validity</w:t>
      </w:r>
      <w:r w:rsidRPr="00A00FB5">
        <w:rPr>
          <w:rFonts w:ascii="inherit" w:eastAsia="Times New Roman" w:hAnsi="inherit" w:cs="Times New Roman"/>
          <w:kern w:val="0"/>
          <w14:ligatures w14:val="none"/>
        </w:rPr>
        <w:t>: Good.</w:t>
      </w:r>
    </w:p>
    <w:p w14:paraId="35924178" w14:textId="77777777" w:rsidR="00A00FB5" w:rsidRPr="00A00FB5" w:rsidRDefault="00A00FB5" w:rsidP="00A00FB5">
      <w:pPr>
        <w:numPr>
          <w:ilvl w:val="0"/>
          <w:numId w:val="4"/>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Consistency</w:t>
      </w:r>
      <w:r w:rsidRPr="00A00FB5">
        <w:rPr>
          <w:rFonts w:ascii="inherit" w:eastAsia="Times New Roman" w:hAnsi="inherit" w:cs="Times New Roman"/>
          <w:kern w:val="0"/>
          <w14:ligatures w14:val="none"/>
        </w:rPr>
        <w:t>: Good.</w:t>
      </w:r>
    </w:p>
    <w:p w14:paraId="46E659EE" w14:textId="77777777" w:rsidR="00A00FB5" w:rsidRPr="00A00FB5" w:rsidRDefault="00A00FB5" w:rsidP="00A00FB5">
      <w:pPr>
        <w:numPr>
          <w:ilvl w:val="0"/>
          <w:numId w:val="4"/>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lastRenderedPageBreak/>
        <w:t>External Validity</w:t>
      </w:r>
      <w:r w:rsidRPr="00A00FB5">
        <w:rPr>
          <w:rFonts w:ascii="inherit" w:eastAsia="Times New Roman" w:hAnsi="inherit" w:cs="Times New Roman"/>
          <w:kern w:val="0"/>
          <w14:ligatures w14:val="none"/>
        </w:rPr>
        <w:t>: Good.</w:t>
      </w:r>
    </w:p>
    <w:p w14:paraId="0E14E84A" w14:textId="77777777" w:rsidR="00A00FB5" w:rsidRPr="00A00FB5" w:rsidRDefault="00A00FB5" w:rsidP="00A00FB5">
      <w:pPr>
        <w:spacing w:before="240" w:after="120" w:line="320" w:lineRule="atLeast"/>
        <w:outlineLvl w:val="3"/>
        <w:rPr>
          <w:rFonts w:ascii="Poppins" w:eastAsia="Times New Roman" w:hAnsi="Poppins" w:cs="Poppins"/>
          <w:b/>
          <w:bCs/>
          <w:color w:val="1B1B1B"/>
          <w:kern w:val="0"/>
          <w:sz w:val="27"/>
          <w:szCs w:val="27"/>
          <w14:ligatures w14:val="none"/>
        </w:rPr>
      </w:pPr>
      <w:r w:rsidRPr="00A00FB5">
        <w:rPr>
          <w:rFonts w:ascii="Poppins" w:eastAsia="Times New Roman" w:hAnsi="Poppins" w:cs="Poppins"/>
          <w:b/>
          <w:bCs/>
          <w:color w:val="1B1B1B"/>
          <w:kern w:val="0"/>
          <w:sz w:val="27"/>
          <w:szCs w:val="27"/>
          <w14:ligatures w14:val="none"/>
        </w:rPr>
        <w:t>Treatment for chronic HBV infection</w:t>
      </w:r>
    </w:p>
    <w:p w14:paraId="532016C7" w14:textId="77777777" w:rsidR="00A00FB5" w:rsidRPr="00A00FB5" w:rsidRDefault="00A00FB5" w:rsidP="00A00FB5">
      <w:pPr>
        <w:spacing w:before="120" w:after="300" w:line="360" w:lineRule="atLeast"/>
        <w:rPr>
          <w:rFonts w:ascii="inherit" w:eastAsia="Times New Roman" w:hAnsi="inherit" w:cs="Times New Roman"/>
          <w:kern w:val="0"/>
          <w14:ligatures w14:val="none"/>
        </w:rPr>
      </w:pPr>
      <w:r w:rsidRPr="00A00FB5">
        <w:rPr>
          <w:rFonts w:ascii="inherit" w:eastAsia="Times New Roman" w:hAnsi="inherit" w:cs="Times New Roman"/>
          <w:kern w:val="0"/>
          <w14:ligatures w14:val="none"/>
        </w:rPr>
        <w:t xml:space="preserve">Based on solid evidence, chronic HBV treatment with </w:t>
      </w:r>
      <w:proofErr w:type="spellStart"/>
      <w:r w:rsidRPr="00A00FB5">
        <w:rPr>
          <w:rFonts w:ascii="inherit" w:eastAsia="Times New Roman" w:hAnsi="inherit" w:cs="Times New Roman"/>
          <w:kern w:val="0"/>
          <w14:ligatures w14:val="none"/>
        </w:rPr>
        <w:t>nucleos</w:t>
      </w:r>
      <w:proofErr w:type="spellEnd"/>
      <w:r w:rsidRPr="00A00FB5">
        <w:rPr>
          <w:rFonts w:ascii="inherit" w:eastAsia="Times New Roman" w:hAnsi="inherit" w:cs="Times New Roman"/>
          <w:kern w:val="0"/>
          <w14:ligatures w14:val="none"/>
        </w:rPr>
        <w:t>(t)ide analogue therapy reduces the risk of HCC.[</w:t>
      </w:r>
      <w:hyperlink r:id="rId125" w:anchor="cit/section_1.14" w:history="1">
        <w:r w:rsidRPr="00A00FB5">
          <w:rPr>
            <w:rFonts w:ascii="inherit" w:eastAsia="Times New Roman" w:hAnsi="inherit" w:cs="Times New Roman"/>
            <w:color w:val="01679D"/>
            <w:kern w:val="0"/>
            <w14:ligatures w14:val="none"/>
          </w:rPr>
          <w:t>14</w:t>
        </w:r>
      </w:hyperlink>
      <w:r w:rsidRPr="00A00FB5">
        <w:rPr>
          <w:rFonts w:ascii="inherit" w:eastAsia="Times New Roman" w:hAnsi="inherit" w:cs="Times New Roman"/>
          <w:kern w:val="0"/>
          <w14:ligatures w14:val="none"/>
        </w:rPr>
        <w:t>]</w:t>
      </w:r>
    </w:p>
    <w:p w14:paraId="1116BD77" w14:textId="77777777" w:rsidR="00A00FB5" w:rsidRPr="00A00FB5" w:rsidRDefault="00A00FB5" w:rsidP="00A00FB5">
      <w:pPr>
        <w:spacing w:before="300" w:after="300" w:line="360" w:lineRule="atLeast"/>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Magnitude of Effect</w:t>
      </w:r>
      <w:r w:rsidRPr="00A00FB5">
        <w:rPr>
          <w:rFonts w:ascii="inherit" w:eastAsia="Times New Roman" w:hAnsi="inherit" w:cs="Times New Roman"/>
          <w:kern w:val="0"/>
          <w14:ligatures w14:val="none"/>
        </w:rPr>
        <w:t>: About a 50% reduction in incidence.</w:t>
      </w:r>
    </w:p>
    <w:p w14:paraId="306F4AA9" w14:textId="77777777" w:rsidR="00A00FB5" w:rsidRPr="00A00FB5" w:rsidRDefault="00A00FB5" w:rsidP="00A00FB5">
      <w:pPr>
        <w:numPr>
          <w:ilvl w:val="0"/>
          <w:numId w:val="5"/>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Study Design</w:t>
      </w:r>
      <w:r w:rsidRPr="00A00FB5">
        <w:rPr>
          <w:rFonts w:ascii="inherit" w:eastAsia="Times New Roman" w:hAnsi="inherit" w:cs="Times New Roman"/>
          <w:kern w:val="0"/>
          <w14:ligatures w14:val="none"/>
        </w:rPr>
        <w:t>: Meta-analysis of clinical trials (some randomized, some blinded), retrospective cohort studies.</w:t>
      </w:r>
    </w:p>
    <w:p w14:paraId="388FF35C" w14:textId="77777777" w:rsidR="00A00FB5" w:rsidRPr="00A00FB5" w:rsidRDefault="00A00FB5" w:rsidP="00A00FB5">
      <w:pPr>
        <w:numPr>
          <w:ilvl w:val="0"/>
          <w:numId w:val="5"/>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Internal Validity</w:t>
      </w:r>
      <w:r w:rsidRPr="00A00FB5">
        <w:rPr>
          <w:rFonts w:ascii="inherit" w:eastAsia="Times New Roman" w:hAnsi="inherit" w:cs="Times New Roman"/>
          <w:kern w:val="0"/>
          <w14:ligatures w14:val="none"/>
        </w:rPr>
        <w:t>: Good.</w:t>
      </w:r>
    </w:p>
    <w:p w14:paraId="0577F295" w14:textId="77777777" w:rsidR="00A00FB5" w:rsidRPr="00A00FB5" w:rsidRDefault="00A00FB5" w:rsidP="00A00FB5">
      <w:pPr>
        <w:numPr>
          <w:ilvl w:val="0"/>
          <w:numId w:val="5"/>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Consistency</w:t>
      </w:r>
      <w:r w:rsidRPr="00A00FB5">
        <w:rPr>
          <w:rFonts w:ascii="inherit" w:eastAsia="Times New Roman" w:hAnsi="inherit" w:cs="Times New Roman"/>
          <w:kern w:val="0"/>
          <w14:ligatures w14:val="none"/>
        </w:rPr>
        <w:t>: Good.</w:t>
      </w:r>
    </w:p>
    <w:p w14:paraId="65A1EFA8" w14:textId="77777777" w:rsidR="00A00FB5" w:rsidRPr="00A00FB5" w:rsidRDefault="00A00FB5" w:rsidP="00A00FB5">
      <w:pPr>
        <w:numPr>
          <w:ilvl w:val="0"/>
          <w:numId w:val="5"/>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External Validity</w:t>
      </w:r>
      <w:r w:rsidRPr="00A00FB5">
        <w:rPr>
          <w:rFonts w:ascii="inherit" w:eastAsia="Times New Roman" w:hAnsi="inherit" w:cs="Times New Roman"/>
          <w:kern w:val="0"/>
          <w14:ligatures w14:val="none"/>
        </w:rPr>
        <w:t>: Good.</w:t>
      </w:r>
    </w:p>
    <w:p w14:paraId="1073DC59" w14:textId="77777777" w:rsidR="00A00FB5" w:rsidRPr="00A00FB5" w:rsidRDefault="00A00FB5" w:rsidP="00A00FB5">
      <w:pPr>
        <w:spacing w:before="240" w:after="120" w:line="320" w:lineRule="atLeast"/>
        <w:outlineLvl w:val="3"/>
        <w:rPr>
          <w:rFonts w:ascii="Poppins" w:eastAsia="Times New Roman" w:hAnsi="Poppins" w:cs="Poppins"/>
          <w:b/>
          <w:bCs/>
          <w:color w:val="1B1B1B"/>
          <w:kern w:val="0"/>
          <w:sz w:val="27"/>
          <w:szCs w:val="27"/>
          <w14:ligatures w14:val="none"/>
        </w:rPr>
      </w:pPr>
      <w:r w:rsidRPr="00A00FB5">
        <w:rPr>
          <w:rFonts w:ascii="Poppins" w:eastAsia="Times New Roman" w:hAnsi="Poppins" w:cs="Poppins"/>
          <w:b/>
          <w:bCs/>
          <w:color w:val="1B1B1B"/>
          <w:kern w:val="0"/>
          <w:sz w:val="27"/>
          <w:szCs w:val="27"/>
          <w14:ligatures w14:val="none"/>
        </w:rPr>
        <w:t>Availability of food not contaminated with aflatoxin B1</w:t>
      </w:r>
    </w:p>
    <w:p w14:paraId="47D8ED6A" w14:textId="77777777" w:rsidR="00A00FB5" w:rsidRPr="00A00FB5" w:rsidRDefault="00A00FB5" w:rsidP="00A00FB5">
      <w:pPr>
        <w:spacing w:before="120" w:after="300" w:line="360" w:lineRule="atLeast"/>
        <w:rPr>
          <w:rFonts w:ascii="inherit" w:eastAsia="Times New Roman" w:hAnsi="inherit" w:cs="Times New Roman"/>
          <w:kern w:val="0"/>
          <w14:ligatures w14:val="none"/>
        </w:rPr>
      </w:pPr>
      <w:r w:rsidRPr="00A00FB5">
        <w:rPr>
          <w:rFonts w:ascii="inherit" w:eastAsia="Times New Roman" w:hAnsi="inherit" w:cs="Times New Roman"/>
          <w:kern w:val="0"/>
          <w14:ligatures w14:val="none"/>
        </w:rPr>
        <w:t>Based on solid evidence, replacement of food highly contaminated with aflatoxin B1 with food that harbors much lower levels of aflatoxin B1 leads to a reduction in liver cancer mortality.[</w:t>
      </w:r>
      <w:hyperlink r:id="rId126" w:anchor="cit/section_1.15" w:history="1">
        <w:r w:rsidRPr="00A00FB5">
          <w:rPr>
            <w:rFonts w:ascii="inherit" w:eastAsia="Times New Roman" w:hAnsi="inherit" w:cs="Times New Roman"/>
            <w:color w:val="01679D"/>
            <w:kern w:val="0"/>
            <w14:ligatures w14:val="none"/>
          </w:rPr>
          <w:t>15</w:t>
        </w:r>
      </w:hyperlink>
      <w:r w:rsidRPr="00A00FB5">
        <w:rPr>
          <w:rFonts w:ascii="inherit" w:eastAsia="Times New Roman" w:hAnsi="inherit" w:cs="Times New Roman"/>
          <w:kern w:val="0"/>
          <w14:ligatures w14:val="none"/>
        </w:rPr>
        <w:t>]</w:t>
      </w:r>
    </w:p>
    <w:p w14:paraId="6818E65A" w14:textId="77777777" w:rsidR="00A00FB5" w:rsidRPr="00A00FB5" w:rsidRDefault="00A00FB5" w:rsidP="00A00FB5">
      <w:pPr>
        <w:spacing w:before="300" w:after="300" w:line="360" w:lineRule="atLeast"/>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Magnitude of Effect</w:t>
      </w:r>
      <w:r w:rsidRPr="00A00FB5">
        <w:rPr>
          <w:rFonts w:ascii="inherit" w:eastAsia="Times New Roman" w:hAnsi="inherit" w:cs="Times New Roman"/>
          <w:kern w:val="0"/>
          <w14:ligatures w14:val="none"/>
        </w:rPr>
        <w:t>: A more-than-50% reduction in liver cancer mortality.</w:t>
      </w:r>
    </w:p>
    <w:p w14:paraId="1E4A0BA6" w14:textId="77777777" w:rsidR="00A00FB5" w:rsidRPr="00A00FB5" w:rsidRDefault="00A00FB5" w:rsidP="00A00FB5">
      <w:pPr>
        <w:numPr>
          <w:ilvl w:val="0"/>
          <w:numId w:val="6"/>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Study Design</w:t>
      </w:r>
      <w:r w:rsidRPr="00A00FB5">
        <w:rPr>
          <w:rFonts w:ascii="inherit" w:eastAsia="Times New Roman" w:hAnsi="inherit" w:cs="Times New Roman"/>
          <w:kern w:val="0"/>
          <w14:ligatures w14:val="none"/>
        </w:rPr>
        <w:t>: Historical trends.</w:t>
      </w:r>
    </w:p>
    <w:p w14:paraId="19ADA9F0" w14:textId="77777777" w:rsidR="00A00FB5" w:rsidRPr="00A00FB5" w:rsidRDefault="00A00FB5" w:rsidP="00A00FB5">
      <w:pPr>
        <w:numPr>
          <w:ilvl w:val="0"/>
          <w:numId w:val="6"/>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Internal Validity</w:t>
      </w:r>
      <w:r w:rsidRPr="00A00FB5">
        <w:rPr>
          <w:rFonts w:ascii="inherit" w:eastAsia="Times New Roman" w:hAnsi="inherit" w:cs="Times New Roman"/>
          <w:kern w:val="0"/>
          <w14:ligatures w14:val="none"/>
        </w:rPr>
        <w:t>: Good.</w:t>
      </w:r>
    </w:p>
    <w:p w14:paraId="365D0C5E" w14:textId="77777777" w:rsidR="00A00FB5" w:rsidRPr="00A00FB5" w:rsidRDefault="00A00FB5" w:rsidP="00A00FB5">
      <w:pPr>
        <w:numPr>
          <w:ilvl w:val="0"/>
          <w:numId w:val="6"/>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Consistency</w:t>
      </w:r>
      <w:r w:rsidRPr="00A00FB5">
        <w:rPr>
          <w:rFonts w:ascii="inherit" w:eastAsia="Times New Roman" w:hAnsi="inherit" w:cs="Times New Roman"/>
          <w:kern w:val="0"/>
          <w14:ligatures w14:val="none"/>
        </w:rPr>
        <w:t>: N/A.</w:t>
      </w:r>
    </w:p>
    <w:p w14:paraId="2AB0441F" w14:textId="77777777" w:rsidR="00A00FB5" w:rsidRPr="00A00FB5" w:rsidRDefault="00A00FB5" w:rsidP="00A00FB5">
      <w:pPr>
        <w:numPr>
          <w:ilvl w:val="0"/>
          <w:numId w:val="6"/>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External Validity</w:t>
      </w:r>
      <w:r w:rsidRPr="00A00FB5">
        <w:rPr>
          <w:rFonts w:ascii="inherit" w:eastAsia="Times New Roman" w:hAnsi="inherit" w:cs="Times New Roman"/>
          <w:kern w:val="0"/>
          <w14:ligatures w14:val="none"/>
        </w:rPr>
        <w:t>: N/A.</w:t>
      </w:r>
    </w:p>
    <w:p w14:paraId="47322829" w14:textId="77777777" w:rsidR="00A00FB5" w:rsidRPr="00A00FB5" w:rsidRDefault="00A00FB5" w:rsidP="00A00FB5">
      <w:pPr>
        <w:spacing w:before="240" w:after="120" w:line="300" w:lineRule="atLeast"/>
        <w:outlineLvl w:val="2"/>
        <w:rPr>
          <w:rFonts w:ascii="Poppins" w:eastAsia="Times New Roman" w:hAnsi="Poppins" w:cs="Poppins"/>
          <w:b/>
          <w:bCs/>
          <w:color w:val="1B1B1B"/>
          <w:kern w:val="0"/>
          <w:sz w:val="30"/>
          <w:szCs w:val="30"/>
          <w14:ligatures w14:val="none"/>
        </w:rPr>
      </w:pPr>
      <w:r w:rsidRPr="00A00FB5">
        <w:rPr>
          <w:rFonts w:ascii="Poppins" w:eastAsia="Times New Roman" w:hAnsi="Poppins" w:cs="Poppins"/>
          <w:b/>
          <w:bCs/>
          <w:color w:val="1B1B1B"/>
          <w:kern w:val="0"/>
          <w:sz w:val="30"/>
          <w:szCs w:val="30"/>
          <w14:ligatures w14:val="none"/>
        </w:rPr>
        <w:t>Interventions With Inadequate Evidence of Decreased Risk of HCC</w:t>
      </w:r>
    </w:p>
    <w:p w14:paraId="6A3B90FF" w14:textId="77777777" w:rsidR="00A00FB5" w:rsidRPr="00A00FB5" w:rsidRDefault="00A00FB5" w:rsidP="00A00FB5">
      <w:pPr>
        <w:spacing w:before="240" w:after="120" w:line="320" w:lineRule="atLeast"/>
        <w:outlineLvl w:val="3"/>
        <w:rPr>
          <w:rFonts w:ascii="Poppins" w:eastAsia="Times New Roman" w:hAnsi="Poppins" w:cs="Poppins"/>
          <w:b/>
          <w:bCs/>
          <w:color w:val="1B1B1B"/>
          <w:kern w:val="0"/>
          <w:sz w:val="27"/>
          <w:szCs w:val="27"/>
          <w14:ligatures w14:val="none"/>
        </w:rPr>
      </w:pPr>
      <w:r w:rsidRPr="00A00FB5">
        <w:rPr>
          <w:rFonts w:ascii="Poppins" w:eastAsia="Times New Roman" w:hAnsi="Poppins" w:cs="Poppins"/>
          <w:b/>
          <w:bCs/>
          <w:color w:val="1B1B1B"/>
          <w:kern w:val="0"/>
          <w:sz w:val="27"/>
          <w:szCs w:val="27"/>
          <w14:ligatures w14:val="none"/>
        </w:rPr>
        <w:t>HCV treatment with direct-acting antivirals (DAAs)</w:t>
      </w:r>
    </w:p>
    <w:p w14:paraId="0A367A41" w14:textId="77777777" w:rsidR="00A00FB5" w:rsidRPr="00A00FB5" w:rsidRDefault="00A00FB5" w:rsidP="00A00FB5">
      <w:pPr>
        <w:spacing w:before="120" w:after="300" w:line="360" w:lineRule="atLeast"/>
        <w:rPr>
          <w:rFonts w:ascii="inherit" w:eastAsia="Times New Roman" w:hAnsi="inherit" w:cs="Times New Roman"/>
          <w:kern w:val="0"/>
          <w14:ligatures w14:val="none"/>
        </w:rPr>
      </w:pPr>
      <w:r w:rsidRPr="00A00FB5">
        <w:rPr>
          <w:rFonts w:ascii="inherit" w:eastAsia="Times New Roman" w:hAnsi="inherit" w:cs="Times New Roman"/>
          <w:kern w:val="0"/>
          <w14:ligatures w14:val="none"/>
        </w:rPr>
        <w:t>Based on fair evidence, HCV treatment with DAAs that results in sustained virological response (SVR) may reduce HCC risk.</w:t>
      </w:r>
    </w:p>
    <w:p w14:paraId="66FCCD81" w14:textId="77777777" w:rsidR="00A00FB5" w:rsidRPr="00A00FB5" w:rsidRDefault="00A00FB5" w:rsidP="00A00FB5">
      <w:pPr>
        <w:spacing w:before="300" w:after="300" w:line="360" w:lineRule="atLeast"/>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Magnitude of Effect</w:t>
      </w:r>
      <w:r w:rsidRPr="00A00FB5">
        <w:rPr>
          <w:rFonts w:ascii="inherit" w:eastAsia="Times New Roman" w:hAnsi="inherit" w:cs="Times New Roman"/>
          <w:kern w:val="0"/>
          <w14:ligatures w14:val="none"/>
        </w:rPr>
        <w:t>: Patients treated with DAAs who attained SVR had an approximately 75% reduction in HCC risk relative to those who did not attain SVR.[</w:t>
      </w:r>
      <w:hyperlink r:id="rId127" w:anchor="cit/section_1.16" w:history="1">
        <w:r w:rsidRPr="00A00FB5">
          <w:rPr>
            <w:rFonts w:ascii="inherit" w:eastAsia="Times New Roman" w:hAnsi="inherit" w:cs="Times New Roman"/>
            <w:color w:val="01679D"/>
            <w:kern w:val="0"/>
            <w14:ligatures w14:val="none"/>
          </w:rPr>
          <w:t>16</w:t>
        </w:r>
      </w:hyperlink>
      <w:r w:rsidRPr="00A00FB5">
        <w:rPr>
          <w:rFonts w:ascii="inherit" w:eastAsia="Times New Roman" w:hAnsi="inherit" w:cs="Times New Roman"/>
          <w:kern w:val="0"/>
          <w14:ligatures w14:val="none"/>
        </w:rPr>
        <w:t xml:space="preserve">] Reduction in relative risk with SVR was similar in patients with cirrhosis (hazard ratio [HR], 0.31; 95% </w:t>
      </w:r>
      <w:r w:rsidRPr="00A00FB5">
        <w:rPr>
          <w:rFonts w:ascii="inherit" w:eastAsia="Times New Roman" w:hAnsi="inherit" w:cs="Times New Roman"/>
          <w:kern w:val="0"/>
          <w14:ligatures w14:val="none"/>
        </w:rPr>
        <w:lastRenderedPageBreak/>
        <w:t>CI, 0.23–0.44) and patients without cirrhosis (HR, 0.18; 95% CI, 0.11–0.30). There does not appear to be an increased risk of HCC among individuals, with or without cirrhosis, who received DAAs as opposed to those who received interferon.[</w:t>
      </w:r>
      <w:hyperlink r:id="rId128" w:anchor="cit/section_1.26" w:history="1">
        <w:r w:rsidRPr="00A00FB5">
          <w:rPr>
            <w:rFonts w:ascii="inherit" w:eastAsia="Times New Roman" w:hAnsi="inherit" w:cs="Times New Roman"/>
            <w:color w:val="01679D"/>
            <w:kern w:val="0"/>
            <w14:ligatures w14:val="none"/>
          </w:rPr>
          <w:t>26</w:t>
        </w:r>
      </w:hyperlink>
      <w:r w:rsidRPr="00A00FB5">
        <w:rPr>
          <w:rFonts w:ascii="inherit" w:eastAsia="Times New Roman" w:hAnsi="inherit" w:cs="Times New Roman"/>
          <w:kern w:val="0"/>
          <w14:ligatures w14:val="none"/>
        </w:rPr>
        <w:t>,</w:t>
      </w:r>
      <w:hyperlink r:id="rId129" w:anchor="cit/section_1.27" w:history="1">
        <w:r w:rsidRPr="00A00FB5">
          <w:rPr>
            <w:rFonts w:ascii="inherit" w:eastAsia="Times New Roman" w:hAnsi="inherit" w:cs="Times New Roman"/>
            <w:color w:val="01679D"/>
            <w:kern w:val="0"/>
            <w14:ligatures w14:val="none"/>
          </w:rPr>
          <w:t>27</w:t>
        </w:r>
      </w:hyperlink>
      <w:r w:rsidRPr="00A00FB5">
        <w:rPr>
          <w:rFonts w:ascii="inherit" w:eastAsia="Times New Roman" w:hAnsi="inherit" w:cs="Times New Roman"/>
          <w:kern w:val="0"/>
          <w14:ligatures w14:val="none"/>
        </w:rPr>
        <w:t>]</w:t>
      </w:r>
    </w:p>
    <w:p w14:paraId="0B64A90E" w14:textId="77777777" w:rsidR="00A00FB5" w:rsidRPr="00A00FB5" w:rsidRDefault="00A00FB5" w:rsidP="00A00FB5">
      <w:pPr>
        <w:numPr>
          <w:ilvl w:val="0"/>
          <w:numId w:val="7"/>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Study Design</w:t>
      </w:r>
      <w:r w:rsidRPr="00A00FB5">
        <w:rPr>
          <w:rFonts w:ascii="inherit" w:eastAsia="Times New Roman" w:hAnsi="inherit" w:cs="Times New Roman"/>
          <w:kern w:val="0"/>
          <w14:ligatures w14:val="none"/>
        </w:rPr>
        <w:t>: Retrospective cohort, case series.</w:t>
      </w:r>
    </w:p>
    <w:p w14:paraId="2FB633BC" w14:textId="77777777" w:rsidR="00A00FB5" w:rsidRPr="00A00FB5" w:rsidRDefault="00A00FB5" w:rsidP="00A00FB5">
      <w:pPr>
        <w:numPr>
          <w:ilvl w:val="0"/>
          <w:numId w:val="7"/>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Internal Validity</w:t>
      </w:r>
      <w:r w:rsidRPr="00A00FB5">
        <w:rPr>
          <w:rFonts w:ascii="inherit" w:eastAsia="Times New Roman" w:hAnsi="inherit" w:cs="Times New Roman"/>
          <w:kern w:val="0"/>
          <w14:ligatures w14:val="none"/>
        </w:rPr>
        <w:t>: Fair.</w:t>
      </w:r>
    </w:p>
    <w:p w14:paraId="7BEB8F3B" w14:textId="77777777" w:rsidR="00A00FB5" w:rsidRPr="00A00FB5" w:rsidRDefault="00A00FB5" w:rsidP="00A00FB5">
      <w:pPr>
        <w:numPr>
          <w:ilvl w:val="0"/>
          <w:numId w:val="7"/>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Consistency</w:t>
      </w:r>
      <w:r w:rsidRPr="00A00FB5">
        <w:rPr>
          <w:rFonts w:ascii="inherit" w:eastAsia="Times New Roman" w:hAnsi="inherit" w:cs="Times New Roman"/>
          <w:kern w:val="0"/>
          <w14:ligatures w14:val="none"/>
        </w:rPr>
        <w:t>: Fair.</w:t>
      </w:r>
    </w:p>
    <w:p w14:paraId="16E2C5C5" w14:textId="77777777" w:rsidR="00A00FB5" w:rsidRPr="00A00FB5" w:rsidRDefault="00A00FB5" w:rsidP="00A00FB5">
      <w:pPr>
        <w:numPr>
          <w:ilvl w:val="0"/>
          <w:numId w:val="7"/>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External Validity</w:t>
      </w:r>
      <w:r w:rsidRPr="00A00FB5">
        <w:rPr>
          <w:rFonts w:ascii="inherit" w:eastAsia="Times New Roman" w:hAnsi="inherit" w:cs="Times New Roman"/>
          <w:kern w:val="0"/>
          <w14:ligatures w14:val="none"/>
        </w:rPr>
        <w:t>: Fair.</w:t>
      </w:r>
    </w:p>
    <w:p w14:paraId="14C9C972" w14:textId="77777777" w:rsidR="00A00FB5" w:rsidRPr="00A00FB5" w:rsidRDefault="00A00FB5" w:rsidP="00A00FB5">
      <w:pPr>
        <w:spacing w:before="240" w:after="120" w:line="320" w:lineRule="atLeast"/>
        <w:outlineLvl w:val="3"/>
        <w:rPr>
          <w:rFonts w:ascii="Poppins" w:eastAsia="Times New Roman" w:hAnsi="Poppins" w:cs="Poppins"/>
          <w:b/>
          <w:bCs/>
          <w:color w:val="1B1B1B"/>
          <w:kern w:val="0"/>
          <w:sz w:val="27"/>
          <w:szCs w:val="27"/>
          <w14:ligatures w14:val="none"/>
        </w:rPr>
      </w:pPr>
      <w:r w:rsidRPr="00A00FB5">
        <w:rPr>
          <w:rFonts w:ascii="Poppins" w:eastAsia="Times New Roman" w:hAnsi="Poppins" w:cs="Poppins"/>
          <w:b/>
          <w:bCs/>
          <w:color w:val="1B1B1B"/>
          <w:kern w:val="0"/>
          <w:sz w:val="27"/>
          <w:szCs w:val="27"/>
          <w14:ligatures w14:val="none"/>
        </w:rPr>
        <w:t>Statin use among adults with HBV or HCV</w:t>
      </w:r>
    </w:p>
    <w:p w14:paraId="1C41DAB4" w14:textId="77777777" w:rsidR="00A00FB5" w:rsidRPr="00A00FB5" w:rsidRDefault="00A00FB5" w:rsidP="00A00FB5">
      <w:pPr>
        <w:spacing w:before="120" w:after="300" w:line="360" w:lineRule="atLeast"/>
        <w:rPr>
          <w:rFonts w:ascii="inherit" w:eastAsia="Times New Roman" w:hAnsi="inherit" w:cs="Times New Roman"/>
          <w:kern w:val="0"/>
          <w14:ligatures w14:val="none"/>
        </w:rPr>
      </w:pPr>
      <w:r w:rsidRPr="00A00FB5">
        <w:rPr>
          <w:rFonts w:ascii="inherit" w:eastAsia="Times New Roman" w:hAnsi="inherit" w:cs="Times New Roman"/>
          <w:kern w:val="0"/>
          <w14:ligatures w14:val="none"/>
        </w:rPr>
        <w:t>Based on fair evidence, statin use may be associated with a reduced risk of developing HCC in patients with HBV or HCV infection.[</w:t>
      </w:r>
      <w:hyperlink r:id="rId130" w:anchor="cit/section_1.28" w:history="1">
        <w:r w:rsidRPr="00A00FB5">
          <w:rPr>
            <w:rFonts w:ascii="inherit" w:eastAsia="Times New Roman" w:hAnsi="inherit" w:cs="Times New Roman"/>
            <w:color w:val="01679D"/>
            <w:kern w:val="0"/>
            <w14:ligatures w14:val="none"/>
          </w:rPr>
          <w:t>28</w:t>
        </w:r>
      </w:hyperlink>
      <w:r w:rsidRPr="00A00FB5">
        <w:rPr>
          <w:rFonts w:ascii="inherit" w:eastAsia="Times New Roman" w:hAnsi="inherit" w:cs="Times New Roman"/>
          <w:kern w:val="0"/>
          <w14:ligatures w14:val="none"/>
        </w:rPr>
        <w:t>] Statin use may be associated with a reduced risk of developing HCC in all adults.</w:t>
      </w:r>
    </w:p>
    <w:p w14:paraId="256FFF63" w14:textId="77777777" w:rsidR="00A00FB5" w:rsidRPr="00A00FB5" w:rsidRDefault="00A00FB5" w:rsidP="00A00FB5">
      <w:pPr>
        <w:spacing w:before="300" w:after="300" w:line="360" w:lineRule="atLeast"/>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Magnitude of Effect</w:t>
      </w:r>
      <w:r w:rsidRPr="00A00FB5">
        <w:rPr>
          <w:rFonts w:ascii="inherit" w:eastAsia="Times New Roman" w:hAnsi="inherit" w:cs="Times New Roman"/>
          <w:kern w:val="0"/>
          <w14:ligatures w14:val="none"/>
        </w:rPr>
        <w:t>: Relative reductions in HCC risk in adults with HBV or HCV infection of approximately 50% was found in a systematic review of observational studies (kappa statistic, 13). A statistically significant effect was observed with lipophilic statin use (HR, 0.52; </w:t>
      </w:r>
      <w:r w:rsidRPr="00A00FB5">
        <w:rPr>
          <w:rFonts w:ascii="inherit" w:eastAsia="Times New Roman" w:hAnsi="inherit" w:cs="Times New Roman"/>
          <w:i/>
          <w:iCs/>
          <w:kern w:val="0"/>
          <w14:ligatures w14:val="none"/>
        </w:rPr>
        <w:t>P</w:t>
      </w:r>
      <w:r w:rsidRPr="00A00FB5">
        <w:rPr>
          <w:rFonts w:ascii="inherit" w:eastAsia="Times New Roman" w:hAnsi="inherit" w:cs="Times New Roman"/>
          <w:kern w:val="0"/>
          <w14:ligatures w14:val="none"/>
        </w:rPr>
        <w:t> &lt; .001; kappa statistic, 2) but not with hydrophilic statin use (RR, 0.89; </w:t>
      </w:r>
      <w:r w:rsidRPr="00A00FB5">
        <w:rPr>
          <w:rFonts w:ascii="inherit" w:eastAsia="Times New Roman" w:hAnsi="inherit" w:cs="Times New Roman"/>
          <w:i/>
          <w:iCs/>
          <w:kern w:val="0"/>
          <w14:ligatures w14:val="none"/>
        </w:rPr>
        <w:t>P</w:t>
      </w:r>
      <w:r w:rsidRPr="00A00FB5">
        <w:rPr>
          <w:rFonts w:ascii="inherit" w:eastAsia="Times New Roman" w:hAnsi="inherit" w:cs="Times New Roman"/>
          <w:kern w:val="0"/>
          <w14:ligatures w14:val="none"/>
        </w:rPr>
        <w:t> = .21; kappa statistic, 2) (</w:t>
      </w:r>
      <w:r w:rsidRPr="00A00FB5">
        <w:rPr>
          <w:rFonts w:ascii="inherit" w:eastAsia="Times New Roman" w:hAnsi="inherit" w:cs="Times New Roman"/>
          <w:i/>
          <w:iCs/>
          <w:kern w:val="0"/>
          <w14:ligatures w14:val="none"/>
        </w:rPr>
        <w:t>P</w:t>
      </w:r>
      <w:r w:rsidRPr="00A00FB5">
        <w:rPr>
          <w:rFonts w:ascii="inherit" w:eastAsia="Times New Roman" w:hAnsi="inherit" w:cs="Times New Roman"/>
          <w:kern w:val="0"/>
          <w14:ligatures w14:val="none"/>
        </w:rPr>
        <w:t> for subgroup difference &lt; .001).[</w:t>
      </w:r>
      <w:hyperlink r:id="rId131" w:anchor="cit/section_1.28" w:history="1">
        <w:r w:rsidRPr="00A00FB5">
          <w:rPr>
            <w:rFonts w:ascii="inherit" w:eastAsia="Times New Roman" w:hAnsi="inherit" w:cs="Times New Roman"/>
            <w:color w:val="01679D"/>
            <w:kern w:val="0"/>
            <w14:ligatures w14:val="none"/>
          </w:rPr>
          <w:t>28</w:t>
        </w:r>
      </w:hyperlink>
      <w:r w:rsidRPr="00A00FB5">
        <w:rPr>
          <w:rFonts w:ascii="inherit" w:eastAsia="Times New Roman" w:hAnsi="inherit" w:cs="Times New Roman"/>
          <w:kern w:val="0"/>
          <w14:ligatures w14:val="none"/>
        </w:rPr>
        <w:t>] However, there was moderate heterogeneity in the two studies that reported on hydrophilic statin use, with one study [</w:t>
      </w:r>
      <w:hyperlink r:id="rId132" w:anchor="cit/section_1.29" w:history="1">
        <w:r w:rsidRPr="00A00FB5">
          <w:rPr>
            <w:rFonts w:ascii="inherit" w:eastAsia="Times New Roman" w:hAnsi="inherit" w:cs="Times New Roman"/>
            <w:color w:val="01679D"/>
            <w:kern w:val="0"/>
            <w14:ligatures w14:val="none"/>
          </w:rPr>
          <w:t>29</w:t>
        </w:r>
      </w:hyperlink>
      <w:r w:rsidRPr="00A00FB5">
        <w:rPr>
          <w:rFonts w:ascii="inherit" w:eastAsia="Times New Roman" w:hAnsi="inherit" w:cs="Times New Roman"/>
          <w:kern w:val="0"/>
          <w14:ligatures w14:val="none"/>
        </w:rPr>
        <w:t>,</w:t>
      </w:r>
      <w:hyperlink r:id="rId133" w:anchor="cit/section_1.30" w:history="1">
        <w:r w:rsidRPr="00A00FB5">
          <w:rPr>
            <w:rFonts w:ascii="inherit" w:eastAsia="Times New Roman" w:hAnsi="inherit" w:cs="Times New Roman"/>
            <w:color w:val="01679D"/>
            <w:kern w:val="0"/>
            <w14:ligatures w14:val="none"/>
          </w:rPr>
          <w:t>30</w:t>
        </w:r>
      </w:hyperlink>
      <w:r w:rsidRPr="00A00FB5">
        <w:rPr>
          <w:rFonts w:ascii="inherit" w:eastAsia="Times New Roman" w:hAnsi="inherit" w:cs="Times New Roman"/>
          <w:kern w:val="0"/>
          <w14:ligatures w14:val="none"/>
        </w:rPr>
        <w:t>] showing a 49% statistically significant relative reduction and the other study [</w:t>
      </w:r>
      <w:hyperlink r:id="rId134" w:anchor="cit/section_1.31" w:history="1">
        <w:r w:rsidRPr="00A00FB5">
          <w:rPr>
            <w:rFonts w:ascii="inherit" w:eastAsia="Times New Roman" w:hAnsi="inherit" w:cs="Times New Roman"/>
            <w:color w:val="01679D"/>
            <w:kern w:val="0"/>
            <w14:ligatures w14:val="none"/>
          </w:rPr>
          <w:t>31</w:t>
        </w:r>
      </w:hyperlink>
      <w:r w:rsidRPr="00A00FB5">
        <w:rPr>
          <w:rFonts w:ascii="inherit" w:eastAsia="Times New Roman" w:hAnsi="inherit" w:cs="Times New Roman"/>
          <w:kern w:val="0"/>
          <w14:ligatures w14:val="none"/>
        </w:rPr>
        <w:t>,</w:t>
      </w:r>
      <w:hyperlink r:id="rId135" w:anchor="cit/section_1.32" w:history="1">
        <w:r w:rsidRPr="00A00FB5">
          <w:rPr>
            <w:rFonts w:ascii="inherit" w:eastAsia="Times New Roman" w:hAnsi="inherit" w:cs="Times New Roman"/>
            <w:color w:val="01679D"/>
            <w:kern w:val="0"/>
            <w14:ligatures w14:val="none"/>
          </w:rPr>
          <w:t>32</w:t>
        </w:r>
      </w:hyperlink>
      <w:r w:rsidRPr="00A00FB5">
        <w:rPr>
          <w:rFonts w:ascii="inherit" w:eastAsia="Times New Roman" w:hAnsi="inherit" w:cs="Times New Roman"/>
          <w:kern w:val="0"/>
          <w14:ligatures w14:val="none"/>
        </w:rPr>
        <w:t>] showing a nonsignificant 5% relative reduction.</w:t>
      </w:r>
    </w:p>
    <w:p w14:paraId="54A54431" w14:textId="77777777" w:rsidR="00A00FB5" w:rsidRPr="00A00FB5" w:rsidRDefault="00A00FB5" w:rsidP="00A00FB5">
      <w:pPr>
        <w:numPr>
          <w:ilvl w:val="0"/>
          <w:numId w:val="8"/>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Study Design</w:t>
      </w:r>
      <w:r w:rsidRPr="00A00FB5">
        <w:rPr>
          <w:rFonts w:ascii="inherit" w:eastAsia="Times New Roman" w:hAnsi="inherit" w:cs="Times New Roman"/>
          <w:kern w:val="0"/>
          <w14:ligatures w14:val="none"/>
        </w:rPr>
        <w:t>: Systematic review and meta-analysis of observational study.</w:t>
      </w:r>
    </w:p>
    <w:p w14:paraId="6335F3B9" w14:textId="77777777" w:rsidR="00A00FB5" w:rsidRPr="00A00FB5" w:rsidRDefault="00A00FB5" w:rsidP="00A00FB5">
      <w:pPr>
        <w:numPr>
          <w:ilvl w:val="0"/>
          <w:numId w:val="8"/>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Internal Validity</w:t>
      </w:r>
      <w:r w:rsidRPr="00A00FB5">
        <w:rPr>
          <w:rFonts w:ascii="inherit" w:eastAsia="Times New Roman" w:hAnsi="inherit" w:cs="Times New Roman"/>
          <w:kern w:val="0"/>
          <w14:ligatures w14:val="none"/>
        </w:rPr>
        <w:t>: Good.</w:t>
      </w:r>
    </w:p>
    <w:p w14:paraId="27D3FDF0" w14:textId="77777777" w:rsidR="00A00FB5" w:rsidRPr="00A00FB5" w:rsidRDefault="00A00FB5" w:rsidP="00A00FB5">
      <w:pPr>
        <w:numPr>
          <w:ilvl w:val="0"/>
          <w:numId w:val="8"/>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Consistency</w:t>
      </w:r>
      <w:r w:rsidRPr="00A00FB5">
        <w:rPr>
          <w:rFonts w:ascii="inherit" w:eastAsia="Times New Roman" w:hAnsi="inherit" w:cs="Times New Roman"/>
          <w:kern w:val="0"/>
          <w14:ligatures w14:val="none"/>
        </w:rPr>
        <w:t>: Good across patient characteristics, including possibly HBV/HCV status but possibly inconsistent for the type of statin use (lipophilic vs. hydrophilic).</w:t>
      </w:r>
    </w:p>
    <w:p w14:paraId="0AC1B216" w14:textId="77777777" w:rsidR="00A00FB5" w:rsidRPr="00A00FB5" w:rsidRDefault="00A00FB5" w:rsidP="00A00FB5">
      <w:pPr>
        <w:numPr>
          <w:ilvl w:val="0"/>
          <w:numId w:val="8"/>
        </w:numPr>
        <w:spacing w:before="120" w:after="0" w:line="240" w:lineRule="auto"/>
        <w:ind w:left="1140"/>
        <w:rPr>
          <w:rFonts w:ascii="inherit" w:eastAsia="Times New Roman" w:hAnsi="inherit" w:cs="Times New Roman"/>
          <w:kern w:val="0"/>
          <w14:ligatures w14:val="none"/>
        </w:rPr>
      </w:pPr>
      <w:r w:rsidRPr="00A00FB5">
        <w:rPr>
          <w:rFonts w:ascii="inherit" w:eastAsia="Times New Roman" w:hAnsi="inherit" w:cs="Times New Roman"/>
          <w:b/>
          <w:bCs/>
          <w:kern w:val="0"/>
          <w14:ligatures w14:val="none"/>
        </w:rPr>
        <w:t>External Validity</w:t>
      </w:r>
      <w:r w:rsidRPr="00A00FB5">
        <w:rPr>
          <w:rFonts w:ascii="inherit" w:eastAsia="Times New Roman" w:hAnsi="inherit" w:cs="Times New Roman"/>
          <w:kern w:val="0"/>
          <w14:ligatures w14:val="none"/>
        </w:rPr>
        <w:t xml:space="preserve">: Unclear. A systematic review and meta-analysis of observational and randomized studies in adults with and without HBV/HCV infection (kappa statistic, 10) reported that statin use was associated with a 37% relative reduction in developing HCC (odds ratio [OR], 0.63; 95% CI, 0.52–0.76). Five studies did not report the baseline prevalence of HBV/HCV in individuals; one study noted that 100% of individuals had HBV infection, another study noted that HBV/HCV was present in 23.9%/25.1% at baseline while another study noted 1.9%/14.7%, respectively. Two other studies reported that HBV/HCV was present in less than 10% of the population. In sensitivity analyses, the association between statin use and HCC was observed </w:t>
      </w:r>
      <w:r w:rsidRPr="00A00FB5">
        <w:rPr>
          <w:rFonts w:ascii="inherit" w:eastAsia="Times New Roman" w:hAnsi="inherit" w:cs="Times New Roman"/>
          <w:kern w:val="0"/>
          <w14:ligatures w14:val="none"/>
        </w:rPr>
        <w:lastRenderedPageBreak/>
        <w:t>in observational studies (kappa statistic, 7; adjusted OR, 0.60; 95% CI, 0.49–0.73) but not in RCTs (kappa statistic, 3; OR, 0.95; 95% CI, 0.62–1.45 [although CIs were wide]).[</w:t>
      </w:r>
      <w:hyperlink r:id="rId136" w:anchor="cit/section_1.33" w:history="1">
        <w:r w:rsidRPr="00A00FB5">
          <w:rPr>
            <w:rFonts w:ascii="inherit" w:eastAsia="Times New Roman" w:hAnsi="inherit" w:cs="Times New Roman"/>
            <w:color w:val="01679D"/>
            <w:kern w:val="0"/>
            <w14:ligatures w14:val="none"/>
          </w:rPr>
          <w:t>33</w:t>
        </w:r>
      </w:hyperlink>
      <w:r w:rsidRPr="00A00FB5">
        <w:rPr>
          <w:rFonts w:ascii="inherit" w:eastAsia="Times New Roman" w:hAnsi="inherit" w:cs="Times New Roman"/>
          <w:kern w:val="0"/>
          <w14:ligatures w14:val="none"/>
        </w:rPr>
        <w:t>]</w:t>
      </w:r>
    </w:p>
    <w:p w14:paraId="7C332740" w14:textId="77777777" w:rsidR="00A00FB5" w:rsidRPr="00D748B8" w:rsidRDefault="00A00FB5" w:rsidP="00D748B8"/>
    <w:p w14:paraId="70390F54" w14:textId="77777777" w:rsidR="00D748B8" w:rsidRPr="0040429E" w:rsidRDefault="00D748B8" w:rsidP="00D748B8"/>
    <w:p w14:paraId="704A613A" w14:textId="77777777" w:rsidR="00475C9F" w:rsidRDefault="00475C9F"/>
    <w:sectPr w:rsidR="00475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BDB"/>
    <w:multiLevelType w:val="multilevel"/>
    <w:tmpl w:val="041A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10465"/>
    <w:multiLevelType w:val="multilevel"/>
    <w:tmpl w:val="7E3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82BB9"/>
    <w:multiLevelType w:val="multilevel"/>
    <w:tmpl w:val="411E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34457"/>
    <w:multiLevelType w:val="multilevel"/>
    <w:tmpl w:val="DD7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E5F7B"/>
    <w:multiLevelType w:val="multilevel"/>
    <w:tmpl w:val="5592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06AF6"/>
    <w:multiLevelType w:val="multilevel"/>
    <w:tmpl w:val="6404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0477A"/>
    <w:multiLevelType w:val="multilevel"/>
    <w:tmpl w:val="CE3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46C7E"/>
    <w:multiLevelType w:val="multilevel"/>
    <w:tmpl w:val="FDE27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25769">
    <w:abstractNumId w:val="2"/>
  </w:num>
  <w:num w:numId="2" w16cid:durableId="1298950054">
    <w:abstractNumId w:val="7"/>
  </w:num>
  <w:num w:numId="3" w16cid:durableId="2103211716">
    <w:abstractNumId w:val="4"/>
  </w:num>
  <w:num w:numId="4" w16cid:durableId="1152065979">
    <w:abstractNumId w:val="0"/>
  </w:num>
  <w:num w:numId="5" w16cid:durableId="1182166651">
    <w:abstractNumId w:val="6"/>
  </w:num>
  <w:num w:numId="6" w16cid:durableId="1970014678">
    <w:abstractNumId w:val="5"/>
  </w:num>
  <w:num w:numId="7" w16cid:durableId="1427117928">
    <w:abstractNumId w:val="1"/>
  </w:num>
  <w:num w:numId="8" w16cid:durableId="1938101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29E"/>
    <w:rsid w:val="00124B7C"/>
    <w:rsid w:val="00371D07"/>
    <w:rsid w:val="0040429E"/>
    <w:rsid w:val="00475C9F"/>
    <w:rsid w:val="008C1F55"/>
    <w:rsid w:val="00A00FB5"/>
    <w:rsid w:val="00AA4179"/>
    <w:rsid w:val="00CE0962"/>
    <w:rsid w:val="00D748B8"/>
    <w:rsid w:val="00E9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E2F4"/>
  <w15:chartTrackingRefBased/>
  <w15:docId w15:val="{7BE0FF10-F55F-4897-A3D0-129CD19F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29E"/>
    <w:rPr>
      <w:rFonts w:eastAsiaTheme="majorEastAsia" w:cstheme="majorBidi"/>
      <w:color w:val="272727" w:themeColor="text1" w:themeTint="D8"/>
    </w:rPr>
  </w:style>
  <w:style w:type="paragraph" w:styleId="Title">
    <w:name w:val="Title"/>
    <w:basedOn w:val="Normal"/>
    <w:next w:val="Normal"/>
    <w:link w:val="TitleChar"/>
    <w:uiPriority w:val="10"/>
    <w:qFormat/>
    <w:rsid w:val="00404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29E"/>
    <w:pPr>
      <w:spacing w:before="160"/>
      <w:jc w:val="center"/>
    </w:pPr>
    <w:rPr>
      <w:i/>
      <w:iCs/>
      <w:color w:val="404040" w:themeColor="text1" w:themeTint="BF"/>
    </w:rPr>
  </w:style>
  <w:style w:type="character" w:customStyle="1" w:styleId="QuoteChar">
    <w:name w:val="Quote Char"/>
    <w:basedOn w:val="DefaultParagraphFont"/>
    <w:link w:val="Quote"/>
    <w:uiPriority w:val="29"/>
    <w:rsid w:val="0040429E"/>
    <w:rPr>
      <w:i/>
      <w:iCs/>
      <w:color w:val="404040" w:themeColor="text1" w:themeTint="BF"/>
    </w:rPr>
  </w:style>
  <w:style w:type="paragraph" w:styleId="ListParagraph">
    <w:name w:val="List Paragraph"/>
    <w:basedOn w:val="Normal"/>
    <w:uiPriority w:val="34"/>
    <w:qFormat/>
    <w:rsid w:val="0040429E"/>
    <w:pPr>
      <w:ind w:left="720"/>
      <w:contextualSpacing/>
    </w:pPr>
  </w:style>
  <w:style w:type="character" w:styleId="IntenseEmphasis">
    <w:name w:val="Intense Emphasis"/>
    <w:basedOn w:val="DefaultParagraphFont"/>
    <w:uiPriority w:val="21"/>
    <w:qFormat/>
    <w:rsid w:val="0040429E"/>
    <w:rPr>
      <w:i/>
      <w:iCs/>
      <w:color w:val="0F4761" w:themeColor="accent1" w:themeShade="BF"/>
    </w:rPr>
  </w:style>
  <w:style w:type="paragraph" w:styleId="IntenseQuote">
    <w:name w:val="Intense Quote"/>
    <w:basedOn w:val="Normal"/>
    <w:next w:val="Normal"/>
    <w:link w:val="IntenseQuoteChar"/>
    <w:uiPriority w:val="30"/>
    <w:qFormat/>
    <w:rsid w:val="00404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29E"/>
    <w:rPr>
      <w:i/>
      <w:iCs/>
      <w:color w:val="0F4761" w:themeColor="accent1" w:themeShade="BF"/>
    </w:rPr>
  </w:style>
  <w:style w:type="character" w:styleId="IntenseReference">
    <w:name w:val="Intense Reference"/>
    <w:basedOn w:val="DefaultParagraphFont"/>
    <w:uiPriority w:val="32"/>
    <w:qFormat/>
    <w:rsid w:val="0040429E"/>
    <w:rPr>
      <w:b/>
      <w:bCs/>
      <w:smallCaps/>
      <w:color w:val="0F4761" w:themeColor="accent1" w:themeShade="BF"/>
      <w:spacing w:val="5"/>
    </w:rPr>
  </w:style>
  <w:style w:type="character" w:styleId="Hyperlink">
    <w:name w:val="Hyperlink"/>
    <w:basedOn w:val="DefaultParagraphFont"/>
    <w:uiPriority w:val="99"/>
    <w:unhideWhenUsed/>
    <w:rsid w:val="0040429E"/>
    <w:rPr>
      <w:color w:val="467886" w:themeColor="hyperlink"/>
      <w:u w:val="single"/>
    </w:rPr>
  </w:style>
  <w:style w:type="character" w:styleId="UnresolvedMention">
    <w:name w:val="Unresolved Mention"/>
    <w:basedOn w:val="DefaultParagraphFont"/>
    <w:uiPriority w:val="99"/>
    <w:semiHidden/>
    <w:unhideWhenUsed/>
    <w:rsid w:val="004042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ancer.gov/types/liver/hp/liver-prevention-pdq" TargetMode="External"/><Relationship Id="rId21" Type="http://schemas.openxmlformats.org/officeDocument/2006/relationships/hyperlink" Target="https://www.cancer.gov/types/liver/hp/adult-liver-treatment-pdq" TargetMode="External"/><Relationship Id="rId42" Type="http://schemas.openxmlformats.org/officeDocument/2006/relationships/hyperlink" Target="https://www.cancer.gov/types/liver/hp/liver-prevention-pdq" TargetMode="External"/><Relationship Id="rId63" Type="http://schemas.openxmlformats.org/officeDocument/2006/relationships/hyperlink" Target="https://www.cancer.gov/types/liver/hp/liver-prevention-pdq" TargetMode="External"/><Relationship Id="rId84" Type="http://schemas.openxmlformats.org/officeDocument/2006/relationships/hyperlink" Target="https://www.cancer.gov/types/liver/hp/liver-prevention-pdq" TargetMode="External"/><Relationship Id="rId138" Type="http://schemas.openxmlformats.org/officeDocument/2006/relationships/theme" Target="theme/theme1.xml"/><Relationship Id="rId16" Type="http://schemas.openxmlformats.org/officeDocument/2006/relationships/hyperlink" Target="https://www.cancer.gov/types/liver/hp/adult-liver-treatment-pdq" TargetMode="External"/><Relationship Id="rId107" Type="http://schemas.openxmlformats.org/officeDocument/2006/relationships/hyperlink" Target="https://www.cancer.gov/types/liver/hp/liver-prevention-pdq" TargetMode="External"/><Relationship Id="rId11" Type="http://schemas.openxmlformats.org/officeDocument/2006/relationships/hyperlink" Target="https://www.cancer.gov/types/liver/hp/adult-liver-treatment-pdq" TargetMode="External"/><Relationship Id="rId32" Type="http://schemas.openxmlformats.org/officeDocument/2006/relationships/hyperlink" Target="https://www.cancer.gov/types/liver/hp/liver-prevention-pdq" TargetMode="External"/><Relationship Id="rId37" Type="http://schemas.openxmlformats.org/officeDocument/2006/relationships/hyperlink" Target="https://www.cancer.gov/types/liver/hp/liver-prevention-pdq" TargetMode="External"/><Relationship Id="rId53" Type="http://schemas.openxmlformats.org/officeDocument/2006/relationships/hyperlink" Target="https://www.cancer.gov/types/liver/hp/liver-prevention-pdq" TargetMode="External"/><Relationship Id="rId58" Type="http://schemas.openxmlformats.org/officeDocument/2006/relationships/hyperlink" Target="https://www.cancer.gov/types/liver/hp/liver-prevention-pdq" TargetMode="External"/><Relationship Id="rId74" Type="http://schemas.openxmlformats.org/officeDocument/2006/relationships/hyperlink" Target="https://www.cancer.gov/types/liver/hp/liver-prevention-pdq" TargetMode="External"/><Relationship Id="rId79" Type="http://schemas.openxmlformats.org/officeDocument/2006/relationships/hyperlink" Target="https://www.cancer.gov/types/liver/hp/liver-prevention-pdq" TargetMode="External"/><Relationship Id="rId102" Type="http://schemas.openxmlformats.org/officeDocument/2006/relationships/hyperlink" Target="https://www.cancer.gov/types/liver/hp/liver-prevention-pdq" TargetMode="External"/><Relationship Id="rId123" Type="http://schemas.openxmlformats.org/officeDocument/2006/relationships/hyperlink" Target="https://www.cancer.gov/types/liver/hp/liver-prevention-pdq" TargetMode="External"/><Relationship Id="rId128" Type="http://schemas.openxmlformats.org/officeDocument/2006/relationships/hyperlink" Target="https://www.cancer.gov/types/liver/hp/liver-prevention-pdq" TargetMode="External"/><Relationship Id="rId5" Type="http://schemas.openxmlformats.org/officeDocument/2006/relationships/hyperlink" Target="https://www.cancer.gov/types/liver/hp/adult-liver-treatment-pdq" TargetMode="External"/><Relationship Id="rId90" Type="http://schemas.openxmlformats.org/officeDocument/2006/relationships/hyperlink" Target="https://www.cancer.gov/types/liver/hp/liver-prevention-pdq" TargetMode="External"/><Relationship Id="rId95" Type="http://schemas.openxmlformats.org/officeDocument/2006/relationships/hyperlink" Target="https://www.cancer.gov/types/liver/hp/liver-prevention-pdq" TargetMode="External"/><Relationship Id="rId22" Type="http://schemas.openxmlformats.org/officeDocument/2006/relationships/hyperlink" Target="https://www.cancer.gov/types/liver/hp/adult-liver-treatment-pdq" TargetMode="External"/><Relationship Id="rId27" Type="http://schemas.openxmlformats.org/officeDocument/2006/relationships/hyperlink" Target="https://www.cancer.gov/types/liver/hp/adult-liver-treatment-pdq" TargetMode="External"/><Relationship Id="rId43" Type="http://schemas.openxmlformats.org/officeDocument/2006/relationships/hyperlink" Target="https://www.cancer.gov/types/liver/hp/liver-prevention-pdq" TargetMode="External"/><Relationship Id="rId48" Type="http://schemas.openxmlformats.org/officeDocument/2006/relationships/hyperlink" Target="https://www.cancer.gov/types/liver/hp/liver-prevention-pdq" TargetMode="External"/><Relationship Id="rId64" Type="http://schemas.openxmlformats.org/officeDocument/2006/relationships/hyperlink" Target="https://www.cancer.gov/types/liver/hp/liver-prevention-pdq" TargetMode="External"/><Relationship Id="rId69" Type="http://schemas.openxmlformats.org/officeDocument/2006/relationships/hyperlink" Target="https://www.cancer.gov/types/liver/hp/liver-prevention-pdq" TargetMode="External"/><Relationship Id="rId113" Type="http://schemas.openxmlformats.org/officeDocument/2006/relationships/hyperlink" Target="https://www.cancer.gov/types/liver/hp/liver-prevention-pdq" TargetMode="External"/><Relationship Id="rId118" Type="http://schemas.openxmlformats.org/officeDocument/2006/relationships/hyperlink" Target="https://www.cancer.gov/types/liver/hp/liver-prevention-pdq" TargetMode="External"/><Relationship Id="rId134" Type="http://schemas.openxmlformats.org/officeDocument/2006/relationships/hyperlink" Target="https://www.cancer.gov/types/liver/hp/liver-prevention-pdq" TargetMode="External"/><Relationship Id="rId80" Type="http://schemas.openxmlformats.org/officeDocument/2006/relationships/hyperlink" Target="https://www.cancer.gov/types/liver/hp/liver-prevention-pdq" TargetMode="External"/><Relationship Id="rId85" Type="http://schemas.openxmlformats.org/officeDocument/2006/relationships/hyperlink" Target="https://www.cancer.gov/types/liver/hp/liver-prevention-pdq" TargetMode="External"/><Relationship Id="rId12" Type="http://schemas.openxmlformats.org/officeDocument/2006/relationships/hyperlink" Target="https://www.cancer.gov/types/liver/hp/adult-liver-treatment-pdq" TargetMode="External"/><Relationship Id="rId17" Type="http://schemas.openxmlformats.org/officeDocument/2006/relationships/hyperlink" Target="https://www.cancer.gov/types/liver/hp/adult-liver-treatment-pdq" TargetMode="External"/><Relationship Id="rId33" Type="http://schemas.openxmlformats.org/officeDocument/2006/relationships/hyperlink" Target="https://www.cancer.gov/types/liver/hp/liver-prevention-pdq" TargetMode="External"/><Relationship Id="rId38" Type="http://schemas.openxmlformats.org/officeDocument/2006/relationships/hyperlink" Target="https://www.cancer.gov/types/liver/hp/liver-prevention-pdq" TargetMode="External"/><Relationship Id="rId59" Type="http://schemas.openxmlformats.org/officeDocument/2006/relationships/hyperlink" Target="https://www.cancer.gov/types/liver/hp/liver-prevention-pdq" TargetMode="External"/><Relationship Id="rId103" Type="http://schemas.openxmlformats.org/officeDocument/2006/relationships/hyperlink" Target="https://www.cancer.gov/types/liver/hp/liver-prevention-pdq" TargetMode="External"/><Relationship Id="rId108" Type="http://schemas.openxmlformats.org/officeDocument/2006/relationships/hyperlink" Target="https://www.cancer.gov/types/liver/hp/liver-prevention-pdq" TargetMode="External"/><Relationship Id="rId124" Type="http://schemas.openxmlformats.org/officeDocument/2006/relationships/hyperlink" Target="https://www.cancer.gov/types/liver/hp/liver-prevention-pdq" TargetMode="External"/><Relationship Id="rId129" Type="http://schemas.openxmlformats.org/officeDocument/2006/relationships/hyperlink" Target="https://www.cancer.gov/types/liver/hp/liver-prevention-pdq" TargetMode="External"/><Relationship Id="rId54" Type="http://schemas.openxmlformats.org/officeDocument/2006/relationships/hyperlink" Target="https://www.cancer.gov/types/liver/hp/liver-prevention-pdq" TargetMode="External"/><Relationship Id="rId70" Type="http://schemas.openxmlformats.org/officeDocument/2006/relationships/hyperlink" Target="https://www.cancer.gov/types/liver/hp/liver-prevention-pdq" TargetMode="External"/><Relationship Id="rId75" Type="http://schemas.openxmlformats.org/officeDocument/2006/relationships/hyperlink" Target="https://www.cancer.gov/types/liver/hp/liver-prevention-pdq" TargetMode="External"/><Relationship Id="rId91" Type="http://schemas.openxmlformats.org/officeDocument/2006/relationships/hyperlink" Target="https://www.cancer.gov/types/liver/hp/liver-prevention-pdq" TargetMode="External"/><Relationship Id="rId96" Type="http://schemas.openxmlformats.org/officeDocument/2006/relationships/hyperlink" Target="https://www.cancer.gov/types/liver/hp/liver-prevention-pdq" TargetMode="External"/><Relationship Id="rId1" Type="http://schemas.openxmlformats.org/officeDocument/2006/relationships/numbering" Target="numbering.xml"/><Relationship Id="rId6" Type="http://schemas.openxmlformats.org/officeDocument/2006/relationships/hyperlink" Target="https://www.cancer.gov/types/liver/hp/adult-liver-treatment-pdq" TargetMode="External"/><Relationship Id="rId23" Type="http://schemas.openxmlformats.org/officeDocument/2006/relationships/hyperlink" Target="https://www.cancer.gov/types/liver/hp/adult-liver-treatment-pdq" TargetMode="External"/><Relationship Id="rId28" Type="http://schemas.openxmlformats.org/officeDocument/2006/relationships/hyperlink" Target="https://www.cancer.gov/types/liver/hp/adult-liver-treatment-pdq" TargetMode="External"/><Relationship Id="rId49" Type="http://schemas.openxmlformats.org/officeDocument/2006/relationships/hyperlink" Target="https://www.cancer.gov/types/liver/hp/liver-prevention-pdq" TargetMode="External"/><Relationship Id="rId114" Type="http://schemas.openxmlformats.org/officeDocument/2006/relationships/hyperlink" Target="https://www.cancer.gov/types/liver/hp/liver-prevention-pdq" TargetMode="External"/><Relationship Id="rId119" Type="http://schemas.openxmlformats.org/officeDocument/2006/relationships/hyperlink" Target="https://www.cancer.gov/types/liver/hp/liver-prevention-pdq" TargetMode="External"/><Relationship Id="rId44" Type="http://schemas.openxmlformats.org/officeDocument/2006/relationships/hyperlink" Target="https://www.cancer.gov/types/liver/hp/liver-prevention-pdq" TargetMode="External"/><Relationship Id="rId60" Type="http://schemas.openxmlformats.org/officeDocument/2006/relationships/hyperlink" Target="https://www.cancer.gov/types/liver/hp/liver-prevention-pdq" TargetMode="External"/><Relationship Id="rId65" Type="http://schemas.openxmlformats.org/officeDocument/2006/relationships/hyperlink" Target="https://www.cancer.gov/types/liver/hp/liver-prevention-pdq" TargetMode="External"/><Relationship Id="rId81" Type="http://schemas.openxmlformats.org/officeDocument/2006/relationships/hyperlink" Target="https://www.cancer.gov/types/liver/hp/liver-prevention-pdq" TargetMode="External"/><Relationship Id="rId86" Type="http://schemas.openxmlformats.org/officeDocument/2006/relationships/hyperlink" Target="https://www.cancer.gov/types/liver/hp/liver-prevention-pdq" TargetMode="External"/><Relationship Id="rId130" Type="http://schemas.openxmlformats.org/officeDocument/2006/relationships/hyperlink" Target="https://www.cancer.gov/types/liver/hp/liver-prevention-pdq" TargetMode="External"/><Relationship Id="rId135" Type="http://schemas.openxmlformats.org/officeDocument/2006/relationships/hyperlink" Target="https://www.cancer.gov/types/liver/hp/liver-prevention-pdq" TargetMode="External"/><Relationship Id="rId13" Type="http://schemas.openxmlformats.org/officeDocument/2006/relationships/hyperlink" Target="https://www.cancer.gov/types/liver/hp/adult-liver-treatment-pdq" TargetMode="External"/><Relationship Id="rId18" Type="http://schemas.openxmlformats.org/officeDocument/2006/relationships/hyperlink" Target="https://www.cancer.gov/types/liver/hp/adult-liver-treatment-pdq" TargetMode="External"/><Relationship Id="rId39" Type="http://schemas.openxmlformats.org/officeDocument/2006/relationships/hyperlink" Target="https://www.cancer.gov/types/liver/hp/liver-prevention-pdq" TargetMode="External"/><Relationship Id="rId109" Type="http://schemas.openxmlformats.org/officeDocument/2006/relationships/hyperlink" Target="https://www.cancer.gov/types/liver/hp/liver-prevention-pdq" TargetMode="External"/><Relationship Id="rId34" Type="http://schemas.openxmlformats.org/officeDocument/2006/relationships/hyperlink" Target="https://www.cancer.gov/types/liver/hp/liver-prevention-pdq" TargetMode="External"/><Relationship Id="rId50" Type="http://schemas.openxmlformats.org/officeDocument/2006/relationships/hyperlink" Target="https://www.cancer.gov/types/liver/hp/liver-prevention-pdq" TargetMode="External"/><Relationship Id="rId55" Type="http://schemas.openxmlformats.org/officeDocument/2006/relationships/hyperlink" Target="https://www.cancer.gov/types/liver/hp/liver-prevention-pdq" TargetMode="External"/><Relationship Id="rId76" Type="http://schemas.openxmlformats.org/officeDocument/2006/relationships/hyperlink" Target="https://www.cancer.gov/types/liver/hp/liver-prevention-pdq" TargetMode="External"/><Relationship Id="rId97" Type="http://schemas.openxmlformats.org/officeDocument/2006/relationships/hyperlink" Target="https://www.cancer.gov/types/liver/hp/liver-prevention-pdq" TargetMode="External"/><Relationship Id="rId104" Type="http://schemas.openxmlformats.org/officeDocument/2006/relationships/hyperlink" Target="https://www.cancer.gov/types/liver/hp/liver-prevention-pdq" TargetMode="External"/><Relationship Id="rId120" Type="http://schemas.openxmlformats.org/officeDocument/2006/relationships/hyperlink" Target="https://www.cancer.gov/types/liver/hp/liver-prevention-pdq" TargetMode="External"/><Relationship Id="rId125" Type="http://schemas.openxmlformats.org/officeDocument/2006/relationships/hyperlink" Target="https://www.cancer.gov/types/liver/hp/liver-prevention-pdq" TargetMode="External"/><Relationship Id="rId7" Type="http://schemas.openxmlformats.org/officeDocument/2006/relationships/hyperlink" Target="https://www.cancer.gov/types/liver/hp/adult-liver-treatment-pdq" TargetMode="External"/><Relationship Id="rId71" Type="http://schemas.openxmlformats.org/officeDocument/2006/relationships/hyperlink" Target="https://www.cancer.gov/types/liver/hp/liver-prevention-pdq" TargetMode="External"/><Relationship Id="rId92" Type="http://schemas.openxmlformats.org/officeDocument/2006/relationships/hyperlink" Target="https://www.cancer.gov/types/liver/hp/liver-prevention-pdq" TargetMode="External"/><Relationship Id="rId2" Type="http://schemas.openxmlformats.org/officeDocument/2006/relationships/styles" Target="styles.xml"/><Relationship Id="rId29" Type="http://schemas.openxmlformats.org/officeDocument/2006/relationships/hyperlink" Target="https://www.cancer.gov/types/liver/hp/adult-liver-treatment-pdq" TargetMode="External"/><Relationship Id="rId24" Type="http://schemas.openxmlformats.org/officeDocument/2006/relationships/hyperlink" Target="https://www.cancer.gov/types/liver/hp/adult-liver-treatment-pdq" TargetMode="External"/><Relationship Id="rId40" Type="http://schemas.openxmlformats.org/officeDocument/2006/relationships/hyperlink" Target="https://www.cancer.gov/types/liver/hp/liver-prevention-pdq" TargetMode="External"/><Relationship Id="rId45" Type="http://schemas.openxmlformats.org/officeDocument/2006/relationships/hyperlink" Target="https://www.cancer.gov/types/liver/hp/liver-prevention-pdq" TargetMode="External"/><Relationship Id="rId66" Type="http://schemas.openxmlformats.org/officeDocument/2006/relationships/hyperlink" Target="https://www.cancer.gov/types/liver/hp/liver-prevention-pdq" TargetMode="External"/><Relationship Id="rId87" Type="http://schemas.openxmlformats.org/officeDocument/2006/relationships/hyperlink" Target="https://www.cancer.gov/types/liver/hp/liver-prevention-pdq" TargetMode="External"/><Relationship Id="rId110" Type="http://schemas.openxmlformats.org/officeDocument/2006/relationships/hyperlink" Target="https://www.cancer.gov/types/liver/hp/liver-prevention-pdq" TargetMode="External"/><Relationship Id="rId115" Type="http://schemas.openxmlformats.org/officeDocument/2006/relationships/hyperlink" Target="https://www.cancer.gov/types/liver/hp/liver-prevention-pdq" TargetMode="External"/><Relationship Id="rId131" Type="http://schemas.openxmlformats.org/officeDocument/2006/relationships/hyperlink" Target="https://www.cancer.gov/types/liver/hp/liver-prevention-pdq" TargetMode="External"/><Relationship Id="rId136" Type="http://schemas.openxmlformats.org/officeDocument/2006/relationships/hyperlink" Target="https://www.cancer.gov/types/liver/hp/liver-prevention-pdq" TargetMode="External"/><Relationship Id="rId61" Type="http://schemas.openxmlformats.org/officeDocument/2006/relationships/hyperlink" Target="https://www.cancer.gov/types/liver/hp/liver-prevention-pdq" TargetMode="External"/><Relationship Id="rId82" Type="http://schemas.openxmlformats.org/officeDocument/2006/relationships/hyperlink" Target="https://www.cancer.gov/types/liver/hp/liver-prevention-pdq" TargetMode="External"/><Relationship Id="rId19" Type="http://schemas.openxmlformats.org/officeDocument/2006/relationships/hyperlink" Target="https://www.cancer.gov/types/liver/hp/adult-liver-treatment-pdq" TargetMode="External"/><Relationship Id="rId14" Type="http://schemas.openxmlformats.org/officeDocument/2006/relationships/hyperlink" Target="https://www.cancer.gov/types/liver/hp/adult-liver-treatment-pdq" TargetMode="External"/><Relationship Id="rId30" Type="http://schemas.openxmlformats.org/officeDocument/2006/relationships/hyperlink" Target="https://www.cancer.gov/types/liver/hp/liver-prevention-pdq" TargetMode="External"/><Relationship Id="rId35" Type="http://schemas.openxmlformats.org/officeDocument/2006/relationships/hyperlink" Target="https://www.cancer.gov/types/liver/hp/liver-prevention-pdq" TargetMode="External"/><Relationship Id="rId56" Type="http://schemas.openxmlformats.org/officeDocument/2006/relationships/hyperlink" Target="https://www.cancer.gov/types/liver/hp/liver-prevention-pdq" TargetMode="External"/><Relationship Id="rId77" Type="http://schemas.openxmlformats.org/officeDocument/2006/relationships/hyperlink" Target="https://www.cancer.gov/types/liver/hp/liver-prevention-pdq" TargetMode="External"/><Relationship Id="rId100" Type="http://schemas.openxmlformats.org/officeDocument/2006/relationships/hyperlink" Target="https://www.cancer.gov/types/liver/hp/liver-prevention-pdq" TargetMode="External"/><Relationship Id="rId105" Type="http://schemas.openxmlformats.org/officeDocument/2006/relationships/hyperlink" Target="https://www.cancer.gov/types/liver/hp/liver-prevention-pdq" TargetMode="External"/><Relationship Id="rId126" Type="http://schemas.openxmlformats.org/officeDocument/2006/relationships/hyperlink" Target="https://www.cancer.gov/types/liver/hp/liver-prevention-pdq" TargetMode="External"/><Relationship Id="rId8" Type="http://schemas.openxmlformats.org/officeDocument/2006/relationships/hyperlink" Target="https://www.cancer.gov/types/liver/hp/adult-liver-treatment-pdq" TargetMode="External"/><Relationship Id="rId51" Type="http://schemas.openxmlformats.org/officeDocument/2006/relationships/hyperlink" Target="https://www.cancer.gov/types/liver/hp/liver-prevention-pdq" TargetMode="External"/><Relationship Id="rId72" Type="http://schemas.openxmlformats.org/officeDocument/2006/relationships/hyperlink" Target="https://www.cancer.gov/types/liver/hp/liver-prevention-pdq" TargetMode="External"/><Relationship Id="rId93" Type="http://schemas.openxmlformats.org/officeDocument/2006/relationships/hyperlink" Target="https://www.cancer.gov/types/liver/hp/liver-prevention-pdq" TargetMode="External"/><Relationship Id="rId98" Type="http://schemas.openxmlformats.org/officeDocument/2006/relationships/hyperlink" Target="https://www.cancer.gov/types/liver/hp/liver-prevention-pdq" TargetMode="External"/><Relationship Id="rId121" Type="http://schemas.openxmlformats.org/officeDocument/2006/relationships/hyperlink" Target="https://www.cancer.gov/types/liver/hp/liver-prevention-pdq" TargetMode="External"/><Relationship Id="rId3" Type="http://schemas.openxmlformats.org/officeDocument/2006/relationships/settings" Target="settings.xml"/><Relationship Id="rId25" Type="http://schemas.openxmlformats.org/officeDocument/2006/relationships/hyperlink" Target="https://www.cancer.gov/types/liver/hp/adult-liver-treatment-pdq" TargetMode="External"/><Relationship Id="rId46" Type="http://schemas.openxmlformats.org/officeDocument/2006/relationships/hyperlink" Target="https://www.cancer.gov/types/liver/hp/liver-prevention-pdq" TargetMode="External"/><Relationship Id="rId67" Type="http://schemas.openxmlformats.org/officeDocument/2006/relationships/hyperlink" Target="https://www.cancer.gov/types/liver/hp/liver-prevention-pdq" TargetMode="External"/><Relationship Id="rId116" Type="http://schemas.openxmlformats.org/officeDocument/2006/relationships/hyperlink" Target="https://www.cancer.gov/types/liver/hp/liver-prevention-pdq" TargetMode="External"/><Relationship Id="rId137" Type="http://schemas.openxmlformats.org/officeDocument/2006/relationships/fontTable" Target="fontTable.xml"/><Relationship Id="rId20" Type="http://schemas.openxmlformats.org/officeDocument/2006/relationships/hyperlink" Target="https://www.cancer.gov/types/liver/hp/adult-liver-treatment-pdq" TargetMode="External"/><Relationship Id="rId41" Type="http://schemas.openxmlformats.org/officeDocument/2006/relationships/hyperlink" Target="https://www.cancer.gov/types/liver/hp/liver-prevention-pdq" TargetMode="External"/><Relationship Id="rId62" Type="http://schemas.openxmlformats.org/officeDocument/2006/relationships/hyperlink" Target="https://www.cancer.gov/types/liver/hp/liver-prevention-pdq" TargetMode="External"/><Relationship Id="rId83" Type="http://schemas.openxmlformats.org/officeDocument/2006/relationships/hyperlink" Target="https://www.cancer.gov/types/liver/hp/liver-prevention-pdq" TargetMode="External"/><Relationship Id="rId88" Type="http://schemas.openxmlformats.org/officeDocument/2006/relationships/hyperlink" Target="https://www.cancer.gov/types/liver/hp/liver-prevention-pdq" TargetMode="External"/><Relationship Id="rId111" Type="http://schemas.openxmlformats.org/officeDocument/2006/relationships/hyperlink" Target="https://www.cancer.gov/types/liver/hp/liver-prevention-pdq" TargetMode="External"/><Relationship Id="rId132" Type="http://schemas.openxmlformats.org/officeDocument/2006/relationships/hyperlink" Target="https://www.cancer.gov/types/liver/hp/liver-prevention-pdq" TargetMode="External"/><Relationship Id="rId15" Type="http://schemas.openxmlformats.org/officeDocument/2006/relationships/hyperlink" Target="https://www.cancer.gov/types/liver/hp/adult-liver-treatment-pdq" TargetMode="External"/><Relationship Id="rId36" Type="http://schemas.openxmlformats.org/officeDocument/2006/relationships/hyperlink" Target="https://www.cancer.gov/types/liver/hp/liver-prevention-pdq" TargetMode="External"/><Relationship Id="rId57" Type="http://schemas.openxmlformats.org/officeDocument/2006/relationships/hyperlink" Target="https://www.cancer.gov/types/liver/hp/liver-prevention-pdq" TargetMode="External"/><Relationship Id="rId106" Type="http://schemas.openxmlformats.org/officeDocument/2006/relationships/hyperlink" Target="https://www.cancer.gov/types/liver/hp/liver-prevention-pdq" TargetMode="External"/><Relationship Id="rId127" Type="http://schemas.openxmlformats.org/officeDocument/2006/relationships/hyperlink" Target="https://www.cancer.gov/types/liver/hp/liver-prevention-pdq" TargetMode="External"/><Relationship Id="rId10" Type="http://schemas.openxmlformats.org/officeDocument/2006/relationships/hyperlink" Target="https://www.cancer.gov/types/liver/hp/adult-liver-treatment-pdq" TargetMode="External"/><Relationship Id="rId31" Type="http://schemas.openxmlformats.org/officeDocument/2006/relationships/hyperlink" Target="https://www.cancer.gov/types/liver/hp/liver-prevention-pdq" TargetMode="External"/><Relationship Id="rId52" Type="http://schemas.openxmlformats.org/officeDocument/2006/relationships/hyperlink" Target="https://www.cancer.gov/types/liver/hp/liver-prevention-pdq" TargetMode="External"/><Relationship Id="rId73" Type="http://schemas.openxmlformats.org/officeDocument/2006/relationships/hyperlink" Target="https://www.cancer.gov/types/liver/hp/liver-prevention-pdq" TargetMode="External"/><Relationship Id="rId78" Type="http://schemas.openxmlformats.org/officeDocument/2006/relationships/hyperlink" Target="https://www.cancer.gov/types/liver/hp/liver-prevention-pdq" TargetMode="External"/><Relationship Id="rId94" Type="http://schemas.openxmlformats.org/officeDocument/2006/relationships/hyperlink" Target="https://www.cancer.gov/types/liver/hp/liver-prevention-pdq" TargetMode="External"/><Relationship Id="rId99" Type="http://schemas.openxmlformats.org/officeDocument/2006/relationships/hyperlink" Target="https://www.cancer.gov/types/liver/hp/liver-prevention-pdq" TargetMode="External"/><Relationship Id="rId101" Type="http://schemas.openxmlformats.org/officeDocument/2006/relationships/hyperlink" Target="https://www.cancer.gov/types/liver/hp/liver-prevention-pdq" TargetMode="External"/><Relationship Id="rId122" Type="http://schemas.openxmlformats.org/officeDocument/2006/relationships/hyperlink" Target="https://www.cancer.gov/types/liver/hp/liver-prevention-pdq" TargetMode="External"/><Relationship Id="rId4" Type="http://schemas.openxmlformats.org/officeDocument/2006/relationships/webSettings" Target="webSettings.xml"/><Relationship Id="rId9" Type="http://schemas.openxmlformats.org/officeDocument/2006/relationships/hyperlink" Target="https://www.cancer.gov/types/liver/hp/adult-liver-treatment-pdq" TargetMode="External"/><Relationship Id="rId26" Type="http://schemas.openxmlformats.org/officeDocument/2006/relationships/hyperlink" Target="https://www.cancer.gov/types/liver/hp/adult-liver-treatment-pdq" TargetMode="External"/><Relationship Id="rId47" Type="http://schemas.openxmlformats.org/officeDocument/2006/relationships/hyperlink" Target="https://www.cancer.gov/types/liver/hp/liver-prevention-pdq" TargetMode="External"/><Relationship Id="rId68" Type="http://schemas.openxmlformats.org/officeDocument/2006/relationships/hyperlink" Target="https://www.cancer.gov/types/liver/hp/liver-prevention-pdq" TargetMode="External"/><Relationship Id="rId89" Type="http://schemas.openxmlformats.org/officeDocument/2006/relationships/hyperlink" Target="https://www.cancer.gov/types/liver/hp/liver-prevention-pdq" TargetMode="External"/><Relationship Id="rId112" Type="http://schemas.openxmlformats.org/officeDocument/2006/relationships/hyperlink" Target="https://www.cancer.gov/types/liver/hp/liver-prevention-pdq" TargetMode="External"/><Relationship Id="rId133" Type="http://schemas.openxmlformats.org/officeDocument/2006/relationships/hyperlink" Target="https://www.cancer.gov/types/liver/hp/liver-prevention-p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5420</Words>
  <Characters>30897</Characters>
  <Application>Microsoft Office Word</Application>
  <DocSecurity>0</DocSecurity>
  <Lines>257</Lines>
  <Paragraphs>72</Paragraphs>
  <ScaleCrop>false</ScaleCrop>
  <Company/>
  <LinksUpToDate>false</LinksUpToDate>
  <CharactersWithSpaces>36245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Sivaraja Vaithiyalingam</dc:creator>
  <cp:keywords/>
  <dc:description/>
  <cp:lastModifiedBy>Sivaraja Vaithiyalingam</cp:lastModifiedBy>
  <cp:revision>3</cp:revision>
  <dcterms:created xsi:type="dcterms:W3CDTF">2026-06-18T04:37:00Z</dcterms:created>
  <dcterms:modified xsi:type="dcterms:W3CDTF">2026-06-18T04:57:00Z</dcterms:modified>
</cp:coreProperties>
</file>