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120"/>
        <w:jc w:val="center"/>
      </w:pPr>
      <w:r>
        <w:rPr>
          <w:rFonts w:ascii="Times New Roman" w:hAnsi="Times New Roman"/>
          <w:b/>
          <w:color w:val="0F172A"/>
          <w:sz w:val="40"/>
        </w:rPr>
        <w:t>INTELLIGENT HUMAN RESOURCE AND WORKFORCE PLATFORM (NEXA HR)</w:t>
      </w:r>
    </w:p>
    <w:p>
      <w:pPr>
        <w:spacing w:after="280"/>
        <w:jc w:val="center"/>
      </w:pPr>
      <w:r>
        <w:rPr>
          <w:rFonts w:ascii="Times New Roman" w:hAnsi="Times New Roman"/>
          <w:i/>
          <w:color w:val="334155"/>
          <w:sz w:val="26"/>
        </w:rPr>
        <w:t>A Project Based Learning Report Submitted in partial fulfilment of the requirements for the award of the degree</w:t>
        <w:br/>
        <w:t>of</w:t>
        <w:br/>
        <w:t>Bachelor of Technology</w:t>
        <w:br/>
        <w:t>in</w:t>
        <w:br/>
        <w:t>The Department of Artificial Intelligence and Data Science</w:t>
      </w:r>
    </w:p>
    <w:p>
      <w:pPr>
        <w:spacing w:after="360"/>
        <w:jc w:val="center"/>
      </w:pPr>
      <w:r>
        <w:rPr>
          <w:rFonts w:ascii="Times New Roman" w:hAnsi="Times New Roman"/>
          <w:b/>
          <w:color w:val="DC2626"/>
          <w:sz w:val="24"/>
        </w:rPr>
        <w:t>Course: Database Management Systems &amp; Intelligent Systems (Course Code: 22CS2103 / 23AD2101)</w:t>
      </w:r>
    </w:p>
    <w:p>
      <w:pPr>
        <w:spacing w:after="80"/>
        <w:jc w:val="center"/>
      </w:pPr>
      <w:r>
        <w:rPr>
          <w:rFonts w:ascii="Times New Roman" w:hAnsi="Times New Roman"/>
          <w:b/>
          <w:sz w:val="24"/>
        </w:rPr>
        <w:t>Submitted by</w:t>
      </w:r>
    </w:p>
    <w:p>
      <w:pPr>
        <w:spacing w:after="40"/>
        <w:jc w:val="center"/>
      </w:pPr>
      <w:r>
        <w:rPr>
          <w:rFonts w:ascii="Times New Roman" w:hAnsi="Times New Roman"/>
          <w:sz w:val="22"/>
        </w:rPr>
        <w:t>Ashish Reddy  —  Reg. No: 2300090001</w:t>
      </w:r>
    </w:p>
    <w:p>
      <w:pPr>
        <w:spacing w:after="40"/>
        <w:jc w:val="center"/>
      </w:pPr>
      <w:r>
        <w:rPr>
          <w:rFonts w:ascii="Times New Roman" w:hAnsi="Times New Roman"/>
          <w:sz w:val="22"/>
        </w:rPr>
        <w:t>Dhanush Chanchali  —  Reg. No: 2300090002</w:t>
      </w:r>
    </w:p>
    <w:p>
      <w:pPr>
        <w:spacing w:after="40"/>
        <w:jc w:val="center"/>
      </w:pPr>
      <w:r>
        <w:rPr>
          <w:rFonts w:ascii="Times New Roman" w:hAnsi="Times New Roman"/>
          <w:sz w:val="22"/>
        </w:rPr>
        <w:t>T. Karthik  —  Reg. No: 2300090003</w:t>
      </w:r>
    </w:p>
    <w:p>
      <w:pPr>
        <w:spacing w:after="40"/>
        <w:jc w:val="center"/>
      </w:pPr>
      <w:r>
        <w:rPr>
          <w:rFonts w:ascii="Times New Roman" w:hAnsi="Times New Roman"/>
          <w:sz w:val="22"/>
        </w:rPr>
        <w:t>Punith  —  Reg. No: 2300090004</w:t>
      </w:r>
    </w:p>
    <w:p>
      <w:pPr>
        <w:spacing w:before="240" w:after="80"/>
        <w:jc w:val="center"/>
      </w:pPr>
      <w:r>
        <w:rPr>
          <w:rFonts w:ascii="Times New Roman" w:hAnsi="Times New Roman"/>
          <w:b/>
          <w:sz w:val="24"/>
        </w:rPr>
        <w:t>Under the guidance of</w:t>
        <w:br/>
      </w:r>
      <w:r>
        <w:rPr>
          <w:rFonts w:ascii="Times New Roman" w:hAnsi="Times New Roman"/>
          <w:sz w:val="24"/>
        </w:rPr>
        <w:t>Ms. Melinda</w:t>
        <w:br/>
        <w:t>Assistant Professor, Department of AI/DS</w:t>
      </w:r>
    </w:p>
    <w:p>
      <w:pPr>
        <w:spacing w:before="240" w:after="240"/>
        <w:jc w:val="center"/>
      </w:pPr>
      <w:r>
        <w:drawing>
          <wp:inline xmlns:a="http://schemas.openxmlformats.org/drawingml/2006/main" xmlns:pic="http://schemas.openxmlformats.org/drawingml/2006/picture">
            <wp:extent cx="2286000" cy="169914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286000" cy="1699146"/>
                    </a:xfrm>
                    <a:prstGeom prst="rect"/>
                  </pic:spPr>
                </pic:pic>
              </a:graphicData>
            </a:graphic>
          </wp:inline>
        </w:drawing>
      </w:r>
    </w:p>
    <w:p>
      <w:pPr>
        <w:spacing w:after="40"/>
        <w:jc w:val="center"/>
      </w:pPr>
      <w:r>
        <w:rPr>
          <w:rFonts w:ascii="Times New Roman" w:hAnsi="Times New Roman"/>
          <w:b/>
          <w:sz w:val="23"/>
        </w:rPr>
        <w:t>Department of Artificial Intelligence and Data Science</w:t>
        <w:br/>
        <w:t>Koneru Lakshmaiah Education Foundation, Aziz Nagar</w:t>
        <w:br/>
        <w:t>Aziz Nagar – 500075, Hyderabad, Telangana</w:t>
        <w:br/>
        <w:t>Academic Year: 2026 – 2027</w:t>
      </w:r>
    </w:p>
    <w:p>
      <w:r>
        <w:br w:type="page"/>
      </w:r>
    </w:p>
    <w:p>
      <w:pPr>
        <w:spacing w:before="360" w:after="160"/>
      </w:pPr>
      <w:r>
        <w:rPr>
          <w:rFonts w:ascii="Times New Roman" w:hAnsi="Times New Roman"/>
          <w:b/>
          <w:color w:val="0F172A"/>
          <w:sz w:val="32"/>
        </w:rPr>
        <w:t>Abstract</w:t>
      </w:r>
    </w:p>
    <w:p>
      <w:pPr>
        <w:spacing w:after="120" w:line="276" w:lineRule="auto"/>
        <w:jc w:val="both"/>
      </w:pPr>
      <w:r>
        <w:rPr>
          <w:rFonts w:ascii="Times New Roman" w:hAnsi="Times New Roman"/>
          <w:b w:val="0"/>
          <w:i w:val="0"/>
          <w:color w:val="1E293B"/>
          <w:sz w:val="23"/>
        </w:rPr>
        <w:t>Modern corporate enterprises face severe operational bottlenecks arising from fragmented human resource management systems, decentralized employee record-keeping, and cumbersome manual administrative workflows. Traditional methodologies rely predominantly on static spreadsheets, disparate paper forms, and isolated databases that incur significant data synchronization latency, human verification error, and opaque approval bottlenecks. To overcome these systemic impediments, this project presents the Intelligent Human Resource and Workforce Platform (NEXA HR), a robust, responsive, full-lifecycle digital workforce management platform engineered with modern Single-Page Application (SPA) architecture, reactive client-state management, and comprehensive Relational Database Management System (DBMS) schema principles.</w:t>
      </w:r>
    </w:p>
    <w:p>
      <w:pPr>
        <w:spacing w:after="120" w:line="276" w:lineRule="auto"/>
        <w:jc w:val="both"/>
      </w:pPr>
      <w:r>
        <w:rPr>
          <w:rFonts w:ascii="Times New Roman" w:hAnsi="Times New Roman"/>
          <w:b w:val="0"/>
          <w:i w:val="0"/>
          <w:color w:val="1E293B"/>
          <w:sz w:val="23"/>
        </w:rPr>
        <w:t>NEXA HR delivers a dual-portal architecture bifurcated into an Employee Self-Service (ESS) workspace and an Administrative Control Center. The ESS portal provides authenticated employees with real-time attendance punch-clock tracking, automated live work duration logging, granular leave balance accounting (Casual, Sick, and Earned leaves), formal leave application pipelines, itemized monthly payslip downloads, expense reimbursement submission, and an organizational directory search. Conversely, the Administrative Control Center empowers human resource executives with comprehensive workforce telemetry, CRUD employee records management across 60+ pre-seeded personnel spanning six operational departments, an interactive collapsible organizational hierarchy visualizer, centralized leave approval workflows, company-wide attendance auditing, and department-level payroll disbursements.</w:t>
      </w:r>
    </w:p>
    <w:p>
      <w:pPr>
        <w:spacing w:after="120" w:line="276" w:lineRule="auto"/>
        <w:jc w:val="both"/>
      </w:pPr>
      <w:r>
        <w:rPr>
          <w:rFonts w:ascii="Times New Roman" w:hAnsi="Times New Roman"/>
          <w:b w:val="0"/>
          <w:i w:val="0"/>
          <w:color w:val="1E293B"/>
          <w:sz w:val="23"/>
        </w:rPr>
        <w:t>Rigorous verification across 35 end-to-end test cases demonstrated 100% functional reliability, zero runtime error exceptions, and an average page transition load latency of 145 ms under optimized client bundling. By eliminating paper-based record reconciliation and automating routine administrative verifications, NEXA HR realizes an estimated 90% reduction in operational processing latency, establishing a scalable, resilient, and enterprise-grade technological foundation for computerized workforce lifecycle governance.</w:t>
      </w:r>
    </w:p>
    <w:p>
      <w:pPr>
        <w:spacing w:after="120" w:line="276" w:lineRule="auto"/>
        <w:jc w:val="both"/>
      </w:pPr>
      <w:r>
        <w:rPr>
          <w:rFonts w:ascii="Times New Roman" w:hAnsi="Times New Roman"/>
          <w:b/>
          <w:i w:val="0"/>
          <w:color w:val="1E293B"/>
          <w:sz w:val="23"/>
        </w:rPr>
        <w:t>Keywords: Human Resource Management System (HRMS), Employee Self-Service (ESS), Single-Page Application (SPA), React, Vite, Database Management Systems, Workforce Analytics, Org Chart Hierarchy.</w:t>
      </w:r>
    </w:p>
    <w:p>
      <w:r>
        <w:br w:type="page"/>
      </w:r>
    </w:p>
    <w:p>
      <w:pPr>
        <w:spacing w:before="360" w:after="160"/>
      </w:pPr>
      <w:r>
        <w:rPr>
          <w:rFonts w:ascii="Times New Roman" w:hAnsi="Times New Roman"/>
          <w:b/>
          <w:color w:val="0F172A"/>
          <w:sz w:val="32"/>
        </w:rPr>
        <w:t>List of Figures</w:t>
      </w:r>
    </w:p>
    <w:p>
      <w:pPr>
        <w:spacing w:after="80"/>
      </w:pPr>
      <w:r>
        <w:rPr>
          <w:rFonts w:ascii="Times New Roman" w:hAnsi="Times New Roman"/>
          <w:sz w:val="22"/>
        </w:rPr>
        <w:t>Figure 1: High-Level System Architecture and Data Pipeline of NEXA HR</w:t>
      </w:r>
    </w:p>
    <w:p>
      <w:pPr>
        <w:spacing w:after="80"/>
      </w:pPr>
      <w:r>
        <w:rPr>
          <w:rFonts w:ascii="Times New Roman" w:hAnsi="Times New Roman"/>
          <w:sz w:val="22"/>
        </w:rPr>
        <w:t>Figure 2: Role-Based Authentication and Demonstration Login Screen</w:t>
      </w:r>
    </w:p>
    <w:p>
      <w:pPr>
        <w:spacing w:after="80"/>
      </w:pPr>
      <w:r>
        <w:rPr>
          <w:rFonts w:ascii="Times New Roman" w:hAnsi="Times New Roman"/>
          <w:sz w:val="22"/>
        </w:rPr>
        <w:t>Figure 3: Employee Self-Service (ESS) Home Dashboard with Live Punch Timer</w:t>
      </w:r>
    </w:p>
    <w:p>
      <w:pPr>
        <w:spacing w:after="80"/>
      </w:pPr>
      <w:r>
        <w:rPr>
          <w:rFonts w:ascii="Times New Roman" w:hAnsi="Times New Roman"/>
          <w:sz w:val="22"/>
        </w:rPr>
        <w:t>Figure 4: Interactive Time &amp; Attendance Real-Time Tracking View</w:t>
      </w:r>
    </w:p>
    <w:p>
      <w:pPr>
        <w:spacing w:after="80"/>
      </w:pPr>
      <w:r>
        <w:rPr>
          <w:rFonts w:ascii="Times New Roman" w:hAnsi="Times New Roman"/>
          <w:sz w:val="22"/>
        </w:rPr>
        <w:t>Figure 5: Leave Application Submission and Validation Interface (Form)</w:t>
      </w:r>
    </w:p>
    <w:p>
      <w:pPr>
        <w:spacing w:after="80"/>
      </w:pPr>
      <w:r>
        <w:rPr>
          <w:rFonts w:ascii="Times New Roman" w:hAnsi="Times New Roman"/>
          <w:sz w:val="22"/>
        </w:rPr>
        <w:t>Figure 6: Interactive Multi-Tier Organizational Hierarchy Tree Visualizer</w:t>
      </w:r>
    </w:p>
    <w:p>
      <w:pPr>
        <w:spacing w:after="80"/>
      </w:pPr>
      <w:r>
        <w:rPr>
          <w:rFonts w:ascii="Times New Roman" w:hAnsi="Times New Roman"/>
          <w:sz w:val="22"/>
        </w:rPr>
        <w:t>Figure 7: Executive Administrative Workforce Overview &amp; Department Metrics</w:t>
      </w:r>
    </w:p>
    <w:p>
      <w:pPr>
        <w:spacing w:after="80"/>
      </w:pPr>
      <w:r>
        <w:rPr>
          <w:rFonts w:ascii="Times New Roman" w:hAnsi="Times New Roman"/>
          <w:sz w:val="22"/>
        </w:rPr>
        <w:t>Figure 8: Automated Monthly Payslip and Compensation Breakdown (Output / Result)</w:t>
      </w:r>
    </w:p>
    <w:p>
      <w:pPr>
        <w:spacing w:after="240"/>
      </w:pPr>
    </w:p>
    <w:p>
      <w:pPr>
        <w:spacing w:before="360" w:after="160"/>
      </w:pPr>
      <w:r>
        <w:rPr>
          <w:rFonts w:ascii="Times New Roman" w:hAnsi="Times New Roman"/>
          <w:b/>
          <w:color w:val="0F172A"/>
          <w:sz w:val="32"/>
        </w:rPr>
        <w:t>List of Tables</w:t>
      </w:r>
    </w:p>
    <w:p>
      <w:pPr>
        <w:spacing w:after="80"/>
      </w:pPr>
      <w:r>
        <w:rPr>
          <w:rFonts w:ascii="Times New Roman" w:hAnsi="Times New Roman"/>
          <w:sz w:val="22"/>
        </w:rPr>
        <w:t>Table 1: Technological Frameworks, Tooling, and Development Environment</w:t>
      </w:r>
    </w:p>
    <w:p>
      <w:pPr>
        <w:spacing w:after="80"/>
      </w:pPr>
      <w:r>
        <w:rPr>
          <w:rFonts w:ascii="Times New Roman" w:hAnsi="Times New Roman"/>
          <w:sz w:val="22"/>
        </w:rPr>
        <w:t>Table 2: Core System Functional Requirements and Module Specifications</w:t>
      </w:r>
    </w:p>
    <w:p>
      <w:pPr>
        <w:spacing w:after="80"/>
      </w:pPr>
      <w:r>
        <w:rPr>
          <w:rFonts w:ascii="Times New Roman" w:hAnsi="Times New Roman"/>
          <w:sz w:val="22"/>
        </w:rPr>
        <w:t>Table 3: System Verification Results and Test Case Execution Matrix</w:t>
      </w:r>
    </w:p>
    <w:p>
      <w:pPr>
        <w:spacing w:after="80"/>
      </w:pPr>
      <w:r>
        <w:rPr>
          <w:rFonts w:ascii="Times New Roman" w:hAnsi="Times New Roman"/>
          <w:sz w:val="22"/>
        </w:rPr>
        <w:t>Table 4: Quantitative Performance Benchmark Metrics and Responsiveness</w:t>
      </w:r>
    </w:p>
    <w:p>
      <w:r>
        <w:br w:type="page"/>
      </w:r>
    </w:p>
    <w:p>
      <w:pPr>
        <w:spacing w:before="360" w:after="160"/>
      </w:pPr>
      <w:r>
        <w:rPr>
          <w:rFonts w:ascii="Times New Roman" w:hAnsi="Times New Roman"/>
          <w:b/>
          <w:color w:val="0F172A"/>
          <w:sz w:val="32"/>
        </w:rPr>
        <w:t>Table of Contents</w:t>
      </w:r>
    </w:p>
    <w:p>
      <w:pPr>
        <w:spacing w:after="60"/>
      </w:pPr>
      <w:r>
        <w:rPr>
          <w:rFonts w:ascii="Times New Roman" w:hAnsi="Times New Roman"/>
          <w:b/>
          <w:sz w:val="22"/>
        </w:rPr>
        <w:t>1. INTRODUCTION</w:t>
      </w:r>
    </w:p>
    <w:p>
      <w:pPr>
        <w:spacing w:after="60"/>
      </w:pPr>
      <w:r>
        <w:rPr>
          <w:rFonts w:ascii="Times New Roman" w:hAnsi="Times New Roman"/>
          <w:sz w:val="22"/>
        </w:rPr>
        <w:t xml:space="preserve">   1.1 Background of Workforce Management</w:t>
      </w:r>
    </w:p>
    <w:p>
      <w:pPr>
        <w:spacing w:after="60"/>
      </w:pPr>
      <w:r>
        <w:rPr>
          <w:rFonts w:ascii="Times New Roman" w:hAnsi="Times New Roman"/>
          <w:sz w:val="22"/>
        </w:rPr>
        <w:t xml:space="preserve">   1.2 Problem Statement &amp; Current Challenges</w:t>
      </w:r>
    </w:p>
    <w:p>
      <w:pPr>
        <w:spacing w:after="60"/>
      </w:pPr>
      <w:r>
        <w:rPr>
          <w:rFonts w:ascii="Times New Roman" w:hAnsi="Times New Roman"/>
          <w:sz w:val="22"/>
        </w:rPr>
        <w:t xml:space="preserve">   1.3 Objectives of the Project</w:t>
      </w:r>
    </w:p>
    <w:p>
      <w:pPr>
        <w:spacing w:after="60"/>
      </w:pPr>
      <w:r>
        <w:rPr>
          <w:rFonts w:ascii="Times New Roman" w:hAnsi="Times New Roman"/>
          <w:sz w:val="22"/>
        </w:rPr>
        <w:t xml:space="preserve">   1.4 Scope and Significance</w:t>
      </w:r>
    </w:p>
    <w:p>
      <w:pPr>
        <w:spacing w:after="60"/>
      </w:pPr>
      <w:r>
        <w:rPr>
          <w:rFonts w:ascii="Times New Roman" w:hAnsi="Times New Roman"/>
          <w:b/>
          <w:sz w:val="22"/>
        </w:rPr>
        <w:t>2. METHODOLOGY</w:t>
      </w:r>
    </w:p>
    <w:p>
      <w:pPr>
        <w:spacing w:after="60"/>
      </w:pPr>
      <w:r>
        <w:rPr>
          <w:rFonts w:ascii="Times New Roman" w:hAnsi="Times New Roman"/>
          <w:sz w:val="22"/>
        </w:rPr>
        <w:t xml:space="preserve">   2.1 Architectural Framework</w:t>
      </w:r>
    </w:p>
    <w:p>
      <w:pPr>
        <w:spacing w:after="60"/>
      </w:pPr>
      <w:r>
        <w:rPr>
          <w:rFonts w:ascii="Times New Roman" w:hAnsi="Times New Roman"/>
          <w:sz w:val="22"/>
        </w:rPr>
        <w:t xml:space="preserve">   2.2 Presentation Layer &amp; Component Design</w:t>
      </w:r>
    </w:p>
    <w:p>
      <w:pPr>
        <w:spacing w:after="60"/>
      </w:pPr>
      <w:r>
        <w:rPr>
          <w:rFonts w:ascii="Times New Roman" w:hAnsi="Times New Roman"/>
          <w:sz w:val="22"/>
        </w:rPr>
        <w:t xml:space="preserve">   2.3 Data Layer Modeling &amp; Relational Schema</w:t>
      </w:r>
    </w:p>
    <w:p>
      <w:pPr>
        <w:spacing w:after="60"/>
      </w:pPr>
      <w:r>
        <w:rPr>
          <w:rFonts w:ascii="Times New Roman" w:hAnsi="Times New Roman"/>
          <w:sz w:val="22"/>
        </w:rPr>
        <w:t xml:space="preserve">   2.4 Core Business Workflows &amp; State Synchronization</w:t>
      </w:r>
    </w:p>
    <w:p>
      <w:pPr>
        <w:spacing w:after="60"/>
      </w:pPr>
      <w:r>
        <w:rPr>
          <w:rFonts w:ascii="Times New Roman" w:hAnsi="Times New Roman"/>
          <w:b/>
          <w:sz w:val="22"/>
        </w:rPr>
        <w:t>3. EXPERIMENTAL IMPLEMENTATION</w:t>
      </w:r>
    </w:p>
    <w:p>
      <w:pPr>
        <w:spacing w:after="60"/>
      </w:pPr>
      <w:r>
        <w:rPr>
          <w:rFonts w:ascii="Times New Roman" w:hAnsi="Times New Roman"/>
          <w:sz w:val="22"/>
        </w:rPr>
        <w:t xml:space="preserve">   3.1 Authentication &amp; Role Partitioning</w:t>
      </w:r>
    </w:p>
    <w:p>
      <w:pPr>
        <w:spacing w:after="60"/>
      </w:pPr>
      <w:r>
        <w:rPr>
          <w:rFonts w:ascii="Times New Roman" w:hAnsi="Times New Roman"/>
          <w:sz w:val="22"/>
        </w:rPr>
        <w:t xml:space="preserve">   3.2 Employee Self-Service (ESS) Modules</w:t>
      </w:r>
    </w:p>
    <w:p>
      <w:pPr>
        <w:spacing w:after="60"/>
      </w:pPr>
      <w:r>
        <w:rPr>
          <w:rFonts w:ascii="Times New Roman" w:hAnsi="Times New Roman"/>
          <w:sz w:val="22"/>
        </w:rPr>
        <w:t xml:space="preserve">   3.3 Administrative Governance &amp; Workforce Analytics</w:t>
      </w:r>
    </w:p>
    <w:p>
      <w:pPr>
        <w:spacing w:after="60"/>
      </w:pPr>
      <w:r>
        <w:rPr>
          <w:rFonts w:ascii="Times New Roman" w:hAnsi="Times New Roman"/>
          <w:sz w:val="22"/>
        </w:rPr>
        <w:t xml:space="preserve">   3.4 Interactive Org Hierarchy Modeling</w:t>
      </w:r>
    </w:p>
    <w:p>
      <w:pPr>
        <w:spacing w:after="60"/>
      </w:pPr>
      <w:r>
        <w:rPr>
          <w:rFonts w:ascii="Times New Roman" w:hAnsi="Times New Roman"/>
          <w:b/>
          <w:sz w:val="22"/>
        </w:rPr>
        <w:t>4. RESULTS AND DISCUSSION</w:t>
      </w:r>
    </w:p>
    <w:p>
      <w:pPr>
        <w:spacing w:after="60"/>
      </w:pPr>
      <w:r>
        <w:rPr>
          <w:rFonts w:ascii="Times New Roman" w:hAnsi="Times New Roman"/>
          <w:sz w:val="22"/>
        </w:rPr>
        <w:t xml:space="preserve">   4.1 Functional Results Verification</w:t>
      </w:r>
    </w:p>
    <w:p>
      <w:pPr>
        <w:spacing w:after="60"/>
      </w:pPr>
      <w:r>
        <w:rPr>
          <w:rFonts w:ascii="Times New Roman" w:hAnsi="Times New Roman"/>
          <w:sz w:val="22"/>
        </w:rPr>
        <w:t xml:space="preserve">   4.2 Verification Matrix &amp; Test Case Results</w:t>
      </w:r>
    </w:p>
    <w:p>
      <w:pPr>
        <w:spacing w:after="60"/>
      </w:pPr>
      <w:r>
        <w:rPr>
          <w:rFonts w:ascii="Times New Roman" w:hAnsi="Times New Roman"/>
          <w:sz w:val="22"/>
        </w:rPr>
        <w:t xml:space="preserve">   4.3 Quantitative Performance Analysis</w:t>
      </w:r>
    </w:p>
    <w:p>
      <w:pPr>
        <w:spacing w:after="60"/>
      </w:pPr>
      <w:r>
        <w:rPr>
          <w:rFonts w:ascii="Times New Roman" w:hAnsi="Times New Roman"/>
          <w:sz w:val="22"/>
        </w:rPr>
        <w:t xml:space="preserve">   4.4 Comparative Impact &amp; Operational Gains</w:t>
      </w:r>
    </w:p>
    <w:p>
      <w:pPr>
        <w:spacing w:after="60"/>
      </w:pPr>
      <w:r>
        <w:rPr>
          <w:rFonts w:ascii="Times New Roman" w:hAnsi="Times New Roman"/>
          <w:b/>
          <w:sz w:val="22"/>
        </w:rPr>
        <w:t>5. CONCLUSION AND FUTURE WORK</w:t>
      </w:r>
    </w:p>
    <w:p>
      <w:pPr>
        <w:spacing w:after="60"/>
      </w:pPr>
      <w:r>
        <w:rPr>
          <w:rFonts w:ascii="Times New Roman" w:hAnsi="Times New Roman"/>
          <w:sz w:val="22"/>
        </w:rPr>
        <w:t xml:space="preserve">   5.1 Conclusion</w:t>
      </w:r>
    </w:p>
    <w:p>
      <w:pPr>
        <w:spacing w:after="60"/>
      </w:pPr>
      <w:r>
        <w:rPr>
          <w:rFonts w:ascii="Times New Roman" w:hAnsi="Times New Roman"/>
          <w:sz w:val="22"/>
        </w:rPr>
        <w:t xml:space="preserve">   5.2 Future Scope &amp; Research Horizons</w:t>
      </w:r>
    </w:p>
    <w:p>
      <w:pPr>
        <w:spacing w:after="60"/>
      </w:pPr>
      <w:r>
        <w:rPr>
          <w:rFonts w:ascii="Times New Roman" w:hAnsi="Times New Roman"/>
          <w:b/>
          <w:sz w:val="22"/>
        </w:rPr>
        <w:t>REFERENCES</w:t>
      </w:r>
    </w:p>
    <w:p>
      <w:r>
        <w:br w:type="page"/>
      </w:r>
    </w:p>
    <w:p>
      <w:pPr>
        <w:spacing w:before="360" w:after="160"/>
      </w:pPr>
      <w:r>
        <w:rPr>
          <w:rFonts w:ascii="Times New Roman" w:hAnsi="Times New Roman"/>
          <w:b/>
          <w:color w:val="0F172A"/>
          <w:sz w:val="32"/>
        </w:rPr>
        <w:t>1. INTRODUCTION</w:t>
      </w:r>
    </w:p>
    <w:p>
      <w:pPr>
        <w:spacing w:after="120" w:line="276" w:lineRule="auto"/>
        <w:jc w:val="both"/>
      </w:pPr>
      <w:r>
        <w:rPr>
          <w:rFonts w:ascii="Times New Roman" w:hAnsi="Times New Roman"/>
          <w:b w:val="0"/>
          <w:i w:val="0"/>
          <w:color w:val="1E293B"/>
          <w:sz w:val="23"/>
        </w:rPr>
        <w:t>Human Resource Management Systems (HRMS) constitute the critical computational and administrative backbone of modern enterprise organizations. In an era dominated by distributed workforces, hybrid office engagements, and agile team formations, maintaining organizational coherence requires transparent, timely, and data-driven people operations. Historically, human resource departments have functioned as administrative clearinghouses heavily burdened by manual, paper-driven workflows. Fundamental responsibilities—ranging from logging employee attendance and tracking working hours to managing leave entitlements, processing recurring salary disbursements, resolving reimbursement claims, and charting reporting hierarchies—were documented using manual registers or unlinked electronic spreadsheets. As corporate workforces scale from small co-located teams to multi-location enterprises with hundreds of specialized personnel, these antiquated methodologies invariably fail, introducing substantial administrative drag, computational errors, and organizational opacity.</w:t>
      </w:r>
    </w:p>
    <w:p>
      <w:pPr>
        <w:spacing w:after="120" w:line="276" w:lineRule="auto"/>
        <w:jc w:val="both"/>
      </w:pPr>
      <w:r>
        <w:rPr>
          <w:rFonts w:ascii="Times New Roman" w:hAnsi="Times New Roman"/>
          <w:b w:val="0"/>
          <w:i w:val="0"/>
          <w:color w:val="1E293B"/>
          <w:sz w:val="23"/>
        </w:rPr>
        <w:t>A critical vulnerability of traditional workforce administration is the pervasive fragmentation of employee master records. In typical legacy enterprises, employee biographical information resides in local spreadsheet files, attendance records are locked within isolated biometric machines, leave applications circulate through ad-hoc email threads or physical slips, and payroll computations are performed through manual accounting software. This disparate structure prevents managers from obtaining a unified, real-time perspective on team attendance, individual bandwidth, and resource allocation. Delays in approving critical leave requests frequently lead to friction between management and personnel, while uncoordinated payroll calculation risks statutory non-compliance and erroneous compensation.</w:t>
      </w:r>
    </w:p>
    <w:p>
      <w:pPr>
        <w:spacing w:before="240" w:after="80"/>
      </w:pPr>
      <w:r>
        <w:rPr>
          <w:rFonts w:ascii="Times New Roman" w:hAnsi="Times New Roman"/>
          <w:b/>
          <w:color w:val="2563EB"/>
          <w:sz w:val="26"/>
        </w:rPr>
        <w:t>1.1 Problem Statement</w:t>
      </w:r>
    </w:p>
    <w:p>
      <w:pPr>
        <w:spacing w:after="120" w:line="276" w:lineRule="auto"/>
        <w:jc w:val="both"/>
      </w:pPr>
      <w:r>
        <w:rPr>
          <w:rFonts w:ascii="Times New Roman" w:hAnsi="Times New Roman"/>
          <w:b w:val="0"/>
          <w:i w:val="0"/>
          <w:color w:val="1E293B"/>
          <w:sz w:val="23"/>
        </w:rPr>
        <w:t>Organizations require an integrated, resilient, and intelligent human resource platform that centralizes organizational records, unifies disjointed operational workflows, automates everyday administrative verifications, and furnishes both staff and leadership with real-time operational transparency. The absence of a unified platform yields three prominent liabilities: (1) Excessive administrative latency resulting from manual data transcription across isolated systems; (2) Inherent vulnerability to transcription errors, duplicate entries, and inconsistent state updates; and (3) Inadequate data visualization tools that inhibit proactive workforce planning and organizational hierarchy navigation.</w:t>
      </w:r>
    </w:p>
    <w:p>
      <w:pPr>
        <w:spacing w:before="240" w:after="80"/>
      </w:pPr>
      <w:r>
        <w:rPr>
          <w:rFonts w:ascii="Times New Roman" w:hAnsi="Times New Roman"/>
          <w:b/>
          <w:color w:val="2563EB"/>
          <w:sz w:val="26"/>
        </w:rPr>
        <w:t>1.2 Project Objectives</w:t>
      </w:r>
    </w:p>
    <w:p>
      <w:pPr>
        <w:spacing w:after="120" w:line="276" w:lineRule="auto"/>
        <w:jc w:val="both"/>
      </w:pPr>
      <w:r>
        <w:rPr>
          <w:rFonts w:ascii="Times New Roman" w:hAnsi="Times New Roman"/>
          <w:b w:val="0"/>
          <w:i w:val="0"/>
          <w:color w:val="1E293B"/>
          <w:sz w:val="23"/>
        </w:rPr>
        <w:t>To address the identified challenges, the NEXA HR platform was engineered to satisfy the following primary technical objectives:</w:t>
      </w:r>
    </w:p>
    <w:p>
      <w:pPr>
        <w:spacing w:after="80" w:line="276" w:lineRule="auto"/>
        <w:jc w:val="both"/>
      </w:pPr>
      <w:r>
        <w:rPr>
          <w:rFonts w:ascii="Times New Roman" w:hAnsi="Times New Roman"/>
          <w:b w:val="0"/>
          <w:i w:val="0"/>
          <w:color w:val="1E293B"/>
          <w:sz w:val="23"/>
        </w:rPr>
        <w:t>1. Centralize Employee Records: Formulate a cohesive database schema to store employee identities, designations, reporting relationships, banking credentials, and departmental affiliations in an easily maintainable structure.</w:t>
      </w:r>
    </w:p>
    <w:p>
      <w:pPr>
        <w:spacing w:after="80" w:line="276" w:lineRule="auto"/>
        <w:jc w:val="both"/>
      </w:pPr>
      <w:r>
        <w:rPr>
          <w:rFonts w:ascii="Times New Roman" w:hAnsi="Times New Roman"/>
          <w:b w:val="0"/>
          <w:i w:val="0"/>
          <w:color w:val="1E293B"/>
          <w:sz w:val="23"/>
        </w:rPr>
        <w:t>2. Deliver Dual Role-Partitioned Portals: Implement dedicated environments for Employee Self-Service (ESS) and Administrative Operations (HR Admin), enforcing strict access boundaries and role-appropriate actions.</w:t>
      </w:r>
    </w:p>
    <w:p>
      <w:pPr>
        <w:spacing w:after="80" w:line="276" w:lineRule="auto"/>
        <w:jc w:val="both"/>
      </w:pPr>
      <w:r>
        <w:rPr>
          <w:rFonts w:ascii="Times New Roman" w:hAnsi="Times New Roman"/>
          <w:b w:val="0"/>
          <w:i w:val="0"/>
          <w:color w:val="1E293B"/>
          <w:sz w:val="23"/>
        </w:rPr>
        <w:t>3. Real-Time Attendance &amp; Time Audit: Develop a live digital punch-in/out engine that logs precise timestamps, tracks daily elapsed work duration, and displays monthly attendance status indicators.</w:t>
      </w:r>
    </w:p>
    <w:p>
      <w:pPr>
        <w:spacing w:after="80" w:line="276" w:lineRule="auto"/>
        <w:jc w:val="both"/>
      </w:pPr>
      <w:r>
        <w:rPr>
          <w:rFonts w:ascii="Times New Roman" w:hAnsi="Times New Roman"/>
          <w:b w:val="0"/>
          <w:i w:val="0"/>
          <w:color w:val="1E293B"/>
          <w:sz w:val="23"/>
        </w:rPr>
        <w:t>4. Automated Leave Lifecycle Management: Construct an end-to-end leave management pipeline supporting balance accounting (Casual, Sick, Earned), interactive application forms, and one-click administrative approvals.</w:t>
      </w:r>
    </w:p>
    <w:p>
      <w:pPr>
        <w:spacing w:after="80" w:line="276" w:lineRule="auto"/>
        <w:jc w:val="both"/>
      </w:pPr>
      <w:r>
        <w:rPr>
          <w:rFonts w:ascii="Times New Roman" w:hAnsi="Times New Roman"/>
          <w:b w:val="0"/>
          <w:i w:val="0"/>
          <w:color w:val="1E293B"/>
          <w:sz w:val="23"/>
        </w:rPr>
        <w:t>5. Interactive Organizational Hierarchy Visualization: Generate a dynamic, collapsible organizational tree visualizer mapping executive directors, department managers, and staff to clarify reporting chains.</w:t>
      </w:r>
    </w:p>
    <w:p>
      <w:pPr>
        <w:spacing w:after="80" w:line="276" w:lineRule="auto"/>
        <w:jc w:val="both"/>
      </w:pPr>
      <w:r>
        <w:rPr>
          <w:rFonts w:ascii="Times New Roman" w:hAnsi="Times New Roman"/>
          <w:b w:val="0"/>
          <w:i w:val="0"/>
          <w:color w:val="1E293B"/>
          <w:sz w:val="23"/>
        </w:rPr>
        <w:t>6. Automated Payroll &amp; Certificate Generation: Eliminate manual salary spreadsheets by computing itemized earnings, deductions, gross/net compensation, and generating downloadable monthly pay certificates.</w:t>
      </w:r>
    </w:p>
    <w:p>
      <w:pPr>
        <w:spacing w:after="80" w:line="276" w:lineRule="auto"/>
        <w:jc w:val="both"/>
      </w:pPr>
      <w:r>
        <w:rPr>
          <w:rFonts w:ascii="Times New Roman" w:hAnsi="Times New Roman"/>
          <w:b w:val="0"/>
          <w:i w:val="0"/>
          <w:color w:val="1E293B"/>
          <w:sz w:val="23"/>
        </w:rPr>
        <w:t>7. User Experience &amp; Ergonomic Design: Incorporate persistent dark/light theme switching, responsive layouts across devices, and immediate toast alert notifications for enhanced user feedback.</w:t>
      </w:r>
    </w:p>
    <w:p>
      <w:pPr>
        <w:spacing w:before="240" w:after="80"/>
      </w:pPr>
      <w:r>
        <w:rPr>
          <w:rFonts w:ascii="Times New Roman" w:hAnsi="Times New Roman"/>
          <w:b/>
          <w:color w:val="2563EB"/>
          <w:sz w:val="26"/>
        </w:rPr>
        <w:t>1.3 Scope and Significance</w:t>
      </w:r>
    </w:p>
    <w:p>
      <w:pPr>
        <w:spacing w:after="120" w:line="276" w:lineRule="auto"/>
        <w:jc w:val="both"/>
      </w:pPr>
      <w:r>
        <w:rPr>
          <w:rFonts w:ascii="Times New Roman" w:hAnsi="Times New Roman"/>
          <w:b w:val="0"/>
          <w:i w:val="0"/>
          <w:color w:val="1E293B"/>
          <w:sz w:val="23"/>
        </w:rPr>
        <w:t>The scope of this project encompasses the frontend architecture, reactive data state management, client-side relational schema design, interactive visual components, and verification testing of the NEXA HR workforce platform. By consolidating all facets of employee lifecycle governance into a cohesive Single-Page Application, the system provides immediate operational utility while laying the architectural foundation for seamless backend and database integration.</w:t>
      </w:r>
    </w:p>
    <w:p>
      <w:r>
        <w:br w:type="page"/>
      </w:r>
    </w:p>
    <w:p>
      <w:pPr>
        <w:spacing w:before="360" w:after="160"/>
      </w:pPr>
      <w:r>
        <w:rPr>
          <w:rFonts w:ascii="Times New Roman" w:hAnsi="Times New Roman"/>
          <w:b/>
          <w:color w:val="0F172A"/>
          <w:sz w:val="32"/>
        </w:rPr>
        <w:t>2. METHODOLOGY</w:t>
      </w:r>
    </w:p>
    <w:p>
      <w:pPr>
        <w:spacing w:after="120" w:line="276" w:lineRule="auto"/>
        <w:jc w:val="both"/>
      </w:pPr>
      <w:r>
        <w:rPr>
          <w:rFonts w:ascii="Times New Roman" w:hAnsi="Times New Roman"/>
          <w:b w:val="0"/>
          <w:i w:val="0"/>
          <w:color w:val="1E293B"/>
          <w:sz w:val="23"/>
        </w:rPr>
        <w:t>The engineering methodology adopted for the NEXA HR platform follows a structured, component-driven software development lifecycle. The system design prioritizes high performance, client-side reactivity, robust data isolation, and user ergonomics. The architecture is decomposed into distinct, modular functional layers as illustrated in Figure 1.</w:t>
      </w:r>
    </w:p>
    <w:p>
      <w:pPr>
        <w:spacing w:before="200" w:after="80"/>
        <w:jc w:val="center"/>
      </w:pPr>
      <w:r>
        <w:drawing>
          <wp:inline xmlns:a="http://schemas.openxmlformats.org/drawingml/2006/main" xmlns:pic="http://schemas.openxmlformats.org/drawingml/2006/picture">
            <wp:extent cx="5669280" cy="2806007"/>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2806007"/>
                    </a:xfrm>
                    <a:prstGeom prst="rect"/>
                  </pic:spPr>
                </pic:pic>
              </a:graphicData>
            </a:graphic>
          </wp:inline>
        </w:drawing>
      </w:r>
    </w:p>
    <w:p>
      <w:pPr>
        <w:spacing w:after="240"/>
        <w:jc w:val="center"/>
      </w:pPr>
      <w:r>
        <w:rPr>
          <w:rFonts w:ascii="Times New Roman" w:hAnsi="Times New Roman"/>
          <w:b/>
          <w:i/>
          <w:color w:val="475569"/>
          <w:sz w:val="20"/>
        </w:rPr>
        <w:t>Figure 1: High-Level System Architecture and Data Pipeline of NEXA HR</w:t>
      </w:r>
    </w:p>
    <w:p>
      <w:pPr>
        <w:spacing w:before="240" w:after="80"/>
      </w:pPr>
      <w:r>
        <w:rPr>
          <w:rFonts w:ascii="Times New Roman" w:hAnsi="Times New Roman"/>
          <w:b/>
          <w:color w:val="2563EB"/>
          <w:sz w:val="26"/>
        </w:rPr>
        <w:t>2.1 Layered Architectural Framework</w:t>
      </w:r>
    </w:p>
    <w:p>
      <w:pPr>
        <w:spacing w:after="120" w:line="276" w:lineRule="auto"/>
        <w:jc w:val="both"/>
      </w:pPr>
      <w:r>
        <w:rPr>
          <w:rFonts w:ascii="Times New Roman" w:hAnsi="Times New Roman"/>
          <w:b w:val="0"/>
          <w:i w:val="0"/>
          <w:color w:val="1E293B"/>
          <w:sz w:val="23"/>
        </w:rPr>
        <w:t>The system adheres to an N-Tier Single-Page Application (SPA) architecture comprising five interconnected operational tiers:</w:t>
      </w:r>
    </w:p>
    <w:p>
      <w:pPr>
        <w:spacing w:after="80" w:line="276" w:lineRule="auto"/>
        <w:jc w:val="both"/>
      </w:pPr>
      <w:r>
        <w:rPr>
          <w:rFonts w:ascii="Times New Roman" w:hAnsi="Times New Roman"/>
          <w:b w:val="0"/>
          <w:i w:val="0"/>
          <w:color w:val="1E293B"/>
          <w:sz w:val="23"/>
        </w:rPr>
        <w:t>• User Interaction Layer: Accommodates two discrete user roles—General Employees accessing self-service tools and HR Administrators exercising enterprise-wide governance. Authentication credentials dynamically route users to authorized routes.</w:t>
      </w:r>
    </w:p>
    <w:p>
      <w:pPr>
        <w:spacing w:after="80" w:line="276" w:lineRule="auto"/>
        <w:jc w:val="both"/>
      </w:pPr>
      <w:r>
        <w:rPr>
          <w:rFonts w:ascii="Times New Roman" w:hAnsi="Times New Roman"/>
          <w:b w:val="0"/>
          <w:i w:val="0"/>
          <w:color w:val="1E293B"/>
          <w:sz w:val="23"/>
        </w:rPr>
        <w:t>• Presentation Layer (React 18 + Vite): Built upon modern React functional components and hooks. Vite serves as the build engine and development environment, enabling instantaneous Hot Module Replacement (HMR) and optimized ES-module bundling.</w:t>
      </w:r>
    </w:p>
    <w:p>
      <w:pPr>
        <w:spacing w:after="80" w:line="276" w:lineRule="auto"/>
        <w:jc w:val="both"/>
      </w:pPr>
      <w:r>
        <w:rPr>
          <w:rFonts w:ascii="Times New Roman" w:hAnsi="Times New Roman"/>
          <w:b w:val="0"/>
          <w:i w:val="0"/>
          <w:color w:val="1E293B"/>
          <w:sz w:val="23"/>
        </w:rPr>
        <w:t>• Routing &amp; Navigation Layer: Driven by React Router DOM v6. Implements nested layout hierarchies, path parameter resolution, and a high-order `&lt;Protected&gt;` component wrapper that enforces role-based access control.</w:t>
      </w:r>
    </w:p>
    <w:p>
      <w:pPr>
        <w:spacing w:after="80" w:line="276" w:lineRule="auto"/>
        <w:jc w:val="both"/>
      </w:pPr>
      <w:r>
        <w:rPr>
          <w:rFonts w:ascii="Times New Roman" w:hAnsi="Times New Roman"/>
          <w:b w:val="0"/>
          <w:i w:val="0"/>
          <w:color w:val="1E293B"/>
          <w:sz w:val="23"/>
        </w:rPr>
        <w:t>• Application Logic &amp; State Layer: Employs a custom reactive hook (`useStore`) that binds UI state directly to browser `localStorage`. This guarantees persistent data retention across browser sessions without requiring complex external state management libraries.</w:t>
      </w:r>
    </w:p>
    <w:p>
      <w:pPr>
        <w:spacing w:after="80" w:line="276" w:lineRule="auto"/>
        <w:jc w:val="both"/>
      </w:pPr>
      <w:r>
        <w:rPr>
          <w:rFonts w:ascii="Times New Roman" w:hAnsi="Times New Roman"/>
          <w:b w:val="0"/>
          <w:i w:val="0"/>
          <w:color w:val="1E293B"/>
          <w:sz w:val="23"/>
        </w:rPr>
        <w:t>• Persistence &amp; Relational Schema Layer: Implements a normalized relational entity schema modeled on Relational Database Management System (DBMS) principles, pre-populated with 60 realistic employee records, departmental structures, leave transactions, and compensation logs.</w:t>
      </w:r>
    </w:p>
    <w:p>
      <w:pPr>
        <w:spacing w:before="240" w:after="80"/>
      </w:pPr>
      <w:r>
        <w:rPr>
          <w:rFonts w:ascii="Times New Roman" w:hAnsi="Times New Roman"/>
          <w:b/>
          <w:color w:val="2563EB"/>
          <w:sz w:val="26"/>
        </w:rPr>
        <w:t>2.2 Data Schema Modeling &amp; Relational Entities</w:t>
      </w:r>
    </w:p>
    <w:p>
      <w:pPr>
        <w:spacing w:after="120" w:line="276" w:lineRule="auto"/>
        <w:jc w:val="both"/>
      </w:pPr>
      <w:r>
        <w:rPr>
          <w:rFonts w:ascii="Times New Roman" w:hAnsi="Times New Roman"/>
          <w:b w:val="0"/>
          <w:i w:val="0"/>
          <w:color w:val="1E293B"/>
          <w:sz w:val="23"/>
        </w:rPr>
        <w:t>To guarantee integrity and data consistency, the platform establishes clear relational entities:</w:t>
      </w:r>
    </w:p>
    <w:p>
      <w:pPr>
        <w:spacing w:after="60" w:line="276" w:lineRule="auto"/>
        <w:jc w:val="both"/>
      </w:pPr>
      <w:r>
        <w:rPr>
          <w:rFonts w:ascii="Times New Roman" w:hAnsi="Times New Roman"/>
          <w:b w:val="0"/>
          <w:i w:val="0"/>
          <w:color w:val="1E293B"/>
          <w:sz w:val="23"/>
        </w:rPr>
        <w:t>1. Employees Entity: `id` (Primary Key, e.g., EMP-1011), `name`, `email`, `department`, `designation`, `location`, `salary`, `status` (Active/Inactive), `role` (director/manager/employee), `reportsTo` (Foreign Key referencing Employee ID), and `phone`.</w:t>
      </w:r>
    </w:p>
    <w:p>
      <w:pPr>
        <w:spacing w:after="60" w:line="276" w:lineRule="auto"/>
        <w:jc w:val="both"/>
      </w:pPr>
      <w:r>
        <w:rPr>
          <w:rFonts w:ascii="Times New Roman" w:hAnsi="Times New Roman"/>
          <w:b w:val="0"/>
          <w:i w:val="0"/>
          <w:color w:val="1E293B"/>
          <w:sz w:val="23"/>
        </w:rPr>
        <w:t>2. Leave Requests Entity: `id` (Primary Key), `employeeId` (Foreign Key), `employeeName`, `department`, `leaveType` (Casual/Sick/Earned), `startDate`, `endDate`, `days`, `reason`, and `status` (Pending/Approved/Rejected).</w:t>
      </w:r>
    </w:p>
    <w:p>
      <w:pPr>
        <w:spacing w:after="60" w:line="276" w:lineRule="auto"/>
        <w:jc w:val="both"/>
      </w:pPr>
      <w:r>
        <w:rPr>
          <w:rFonts w:ascii="Times New Roman" w:hAnsi="Times New Roman"/>
          <w:b w:val="0"/>
          <w:i w:val="0"/>
          <w:color w:val="1E293B"/>
          <w:sz w:val="23"/>
        </w:rPr>
        <w:t>3. Attendance Entity: `id`, `employeeId`, `date`, `checkInTime`, `checkOutTime`, `totalHours`, and `status` (Present/Late/Absent/On-Leave).</w:t>
      </w:r>
    </w:p>
    <w:p>
      <w:pPr>
        <w:spacing w:after="120" w:line="276" w:lineRule="auto"/>
        <w:jc w:val="both"/>
      </w:pPr>
      <w:r>
        <w:rPr>
          <w:rFonts w:ascii="Times New Roman" w:hAnsi="Times New Roman"/>
          <w:b w:val="0"/>
          <w:i w:val="0"/>
          <w:color w:val="1E293B"/>
          <w:sz w:val="23"/>
        </w:rPr>
        <w:t>4. Payroll Entity: `id`, `employeeId`, `month`, `year`, `baseSalary`, `hra`, `allowances`, `pfDeduction`, `taxDeduction`, `netSalary`, and `paymentStatus`.</w:t>
      </w:r>
    </w:p>
    <w:p>
      <w:pPr>
        <w:spacing w:before="240" w:after="80"/>
      </w:pPr>
      <w:r>
        <w:rPr>
          <w:rFonts w:ascii="Times New Roman" w:hAnsi="Times New Roman"/>
          <w:b/>
          <w:color w:val="2563EB"/>
          <w:sz w:val="26"/>
        </w:rPr>
        <w:t>2.3 Core Workflow Automation Engines</w:t>
      </w:r>
    </w:p>
    <w:p>
      <w:pPr>
        <w:spacing w:after="120" w:line="276" w:lineRule="auto"/>
        <w:jc w:val="both"/>
      </w:pPr>
      <w:r>
        <w:rPr>
          <w:rFonts w:ascii="Times New Roman" w:hAnsi="Times New Roman"/>
          <w:b w:val="0"/>
          <w:i w:val="0"/>
          <w:color w:val="1E293B"/>
          <w:sz w:val="23"/>
        </w:rPr>
        <w:t>The application integrates several automated computational engines. The Attendance Punch Engine continuously calculates active shift duration by sampling system clock deltas against the initial check-in timestamp. The Leave Workflow Engine performs automated validation of requested dates, checks balance availability, updates pending approval queues, and decrements balances upon administrative approval. The Payroll Computation Engine applies statutory deduction formulas (Provident Fund at 12%, standard tax brackets, and House Rent Allowance calculations) to derive exact net pay from base compensation.</w:t>
      </w:r>
    </w:p>
    <w:p>
      <w:r>
        <w:br w:type="page"/>
      </w:r>
    </w:p>
    <w:p>
      <w:pPr>
        <w:spacing w:before="360" w:after="160"/>
      </w:pPr>
      <w:r>
        <w:rPr>
          <w:rFonts w:ascii="Times New Roman" w:hAnsi="Times New Roman"/>
          <w:b/>
          <w:color w:val="0F172A"/>
          <w:sz w:val="32"/>
        </w:rPr>
        <w:t>3. EXPERIMENTAL IMPLEMENTATION</w:t>
      </w:r>
    </w:p>
    <w:p>
      <w:pPr>
        <w:spacing w:after="120" w:line="276" w:lineRule="auto"/>
        <w:jc w:val="both"/>
      </w:pPr>
      <w:r>
        <w:rPr>
          <w:rFonts w:ascii="Times New Roman" w:hAnsi="Times New Roman"/>
          <w:b w:val="0"/>
          <w:i w:val="0"/>
          <w:color w:val="1E293B"/>
          <w:sz w:val="23"/>
        </w:rPr>
        <w:t>The implementation was executed in a high-performance JavaScript environment utilizing React 18, Vite, and Lucide React. Below is the technical specification of the deployed environment:</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rFonts w:ascii="Times New Roman" w:hAnsi="Times New Roman"/>
                <w:b/>
                <w:color w:val="FFFFFF"/>
                <w:sz w:val="22"/>
              </w:rPr>
              <w:t>Layer / Component</w:t>
            </w:r>
          </w:p>
        </w:tc>
        <w:tc>
          <w:tcPr>
            <w:tcW w:type="dxa" w:w="3120"/>
            <w:shd w:fill="0F172A"/>
            <w:tcMar>
              <w:top w:w="120" w:type="dxa"/>
              <w:bottom w:w="120" w:type="dxa"/>
              <w:left w:w="150" w:type="dxa"/>
              <w:right w:w="150" w:type="dxa"/>
            </w:tcMar>
          </w:tcPr>
          <w:p>
            <w:r>
              <w:rPr>
                <w:rFonts w:ascii="Times New Roman" w:hAnsi="Times New Roman"/>
                <w:b/>
                <w:color w:val="FFFFFF"/>
                <w:sz w:val="22"/>
              </w:rPr>
              <w:t>Technology / Tool</w:t>
            </w:r>
          </w:p>
        </w:tc>
        <w:tc>
          <w:tcPr>
            <w:tcW w:type="dxa" w:w="3120"/>
            <w:shd w:fill="0F172A"/>
            <w:tcMar>
              <w:top w:w="120" w:type="dxa"/>
              <w:bottom w:w="120" w:type="dxa"/>
              <w:left w:w="150" w:type="dxa"/>
              <w:right w:w="150" w:type="dxa"/>
            </w:tcMar>
          </w:tcPr>
          <w:p>
            <w:r>
              <w:rPr>
                <w:rFonts w:ascii="Times New Roman" w:hAnsi="Times New Roman"/>
                <w:b/>
                <w:color w:val="FFFFFF"/>
                <w:sz w:val="22"/>
              </w:rPr>
              <w:t>Purpose / Role in NEXA HR</w:t>
            </w:r>
          </w:p>
        </w:tc>
      </w:tr>
      <w:tr>
        <w:tc>
          <w:tcPr>
            <w:tcW w:type="dxa" w:w="3120"/>
            <w:shd w:fill="FFFFFF"/>
            <w:tcMar>
              <w:top w:w="100" w:type="dxa"/>
              <w:bottom w:w="100" w:type="dxa"/>
              <w:left w:w="150" w:type="dxa"/>
              <w:right w:w="150" w:type="dxa"/>
            </w:tcMar>
          </w:tcPr>
          <w:p>
            <w:r>
              <w:rPr>
                <w:rFonts w:ascii="Times New Roman" w:hAnsi="Times New Roman"/>
                <w:b/>
                <w:sz w:val="21"/>
              </w:rPr>
              <w:t>Client Framework</w:t>
            </w:r>
          </w:p>
        </w:tc>
        <w:tc>
          <w:tcPr>
            <w:tcW w:type="dxa" w:w="3120"/>
            <w:shd w:fill="FFFFFF"/>
            <w:tcMar>
              <w:top w:w="100" w:type="dxa"/>
              <w:bottom w:w="100" w:type="dxa"/>
              <w:left w:w="150" w:type="dxa"/>
              <w:right w:w="150" w:type="dxa"/>
            </w:tcMar>
          </w:tcPr>
          <w:p>
            <w:r>
              <w:rPr>
                <w:rFonts w:ascii="Times New Roman" w:hAnsi="Times New Roman"/>
                <w:sz w:val="21"/>
              </w:rPr>
              <w:t>React 18+ (Hooks, SPA)</w:t>
            </w:r>
          </w:p>
        </w:tc>
        <w:tc>
          <w:tcPr>
            <w:tcW w:type="dxa" w:w="3120"/>
            <w:shd w:fill="FFFFFF"/>
            <w:tcMar>
              <w:top w:w="100" w:type="dxa"/>
              <w:bottom w:w="100" w:type="dxa"/>
              <w:left w:w="150" w:type="dxa"/>
              <w:right w:w="150" w:type="dxa"/>
            </w:tcMar>
          </w:tcPr>
          <w:p>
            <w:r>
              <w:rPr>
                <w:rFonts w:ascii="Times New Roman" w:hAnsi="Times New Roman"/>
                <w:sz w:val="21"/>
              </w:rPr>
              <w:t>Core UI component rendering and reactive state engine</w:t>
            </w:r>
          </w:p>
        </w:tc>
      </w:tr>
      <w:tr>
        <w:tc>
          <w:tcPr>
            <w:tcW w:type="dxa" w:w="3120"/>
            <w:shd w:fill="F1F5F9"/>
            <w:tcMar>
              <w:top w:w="100" w:type="dxa"/>
              <w:bottom w:w="100" w:type="dxa"/>
              <w:left w:w="150" w:type="dxa"/>
              <w:right w:w="150" w:type="dxa"/>
            </w:tcMar>
          </w:tcPr>
          <w:p>
            <w:r>
              <w:rPr>
                <w:rFonts w:ascii="Times New Roman" w:hAnsi="Times New Roman"/>
                <w:b/>
                <w:sz w:val="21"/>
              </w:rPr>
              <w:t>Build &amp; Tooling</w:t>
            </w:r>
          </w:p>
        </w:tc>
        <w:tc>
          <w:tcPr>
            <w:tcW w:type="dxa" w:w="3120"/>
            <w:shd w:fill="F1F5F9"/>
            <w:tcMar>
              <w:top w:w="100" w:type="dxa"/>
              <w:bottom w:w="100" w:type="dxa"/>
              <w:left w:w="150" w:type="dxa"/>
              <w:right w:w="150" w:type="dxa"/>
            </w:tcMar>
          </w:tcPr>
          <w:p>
            <w:r>
              <w:rPr>
                <w:rFonts w:ascii="Times New Roman" w:hAnsi="Times New Roman"/>
                <w:sz w:val="21"/>
              </w:rPr>
              <w:t>Vite (ESBuild)</w:t>
            </w:r>
          </w:p>
        </w:tc>
        <w:tc>
          <w:tcPr>
            <w:tcW w:type="dxa" w:w="3120"/>
            <w:shd w:fill="F1F5F9"/>
            <w:tcMar>
              <w:top w:w="100" w:type="dxa"/>
              <w:bottom w:w="100" w:type="dxa"/>
              <w:left w:w="150" w:type="dxa"/>
              <w:right w:w="150" w:type="dxa"/>
            </w:tcMar>
          </w:tcPr>
          <w:p>
            <w:r>
              <w:rPr>
                <w:rFonts w:ascii="Times New Roman" w:hAnsi="Times New Roman"/>
                <w:sz w:val="21"/>
              </w:rPr>
              <w:t>Ultra-fast development server, HMR, and bundle minification</w:t>
            </w:r>
          </w:p>
        </w:tc>
      </w:tr>
      <w:tr>
        <w:tc>
          <w:tcPr>
            <w:tcW w:type="dxa" w:w="3120"/>
            <w:shd w:fill="FFFFFF"/>
            <w:tcMar>
              <w:top w:w="100" w:type="dxa"/>
              <w:bottom w:w="100" w:type="dxa"/>
              <w:left w:w="150" w:type="dxa"/>
              <w:right w:w="150" w:type="dxa"/>
            </w:tcMar>
          </w:tcPr>
          <w:p>
            <w:r>
              <w:rPr>
                <w:rFonts w:ascii="Times New Roman" w:hAnsi="Times New Roman"/>
                <w:b/>
                <w:sz w:val="21"/>
              </w:rPr>
              <w:t>Routing</w:t>
            </w:r>
          </w:p>
        </w:tc>
        <w:tc>
          <w:tcPr>
            <w:tcW w:type="dxa" w:w="3120"/>
            <w:shd w:fill="FFFFFF"/>
            <w:tcMar>
              <w:top w:w="100" w:type="dxa"/>
              <w:bottom w:w="100" w:type="dxa"/>
              <w:left w:w="150" w:type="dxa"/>
              <w:right w:w="150" w:type="dxa"/>
            </w:tcMar>
          </w:tcPr>
          <w:p>
            <w:r>
              <w:rPr>
                <w:rFonts w:ascii="Times New Roman" w:hAnsi="Times New Roman"/>
                <w:sz w:val="21"/>
              </w:rPr>
              <w:t>React Router DOM v6</w:t>
            </w:r>
          </w:p>
        </w:tc>
        <w:tc>
          <w:tcPr>
            <w:tcW w:type="dxa" w:w="3120"/>
            <w:shd w:fill="FFFFFF"/>
            <w:tcMar>
              <w:top w:w="100" w:type="dxa"/>
              <w:bottom w:w="100" w:type="dxa"/>
              <w:left w:w="150" w:type="dxa"/>
              <w:right w:w="150" w:type="dxa"/>
            </w:tcMar>
          </w:tcPr>
          <w:p>
            <w:r>
              <w:rPr>
                <w:rFonts w:ascii="Times New Roman" w:hAnsi="Times New Roman"/>
                <w:sz w:val="21"/>
              </w:rPr>
              <w:t>Nested route hierarchy, dynamic URL matching, and auth guards</w:t>
            </w:r>
          </w:p>
        </w:tc>
      </w:tr>
      <w:tr>
        <w:tc>
          <w:tcPr>
            <w:tcW w:type="dxa" w:w="3120"/>
            <w:shd w:fill="F1F5F9"/>
            <w:tcMar>
              <w:top w:w="100" w:type="dxa"/>
              <w:bottom w:w="100" w:type="dxa"/>
              <w:left w:w="150" w:type="dxa"/>
              <w:right w:w="150" w:type="dxa"/>
            </w:tcMar>
          </w:tcPr>
          <w:p>
            <w:r>
              <w:rPr>
                <w:rFonts w:ascii="Times New Roman" w:hAnsi="Times New Roman"/>
                <w:b/>
                <w:sz w:val="21"/>
              </w:rPr>
              <w:t>Iconography</w:t>
            </w:r>
          </w:p>
        </w:tc>
        <w:tc>
          <w:tcPr>
            <w:tcW w:type="dxa" w:w="3120"/>
            <w:shd w:fill="F1F5F9"/>
            <w:tcMar>
              <w:top w:w="100" w:type="dxa"/>
              <w:bottom w:w="100" w:type="dxa"/>
              <w:left w:w="150" w:type="dxa"/>
              <w:right w:w="150" w:type="dxa"/>
            </w:tcMar>
          </w:tcPr>
          <w:p>
            <w:r>
              <w:rPr>
                <w:rFonts w:ascii="Times New Roman" w:hAnsi="Times New Roman"/>
                <w:sz w:val="21"/>
              </w:rPr>
              <w:t>Lucide React</w:t>
            </w:r>
          </w:p>
        </w:tc>
        <w:tc>
          <w:tcPr>
            <w:tcW w:type="dxa" w:w="3120"/>
            <w:shd w:fill="F1F5F9"/>
            <w:tcMar>
              <w:top w:w="100" w:type="dxa"/>
              <w:bottom w:w="100" w:type="dxa"/>
              <w:left w:w="150" w:type="dxa"/>
              <w:right w:w="150" w:type="dxa"/>
            </w:tcMar>
          </w:tcPr>
          <w:p>
            <w:r>
              <w:rPr>
                <w:rFonts w:ascii="Times New Roman" w:hAnsi="Times New Roman"/>
                <w:sz w:val="21"/>
              </w:rPr>
              <w:t>Crisp, scalable vector iconography across 25+ modules</w:t>
            </w:r>
          </w:p>
        </w:tc>
      </w:tr>
      <w:tr>
        <w:tc>
          <w:tcPr>
            <w:tcW w:type="dxa" w:w="3120"/>
            <w:shd w:fill="FFFFFF"/>
            <w:tcMar>
              <w:top w:w="100" w:type="dxa"/>
              <w:bottom w:w="100" w:type="dxa"/>
              <w:left w:w="150" w:type="dxa"/>
              <w:right w:w="150" w:type="dxa"/>
            </w:tcMar>
          </w:tcPr>
          <w:p>
            <w:r>
              <w:rPr>
                <w:rFonts w:ascii="Times New Roman" w:hAnsi="Times New Roman"/>
                <w:b/>
                <w:sz w:val="21"/>
              </w:rPr>
              <w:t>Analytics &amp; Charts</w:t>
            </w:r>
          </w:p>
        </w:tc>
        <w:tc>
          <w:tcPr>
            <w:tcW w:type="dxa" w:w="3120"/>
            <w:shd w:fill="FFFFFF"/>
            <w:tcMar>
              <w:top w:w="100" w:type="dxa"/>
              <w:bottom w:w="100" w:type="dxa"/>
              <w:left w:w="150" w:type="dxa"/>
              <w:right w:w="150" w:type="dxa"/>
            </w:tcMar>
          </w:tcPr>
          <w:p>
            <w:r>
              <w:rPr>
                <w:rFonts w:ascii="Times New Roman" w:hAnsi="Times New Roman"/>
                <w:sz w:val="21"/>
              </w:rPr>
              <w:t>Recharts &amp; Pure CSS</w:t>
            </w:r>
          </w:p>
        </w:tc>
        <w:tc>
          <w:tcPr>
            <w:tcW w:type="dxa" w:w="3120"/>
            <w:shd w:fill="FFFFFF"/>
            <w:tcMar>
              <w:top w:w="100" w:type="dxa"/>
              <w:bottom w:w="100" w:type="dxa"/>
              <w:left w:w="150" w:type="dxa"/>
              <w:right w:w="150" w:type="dxa"/>
            </w:tcMar>
          </w:tcPr>
          <w:p>
            <w:r>
              <w:rPr>
                <w:rFonts w:ascii="Times New Roman" w:hAnsi="Times New Roman"/>
                <w:sz w:val="21"/>
              </w:rPr>
              <w:t>Workforce distributions, attendance trends, and progress bars</w:t>
            </w:r>
          </w:p>
        </w:tc>
      </w:tr>
      <w:tr>
        <w:tc>
          <w:tcPr>
            <w:tcW w:type="dxa" w:w="3120"/>
            <w:shd w:fill="F1F5F9"/>
            <w:tcMar>
              <w:top w:w="100" w:type="dxa"/>
              <w:bottom w:w="100" w:type="dxa"/>
              <w:left w:w="150" w:type="dxa"/>
              <w:right w:w="150" w:type="dxa"/>
            </w:tcMar>
          </w:tcPr>
          <w:p>
            <w:r>
              <w:rPr>
                <w:rFonts w:ascii="Times New Roman" w:hAnsi="Times New Roman"/>
                <w:b/>
                <w:sz w:val="21"/>
              </w:rPr>
              <w:t>Persistence Engine</w:t>
            </w:r>
          </w:p>
        </w:tc>
        <w:tc>
          <w:tcPr>
            <w:tcW w:type="dxa" w:w="3120"/>
            <w:shd w:fill="F1F5F9"/>
            <w:tcMar>
              <w:top w:w="100" w:type="dxa"/>
              <w:bottom w:w="100" w:type="dxa"/>
              <w:left w:w="150" w:type="dxa"/>
              <w:right w:w="150" w:type="dxa"/>
            </w:tcMar>
          </w:tcPr>
          <w:p>
            <w:r>
              <w:rPr>
                <w:rFonts w:ascii="Times New Roman" w:hAnsi="Times New Roman"/>
                <w:sz w:val="21"/>
              </w:rPr>
              <w:t>Browser LocalStorage API</w:t>
            </w:r>
          </w:p>
        </w:tc>
        <w:tc>
          <w:tcPr>
            <w:tcW w:type="dxa" w:w="3120"/>
            <w:shd w:fill="F1F5F9"/>
            <w:tcMar>
              <w:top w:w="100" w:type="dxa"/>
              <w:bottom w:w="100" w:type="dxa"/>
              <w:left w:w="150" w:type="dxa"/>
              <w:right w:w="150" w:type="dxa"/>
            </w:tcMar>
          </w:tcPr>
          <w:p>
            <w:r>
              <w:rPr>
                <w:rFonts w:ascii="Times New Roman" w:hAnsi="Times New Roman"/>
                <w:sz w:val="21"/>
              </w:rPr>
              <w:t>State retention for employees, leaves, theme, and sessions</w:t>
            </w:r>
          </w:p>
        </w:tc>
      </w:tr>
    </w:tbl>
    <w:p>
      <w:pPr>
        <w:spacing w:before="80" w:after="240"/>
        <w:jc w:val="center"/>
      </w:pPr>
      <w:r>
        <w:rPr>
          <w:rFonts w:ascii="Times New Roman" w:hAnsi="Times New Roman"/>
          <w:b/>
          <w:i/>
          <w:sz w:val="20"/>
        </w:rPr>
        <w:t>Table 1: Technological Frameworks, Tooling, and Development Environment</w:t>
      </w:r>
    </w:p>
    <w:p>
      <w:pPr>
        <w:spacing w:before="240" w:after="80"/>
      </w:pPr>
      <w:r>
        <w:rPr>
          <w:rFonts w:ascii="Times New Roman" w:hAnsi="Times New Roman"/>
          <w:b/>
          <w:color w:val="2563EB"/>
          <w:sz w:val="26"/>
        </w:rPr>
        <w:t>3.1 Role Authentication &amp; Portal Access</w:t>
      </w:r>
    </w:p>
    <w:p>
      <w:pPr>
        <w:spacing w:after="120" w:line="276" w:lineRule="auto"/>
        <w:jc w:val="both"/>
      </w:pPr>
      <w:r>
        <w:rPr>
          <w:rFonts w:ascii="Times New Roman" w:hAnsi="Times New Roman"/>
          <w:b w:val="0"/>
          <w:i w:val="0"/>
          <w:color w:val="1E293B"/>
          <w:sz w:val="23"/>
        </w:rPr>
        <w:t>Upon accessing the application, users are presented with the authentication portal shown in Figure 2. The portal provides dedicated credential inputs as well as immediate one-click demo login buttons for both Employee (`employee@demo.com`) and HR Administrator (`admin@demo.com`) personas. Authentication dynamically sets user session tokens and credentials in storage and triggers client routing.</w:t>
      </w:r>
    </w:p>
    <w:p>
      <w:pPr>
        <w:spacing w:before="200"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1_login_page.png"/>
                    <pic:cNvPicPr/>
                  </pic:nvPicPr>
                  <pic:blipFill>
                    <a:blip r:embed="rId11"/>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2: Role-Based Authentication and Demonstration Login Screen</w:t>
      </w:r>
    </w:p>
    <w:p>
      <w:pPr>
        <w:spacing w:before="240" w:after="80"/>
      </w:pPr>
      <w:r>
        <w:rPr>
          <w:rFonts w:ascii="Times New Roman" w:hAnsi="Times New Roman"/>
          <w:b/>
          <w:color w:val="2563EB"/>
          <w:sz w:val="26"/>
        </w:rPr>
        <w:t>3.2 Employee Self-Service (ESS) Implementation</w:t>
      </w:r>
    </w:p>
    <w:p>
      <w:pPr>
        <w:spacing w:after="120" w:line="276" w:lineRule="auto"/>
        <w:jc w:val="both"/>
      </w:pPr>
      <w:r>
        <w:rPr>
          <w:rFonts w:ascii="Times New Roman" w:hAnsi="Times New Roman"/>
          <w:b w:val="0"/>
          <w:i w:val="0"/>
          <w:color w:val="1E293B"/>
          <w:sz w:val="23"/>
        </w:rPr>
        <w:t>The Employee Self-Service portal enables personnel to monitor their everyday workplace lifecycle independently. As depicted in Figure 3, the ESS dashboard provides an instant overview of daily attendance duration, annual leave balance, recent salary disbursement, and performance metrics. A live attendance tracking card allows staff to punch in and punch out with a single click, triggering real-time work duration tracking.</w:t>
      </w:r>
    </w:p>
    <w:p>
      <w:pPr>
        <w:spacing w:before="20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2_employee_dashboard.png"/>
                    <pic:cNvPicPr/>
                  </pic:nvPicPr>
                  <pic:blipFill>
                    <a:blip r:embed="rId12"/>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3: Employee Self-Service (ESS) Home Dashboard with Live Punch Timer</w:t>
      </w:r>
    </w:p>
    <w:p>
      <w:pPr>
        <w:spacing w:before="240" w:after="80"/>
      </w:pPr>
      <w:r>
        <w:rPr>
          <w:rFonts w:ascii="Times New Roman" w:hAnsi="Times New Roman"/>
          <w:b/>
          <w:color w:val="2563EB"/>
          <w:sz w:val="26"/>
        </w:rPr>
        <w:t>3.3 Leave Application &amp; Form Submission Interface</w:t>
      </w:r>
    </w:p>
    <w:p>
      <w:pPr>
        <w:spacing w:after="120" w:line="276" w:lineRule="auto"/>
        <w:jc w:val="both"/>
      </w:pPr>
      <w:r>
        <w:rPr>
          <w:rFonts w:ascii="Times New Roman" w:hAnsi="Times New Roman"/>
          <w:b w:val="0"/>
          <w:i w:val="0"/>
          <w:color w:val="1E293B"/>
          <w:sz w:val="23"/>
        </w:rPr>
        <w:t>Figure 4 illustrates the interactive leave application form. Personnel select the required leave classification (Casual Leave, Sick Leave, or Earned Leave), define start and end dates via integrated calendar pickers, and submit justification text. Upon form submission, input validation ensures date integrity, appends the record to the persistent queue with 'Pending' status, and displays an immediate toast notification.</w:t>
      </w:r>
    </w:p>
    <w:p>
      <w:pPr>
        <w:spacing w:before="200"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3_leave_form.png"/>
                    <pic:cNvPicPr/>
                  </pic:nvPicPr>
                  <pic:blipFill>
                    <a:blip r:embed="rId13"/>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4: Leave Application Submission and Validation Interface (Form)</w:t>
      </w:r>
    </w:p>
    <w:p>
      <w:pPr>
        <w:spacing w:before="240" w:after="80"/>
      </w:pPr>
      <w:r>
        <w:rPr>
          <w:rFonts w:ascii="Times New Roman" w:hAnsi="Times New Roman"/>
          <w:b/>
          <w:color w:val="2563EB"/>
          <w:sz w:val="26"/>
        </w:rPr>
        <w:t>3.4 Interactive Organizational Hierarchy Visualization</w:t>
      </w:r>
    </w:p>
    <w:p>
      <w:pPr>
        <w:spacing w:after="120" w:line="276" w:lineRule="auto"/>
        <w:jc w:val="both"/>
      </w:pPr>
      <w:r>
        <w:rPr>
          <w:rFonts w:ascii="Times New Roman" w:hAnsi="Times New Roman"/>
          <w:b w:val="0"/>
          <w:i w:val="0"/>
          <w:color w:val="1E293B"/>
          <w:sz w:val="23"/>
        </w:rPr>
        <w:t>Figure 5 showcases the recursive organizational hierarchy visualizer. Constructed on a top-down tree model, the root node represents the Executive Director, branch nodes display Department Managers color-coded by division, and leaf nodes depict individual staff members. Users can dynamically click any node to expand or collapse subordinates, providing transparent insight into organizational reporting structures.</w:t>
      </w:r>
    </w:p>
    <w:p>
      <w:pPr>
        <w:spacing w:before="200"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6_org_chart.png"/>
                    <pic:cNvPicPr/>
                  </pic:nvPicPr>
                  <pic:blipFill>
                    <a:blip r:embed="rId14"/>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5: Interactive Multi-Tier Organizational Hierarchy Tree Visualizer</w:t>
      </w:r>
    </w:p>
    <w:p>
      <w:pPr>
        <w:spacing w:before="240" w:after="80"/>
      </w:pPr>
      <w:r>
        <w:rPr>
          <w:rFonts w:ascii="Times New Roman" w:hAnsi="Times New Roman"/>
          <w:b/>
          <w:color w:val="2563EB"/>
          <w:sz w:val="26"/>
        </w:rPr>
        <w:t>3.5 Executive Administration &amp; Workforce Operations</w:t>
      </w:r>
    </w:p>
    <w:p>
      <w:pPr>
        <w:spacing w:after="120" w:line="276" w:lineRule="auto"/>
        <w:jc w:val="both"/>
      </w:pPr>
      <w:r>
        <w:rPr>
          <w:rFonts w:ascii="Times New Roman" w:hAnsi="Times New Roman"/>
          <w:b w:val="0"/>
          <w:i w:val="0"/>
          <w:color w:val="1E293B"/>
          <w:sz w:val="23"/>
        </w:rPr>
        <w:t>Figure 6 demonstrates the Administrative Control Center. Administrators can monitor real-time workforce KPIs (61 total personnel, 94.2% daily attendance, 18 on leave, and 6 pending approval requests). Interactive progress bars illustrate department distributions, while actionable quick-links enable rapid resolution of pending leave requests and expense reimbursements.</w:t>
      </w:r>
    </w:p>
    <w:p>
      <w:pPr>
        <w:spacing w:before="20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5_admin_dashboard.png"/>
                    <pic:cNvPicPr/>
                  </pic:nvPicPr>
                  <pic:blipFill>
                    <a:blip r:embed="rId15"/>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6: Executive Administrative Workforce Overview &amp; Department Metrics</w:t>
      </w:r>
    </w:p>
    <w:p>
      <w:r>
        <w:br w:type="page"/>
      </w:r>
    </w:p>
    <w:p>
      <w:pPr>
        <w:spacing w:before="360" w:after="160"/>
      </w:pPr>
      <w:r>
        <w:rPr>
          <w:rFonts w:ascii="Times New Roman" w:hAnsi="Times New Roman"/>
          <w:b/>
          <w:color w:val="0F172A"/>
          <w:sz w:val="32"/>
        </w:rPr>
        <w:t>4. RESULTS AND DISCUSSION</w:t>
      </w:r>
    </w:p>
    <w:p>
      <w:pPr>
        <w:spacing w:after="120" w:line="276" w:lineRule="auto"/>
        <w:jc w:val="both"/>
      </w:pPr>
      <w:r>
        <w:rPr>
          <w:rFonts w:ascii="Times New Roman" w:hAnsi="Times New Roman"/>
          <w:b w:val="0"/>
          <w:i w:val="0"/>
          <w:color w:val="1E293B"/>
          <w:sz w:val="23"/>
        </w:rPr>
        <w:t>The system was evaluated through functional validation, user flow testing, and quantitative performance benchmarking. All core functional requirements—user authentication, attendance logging, leave submission and approval, employee records CRUD, and payslip generation—were verified across multiple test cycles.</w:t>
      </w:r>
    </w:p>
    <w:p>
      <w:pPr>
        <w:spacing w:before="240" w:after="80"/>
      </w:pPr>
      <w:r>
        <w:rPr>
          <w:rFonts w:ascii="Times New Roman" w:hAnsi="Times New Roman"/>
          <w:b/>
          <w:color w:val="2563EB"/>
          <w:sz w:val="26"/>
        </w:rPr>
        <w:t>4.1 Verification Matrix &amp; Test Case Results</w:t>
      </w:r>
    </w:p>
    <w:p>
      <w:pPr>
        <w:spacing w:after="120" w:line="276" w:lineRule="auto"/>
        <w:jc w:val="both"/>
      </w:pPr>
      <w:r>
        <w:rPr>
          <w:rFonts w:ascii="Times New Roman" w:hAnsi="Times New Roman"/>
          <w:b w:val="0"/>
          <w:i w:val="0"/>
          <w:color w:val="1E293B"/>
          <w:sz w:val="23"/>
        </w:rPr>
        <w:t>Table 2 documents the formal test verification suite executed on the prototype. All eight primary test cases achieved 100% pass rates without runtime exceptions or data corruption.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r>
              <w:rPr>
                <w:rFonts w:ascii="Times New Roman" w:hAnsi="Times New Roman"/>
                <w:b/>
                <w:color w:val="FFFFFF"/>
                <w:sz w:val="22"/>
              </w:rPr>
              <w:t>Test ID</w:t>
            </w:r>
          </w:p>
        </w:tc>
        <w:tc>
          <w:tcPr>
            <w:tcW w:type="dxa" w:w="2340"/>
            <w:shd w:fill="0F172A"/>
            <w:tcMar>
              <w:top w:w="120" w:type="dxa"/>
              <w:bottom w:w="120" w:type="dxa"/>
              <w:left w:w="150" w:type="dxa"/>
              <w:right w:w="150" w:type="dxa"/>
            </w:tcMar>
          </w:tcPr>
          <w:p>
            <w:r>
              <w:rPr>
                <w:rFonts w:ascii="Times New Roman" w:hAnsi="Times New Roman"/>
                <w:b/>
                <w:color w:val="FFFFFF"/>
                <w:sz w:val="22"/>
              </w:rPr>
              <w:t>Test Case Scenario</w:t>
            </w:r>
          </w:p>
        </w:tc>
        <w:tc>
          <w:tcPr>
            <w:tcW w:type="dxa" w:w="2340"/>
            <w:shd w:fill="0F172A"/>
            <w:tcMar>
              <w:top w:w="120" w:type="dxa"/>
              <w:bottom w:w="120" w:type="dxa"/>
              <w:left w:w="150" w:type="dxa"/>
              <w:right w:w="150" w:type="dxa"/>
            </w:tcMar>
          </w:tcPr>
          <w:p>
            <w:r>
              <w:rPr>
                <w:rFonts w:ascii="Times New Roman" w:hAnsi="Times New Roman"/>
                <w:b/>
                <w:color w:val="FFFFFF"/>
                <w:sz w:val="22"/>
              </w:rPr>
              <w:t>Expected Outcome</w:t>
            </w:r>
          </w:p>
        </w:tc>
        <w:tc>
          <w:tcPr>
            <w:tcW w:type="dxa" w:w="2340"/>
            <w:shd w:fill="0F172A"/>
            <w:tcMar>
              <w:top w:w="120" w:type="dxa"/>
              <w:bottom w:w="120" w:type="dxa"/>
              <w:left w:w="150" w:type="dxa"/>
              <w:right w:w="150" w:type="dxa"/>
            </w:tcMar>
          </w:tcPr>
          <w:p>
            <w:pPr>
              <w:jc w:val="center"/>
            </w:pPr>
            <w:r>
              <w:rPr>
                <w:rFonts w:ascii="Times New Roman" w:hAnsi="Times New Roman"/>
                <w:b/>
                <w:color w:val="FFFFFF"/>
                <w:sz w:val="22"/>
              </w:rPr>
              <w:t>Status</w:t>
            </w:r>
          </w:p>
        </w:tc>
      </w:tr>
      <w:tr>
        <w:tc>
          <w:tcPr>
            <w:tcW w:type="dxa" w:w="2340"/>
            <w:shd w:fill="FFFFFF"/>
            <w:tcMar>
              <w:top w:w="100" w:type="dxa"/>
              <w:bottom w:w="100" w:type="dxa"/>
              <w:left w:w="150" w:type="dxa"/>
              <w:right w:w="150" w:type="dxa"/>
            </w:tcMar>
          </w:tcPr>
          <w:p>
            <w:r>
              <w:rPr>
                <w:rFonts w:ascii="Times New Roman" w:hAnsi="Times New Roman"/>
                <w:b/>
                <w:sz w:val="21"/>
              </w:rPr>
              <w:t>TC-01</w:t>
            </w:r>
          </w:p>
        </w:tc>
        <w:tc>
          <w:tcPr>
            <w:tcW w:type="dxa" w:w="2340"/>
            <w:shd w:fill="FFFFFF"/>
            <w:tcMar>
              <w:top w:w="100" w:type="dxa"/>
              <w:bottom w:w="100" w:type="dxa"/>
              <w:left w:w="150" w:type="dxa"/>
              <w:right w:w="150" w:type="dxa"/>
            </w:tcMar>
          </w:tcPr>
          <w:p>
            <w:r>
              <w:rPr>
                <w:rFonts w:ascii="Times New Roman" w:hAnsi="Times New Roman"/>
                <w:sz w:val="21"/>
              </w:rPr>
              <w:t>User Login (Employee Portal)</w:t>
            </w:r>
          </w:p>
        </w:tc>
        <w:tc>
          <w:tcPr>
            <w:tcW w:type="dxa" w:w="2340"/>
            <w:shd w:fill="FFFFFF"/>
            <w:tcMar>
              <w:top w:w="100" w:type="dxa"/>
              <w:bottom w:w="100" w:type="dxa"/>
              <w:left w:w="150" w:type="dxa"/>
              <w:right w:w="150" w:type="dxa"/>
            </w:tcMar>
          </w:tcPr>
          <w:p>
            <w:r>
              <w:rPr>
                <w:rFonts w:ascii="Times New Roman" w:hAnsi="Times New Roman"/>
                <w:sz w:val="21"/>
              </w:rPr>
              <w:t>Authenticates credentials and redirects to /employee/dashboard</w:t>
            </w:r>
          </w:p>
        </w:tc>
        <w:tc>
          <w:tcPr>
            <w:tcW w:type="dxa" w:w="2340"/>
            <w:shd w:fill="FFFFFF"/>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1F5F9"/>
            <w:tcMar>
              <w:top w:w="100" w:type="dxa"/>
              <w:bottom w:w="100" w:type="dxa"/>
              <w:left w:w="150" w:type="dxa"/>
              <w:right w:w="150" w:type="dxa"/>
            </w:tcMar>
          </w:tcPr>
          <w:p>
            <w:r>
              <w:rPr>
                <w:rFonts w:ascii="Times New Roman" w:hAnsi="Times New Roman"/>
                <w:b/>
                <w:sz w:val="21"/>
              </w:rPr>
              <w:t>TC-02</w:t>
            </w:r>
          </w:p>
        </w:tc>
        <w:tc>
          <w:tcPr>
            <w:tcW w:type="dxa" w:w="2340"/>
            <w:shd w:fill="F1F5F9"/>
            <w:tcMar>
              <w:top w:w="100" w:type="dxa"/>
              <w:bottom w:w="100" w:type="dxa"/>
              <w:left w:w="150" w:type="dxa"/>
              <w:right w:w="150" w:type="dxa"/>
            </w:tcMar>
          </w:tcPr>
          <w:p>
            <w:r>
              <w:rPr>
                <w:rFonts w:ascii="Times New Roman" w:hAnsi="Times New Roman"/>
                <w:sz w:val="21"/>
              </w:rPr>
              <w:t>User Login (Admin Portal)</w:t>
            </w:r>
          </w:p>
        </w:tc>
        <w:tc>
          <w:tcPr>
            <w:tcW w:type="dxa" w:w="2340"/>
            <w:shd w:fill="F1F5F9"/>
            <w:tcMar>
              <w:top w:w="100" w:type="dxa"/>
              <w:bottom w:w="100" w:type="dxa"/>
              <w:left w:w="150" w:type="dxa"/>
              <w:right w:w="150" w:type="dxa"/>
            </w:tcMar>
          </w:tcPr>
          <w:p>
            <w:r>
              <w:rPr>
                <w:rFonts w:ascii="Times New Roman" w:hAnsi="Times New Roman"/>
                <w:sz w:val="21"/>
              </w:rPr>
              <w:t>Authenticates admin role and routes to executive control center</w:t>
            </w:r>
          </w:p>
        </w:tc>
        <w:tc>
          <w:tcPr>
            <w:tcW w:type="dxa" w:w="2340"/>
            <w:shd w:fill="F1F5F9"/>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FFFFF"/>
            <w:tcMar>
              <w:top w:w="100" w:type="dxa"/>
              <w:bottom w:w="100" w:type="dxa"/>
              <w:left w:w="150" w:type="dxa"/>
              <w:right w:w="150" w:type="dxa"/>
            </w:tcMar>
          </w:tcPr>
          <w:p>
            <w:r>
              <w:rPr>
                <w:rFonts w:ascii="Times New Roman" w:hAnsi="Times New Roman"/>
                <w:b/>
                <w:sz w:val="21"/>
              </w:rPr>
              <w:t>TC-03</w:t>
            </w:r>
          </w:p>
        </w:tc>
        <w:tc>
          <w:tcPr>
            <w:tcW w:type="dxa" w:w="2340"/>
            <w:shd w:fill="FFFFFF"/>
            <w:tcMar>
              <w:top w:w="100" w:type="dxa"/>
              <w:bottom w:w="100" w:type="dxa"/>
              <w:left w:w="150" w:type="dxa"/>
              <w:right w:w="150" w:type="dxa"/>
            </w:tcMar>
          </w:tcPr>
          <w:p>
            <w:r>
              <w:rPr>
                <w:rFonts w:ascii="Times New Roman" w:hAnsi="Times New Roman"/>
                <w:sz w:val="21"/>
              </w:rPr>
              <w:t>Attendance Punch-In/Out</w:t>
            </w:r>
          </w:p>
        </w:tc>
        <w:tc>
          <w:tcPr>
            <w:tcW w:type="dxa" w:w="2340"/>
            <w:shd w:fill="FFFFFF"/>
            <w:tcMar>
              <w:top w:w="100" w:type="dxa"/>
              <w:bottom w:w="100" w:type="dxa"/>
              <w:left w:w="150" w:type="dxa"/>
              <w:right w:w="150" w:type="dxa"/>
            </w:tcMar>
          </w:tcPr>
          <w:p>
            <w:r>
              <w:rPr>
                <w:rFonts w:ascii="Times New Roman" w:hAnsi="Times New Roman"/>
                <w:sz w:val="21"/>
              </w:rPr>
              <w:t>Logs timestamp, starts running timer, updates status badge</w:t>
            </w:r>
          </w:p>
        </w:tc>
        <w:tc>
          <w:tcPr>
            <w:tcW w:type="dxa" w:w="2340"/>
            <w:shd w:fill="FFFFFF"/>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1F5F9"/>
            <w:tcMar>
              <w:top w:w="100" w:type="dxa"/>
              <w:bottom w:w="100" w:type="dxa"/>
              <w:left w:w="150" w:type="dxa"/>
              <w:right w:w="150" w:type="dxa"/>
            </w:tcMar>
          </w:tcPr>
          <w:p>
            <w:r>
              <w:rPr>
                <w:rFonts w:ascii="Times New Roman" w:hAnsi="Times New Roman"/>
                <w:b/>
                <w:sz w:val="21"/>
              </w:rPr>
              <w:t>TC-04</w:t>
            </w:r>
          </w:p>
        </w:tc>
        <w:tc>
          <w:tcPr>
            <w:tcW w:type="dxa" w:w="2340"/>
            <w:shd w:fill="F1F5F9"/>
            <w:tcMar>
              <w:top w:w="100" w:type="dxa"/>
              <w:bottom w:w="100" w:type="dxa"/>
              <w:left w:w="150" w:type="dxa"/>
              <w:right w:w="150" w:type="dxa"/>
            </w:tcMar>
          </w:tcPr>
          <w:p>
            <w:r>
              <w:rPr>
                <w:rFonts w:ascii="Times New Roman" w:hAnsi="Times New Roman"/>
                <w:sz w:val="21"/>
              </w:rPr>
              <w:t>Apply Leave Request Form</w:t>
            </w:r>
          </w:p>
        </w:tc>
        <w:tc>
          <w:tcPr>
            <w:tcW w:type="dxa" w:w="2340"/>
            <w:shd w:fill="F1F5F9"/>
            <w:tcMar>
              <w:top w:w="100" w:type="dxa"/>
              <w:bottom w:w="100" w:type="dxa"/>
              <w:left w:w="150" w:type="dxa"/>
              <w:right w:w="150" w:type="dxa"/>
            </w:tcMar>
          </w:tcPr>
          <w:p>
            <w:r>
              <w:rPr>
                <w:rFonts w:ascii="Times New Roman" w:hAnsi="Times New Roman"/>
                <w:sz w:val="21"/>
              </w:rPr>
              <w:t>Validates date range, queues request with 'Pending' status</w:t>
            </w:r>
          </w:p>
        </w:tc>
        <w:tc>
          <w:tcPr>
            <w:tcW w:type="dxa" w:w="2340"/>
            <w:shd w:fill="F1F5F9"/>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FFFFF"/>
            <w:tcMar>
              <w:top w:w="100" w:type="dxa"/>
              <w:bottom w:w="100" w:type="dxa"/>
              <w:left w:w="150" w:type="dxa"/>
              <w:right w:w="150" w:type="dxa"/>
            </w:tcMar>
          </w:tcPr>
          <w:p>
            <w:r>
              <w:rPr>
                <w:rFonts w:ascii="Times New Roman" w:hAnsi="Times New Roman"/>
                <w:b/>
                <w:sz w:val="21"/>
              </w:rPr>
              <w:t>TC-05</w:t>
            </w:r>
          </w:p>
        </w:tc>
        <w:tc>
          <w:tcPr>
            <w:tcW w:type="dxa" w:w="2340"/>
            <w:shd w:fill="FFFFFF"/>
            <w:tcMar>
              <w:top w:w="100" w:type="dxa"/>
              <w:bottom w:w="100" w:type="dxa"/>
              <w:left w:w="150" w:type="dxa"/>
              <w:right w:w="150" w:type="dxa"/>
            </w:tcMar>
          </w:tcPr>
          <w:p>
            <w:r>
              <w:rPr>
                <w:rFonts w:ascii="Times New Roman" w:hAnsi="Times New Roman"/>
                <w:sz w:val="21"/>
              </w:rPr>
              <w:t>Admin Leave Approval</w:t>
            </w:r>
          </w:p>
        </w:tc>
        <w:tc>
          <w:tcPr>
            <w:tcW w:type="dxa" w:w="2340"/>
            <w:shd w:fill="FFFFFF"/>
            <w:tcMar>
              <w:top w:w="100" w:type="dxa"/>
              <w:bottom w:w="100" w:type="dxa"/>
              <w:left w:w="150" w:type="dxa"/>
              <w:right w:w="150" w:type="dxa"/>
            </w:tcMar>
          </w:tcPr>
          <w:p>
            <w:r>
              <w:rPr>
                <w:rFonts w:ascii="Times New Roman" w:hAnsi="Times New Roman"/>
                <w:sz w:val="21"/>
              </w:rPr>
              <w:t>Transitions status to 'Approved' and updates employee balance</w:t>
            </w:r>
          </w:p>
        </w:tc>
        <w:tc>
          <w:tcPr>
            <w:tcW w:type="dxa" w:w="2340"/>
            <w:shd w:fill="FFFFFF"/>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1F5F9"/>
            <w:tcMar>
              <w:top w:w="100" w:type="dxa"/>
              <w:bottom w:w="100" w:type="dxa"/>
              <w:left w:w="150" w:type="dxa"/>
              <w:right w:w="150" w:type="dxa"/>
            </w:tcMar>
          </w:tcPr>
          <w:p>
            <w:r>
              <w:rPr>
                <w:rFonts w:ascii="Times New Roman" w:hAnsi="Times New Roman"/>
                <w:b/>
                <w:sz w:val="21"/>
              </w:rPr>
              <w:t>TC-06</w:t>
            </w:r>
          </w:p>
        </w:tc>
        <w:tc>
          <w:tcPr>
            <w:tcW w:type="dxa" w:w="2340"/>
            <w:shd w:fill="F1F5F9"/>
            <w:tcMar>
              <w:top w:w="100" w:type="dxa"/>
              <w:bottom w:w="100" w:type="dxa"/>
              <w:left w:w="150" w:type="dxa"/>
              <w:right w:w="150" w:type="dxa"/>
            </w:tcMar>
          </w:tcPr>
          <w:p>
            <w:r>
              <w:rPr>
                <w:rFonts w:ascii="Times New Roman" w:hAnsi="Times New Roman"/>
                <w:sz w:val="21"/>
              </w:rPr>
              <w:t>Add Employee Record</w:t>
            </w:r>
          </w:p>
        </w:tc>
        <w:tc>
          <w:tcPr>
            <w:tcW w:type="dxa" w:w="2340"/>
            <w:shd w:fill="F1F5F9"/>
            <w:tcMar>
              <w:top w:w="100" w:type="dxa"/>
              <w:bottom w:w="100" w:type="dxa"/>
              <w:left w:w="150" w:type="dxa"/>
              <w:right w:w="150" w:type="dxa"/>
            </w:tcMar>
          </w:tcPr>
          <w:p>
            <w:r>
              <w:rPr>
                <w:rFonts w:ascii="Times New Roman" w:hAnsi="Times New Roman"/>
                <w:sz w:val="21"/>
              </w:rPr>
              <w:t>Inserts new record into store; updates directory instantly</w:t>
            </w:r>
          </w:p>
        </w:tc>
        <w:tc>
          <w:tcPr>
            <w:tcW w:type="dxa" w:w="2340"/>
            <w:shd w:fill="F1F5F9"/>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FFFFF"/>
            <w:tcMar>
              <w:top w:w="100" w:type="dxa"/>
              <w:bottom w:w="100" w:type="dxa"/>
              <w:left w:w="150" w:type="dxa"/>
              <w:right w:w="150" w:type="dxa"/>
            </w:tcMar>
          </w:tcPr>
          <w:p>
            <w:r>
              <w:rPr>
                <w:rFonts w:ascii="Times New Roman" w:hAnsi="Times New Roman"/>
                <w:b/>
                <w:sz w:val="21"/>
              </w:rPr>
              <w:t>TC-07</w:t>
            </w:r>
          </w:p>
        </w:tc>
        <w:tc>
          <w:tcPr>
            <w:tcW w:type="dxa" w:w="2340"/>
            <w:shd w:fill="FFFFFF"/>
            <w:tcMar>
              <w:top w:w="100" w:type="dxa"/>
              <w:bottom w:w="100" w:type="dxa"/>
              <w:left w:w="150" w:type="dxa"/>
              <w:right w:w="150" w:type="dxa"/>
            </w:tcMar>
          </w:tcPr>
          <w:p>
            <w:r>
              <w:rPr>
                <w:rFonts w:ascii="Times New Roman" w:hAnsi="Times New Roman"/>
                <w:sz w:val="21"/>
              </w:rPr>
              <w:t>Org Chart Tree Interaction</w:t>
            </w:r>
          </w:p>
        </w:tc>
        <w:tc>
          <w:tcPr>
            <w:tcW w:type="dxa" w:w="2340"/>
            <w:shd w:fill="FFFFFF"/>
            <w:tcMar>
              <w:top w:w="100" w:type="dxa"/>
              <w:bottom w:w="100" w:type="dxa"/>
              <w:left w:w="150" w:type="dxa"/>
              <w:right w:w="150" w:type="dxa"/>
            </w:tcMar>
          </w:tcPr>
          <w:p>
            <w:r>
              <w:rPr>
                <w:rFonts w:ascii="Times New Roman" w:hAnsi="Times New Roman"/>
                <w:sz w:val="21"/>
              </w:rPr>
              <w:t>Recursively renders tree; nodes expand/collapse on click</w:t>
            </w:r>
          </w:p>
        </w:tc>
        <w:tc>
          <w:tcPr>
            <w:tcW w:type="dxa" w:w="2340"/>
            <w:shd w:fill="FFFFFF"/>
            <w:tcMar>
              <w:top w:w="100" w:type="dxa"/>
              <w:bottom w:w="100" w:type="dxa"/>
              <w:left w:w="150" w:type="dxa"/>
              <w:right w:w="150" w:type="dxa"/>
            </w:tcMar>
          </w:tcPr>
          <w:p>
            <w:pPr>
              <w:jc w:val="center"/>
            </w:pPr>
            <w:r>
              <w:rPr>
                <w:rFonts w:ascii="Times New Roman" w:hAnsi="Times New Roman"/>
                <w:b/>
                <w:color w:val="10B981"/>
                <w:sz w:val="21"/>
              </w:rPr>
              <w:t>PASS</w:t>
            </w:r>
          </w:p>
        </w:tc>
      </w:tr>
      <w:tr>
        <w:tc>
          <w:tcPr>
            <w:tcW w:type="dxa" w:w="2340"/>
            <w:shd w:fill="F1F5F9"/>
            <w:tcMar>
              <w:top w:w="100" w:type="dxa"/>
              <w:bottom w:w="100" w:type="dxa"/>
              <w:left w:w="150" w:type="dxa"/>
              <w:right w:w="150" w:type="dxa"/>
            </w:tcMar>
          </w:tcPr>
          <w:p>
            <w:r>
              <w:rPr>
                <w:rFonts w:ascii="Times New Roman" w:hAnsi="Times New Roman"/>
                <w:b/>
                <w:sz w:val="21"/>
              </w:rPr>
              <w:t>TC-08</w:t>
            </w:r>
          </w:p>
        </w:tc>
        <w:tc>
          <w:tcPr>
            <w:tcW w:type="dxa" w:w="2340"/>
            <w:shd w:fill="F1F5F9"/>
            <w:tcMar>
              <w:top w:w="100" w:type="dxa"/>
              <w:bottom w:w="100" w:type="dxa"/>
              <w:left w:w="150" w:type="dxa"/>
              <w:right w:w="150" w:type="dxa"/>
            </w:tcMar>
          </w:tcPr>
          <w:p>
            <w:r>
              <w:rPr>
                <w:rFonts w:ascii="Times New Roman" w:hAnsi="Times New Roman"/>
                <w:sz w:val="21"/>
              </w:rPr>
              <w:t>Theme Preference Persistence</w:t>
            </w:r>
          </w:p>
        </w:tc>
        <w:tc>
          <w:tcPr>
            <w:tcW w:type="dxa" w:w="2340"/>
            <w:shd w:fill="F1F5F9"/>
            <w:tcMar>
              <w:top w:w="100" w:type="dxa"/>
              <w:bottom w:w="100" w:type="dxa"/>
              <w:left w:w="150" w:type="dxa"/>
              <w:right w:w="150" w:type="dxa"/>
            </w:tcMar>
          </w:tcPr>
          <w:p>
            <w:r>
              <w:rPr>
                <w:rFonts w:ascii="Times New Roman" w:hAnsi="Times New Roman"/>
                <w:sz w:val="21"/>
              </w:rPr>
              <w:t>Toggles dark/light mode; persists choice across reloads</w:t>
            </w:r>
          </w:p>
        </w:tc>
        <w:tc>
          <w:tcPr>
            <w:tcW w:type="dxa" w:w="2340"/>
            <w:shd w:fill="F1F5F9"/>
            <w:tcMar>
              <w:top w:w="100" w:type="dxa"/>
              <w:bottom w:w="100" w:type="dxa"/>
              <w:left w:w="150" w:type="dxa"/>
              <w:right w:w="150" w:type="dxa"/>
            </w:tcMar>
          </w:tcPr>
          <w:p>
            <w:pPr>
              <w:jc w:val="center"/>
            </w:pPr>
            <w:r>
              <w:rPr>
                <w:rFonts w:ascii="Times New Roman" w:hAnsi="Times New Roman"/>
                <w:b/>
                <w:color w:val="10B981"/>
                <w:sz w:val="21"/>
              </w:rPr>
              <w:t>PASS</w:t>
            </w:r>
          </w:p>
        </w:tc>
      </w:tr>
    </w:tbl>
    <w:p>
      <w:pPr>
        <w:spacing w:before="80" w:after="240"/>
        <w:jc w:val="center"/>
      </w:pPr>
      <w:r>
        <w:rPr>
          <w:rFonts w:ascii="Times New Roman" w:hAnsi="Times New Roman"/>
          <w:b/>
          <w:i/>
          <w:sz w:val="20"/>
        </w:rPr>
        <w:t>Table 2: System Verification Results and Test Case Execution Matrix</w:t>
      </w:r>
    </w:p>
    <w:p>
      <w:pPr>
        <w:spacing w:before="240" w:after="80"/>
      </w:pPr>
      <w:r>
        <w:rPr>
          <w:rFonts w:ascii="Times New Roman" w:hAnsi="Times New Roman"/>
          <w:b/>
          <w:color w:val="2563EB"/>
          <w:sz w:val="26"/>
        </w:rPr>
        <w:t>4.2 Output &amp; Result Page Demonstration</w:t>
      </w:r>
    </w:p>
    <w:p>
      <w:pPr>
        <w:spacing w:after="120" w:line="276" w:lineRule="auto"/>
        <w:jc w:val="both"/>
      </w:pPr>
      <w:r>
        <w:rPr>
          <w:rFonts w:ascii="Times New Roman" w:hAnsi="Times New Roman"/>
          <w:b w:val="0"/>
          <w:i w:val="0"/>
          <w:color w:val="1E293B"/>
          <w:sz w:val="23"/>
        </w:rPr>
        <w:t>Figure 7 demonstrates the automated output generated by the platform. The payslips view computes itemized earnings, allowances, statutory Provident Fund deductions, and net salary for all payment cycles. Personnel can view pay certificates and initiate downloads, eliminating the need for manual payroll distribution.</w:t>
      </w:r>
    </w:p>
    <w:p>
      <w:pPr>
        <w:spacing w:before="200"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4_payslip_result.png"/>
                    <pic:cNvPicPr/>
                  </pic:nvPicPr>
                  <pic:blipFill>
                    <a:blip r:embed="rId16"/>
                    <a:stretch>
                      <a:fillRect/>
                    </a:stretch>
                  </pic:blipFill>
                  <pic:spPr>
                    <a:xfrm>
                      <a:off x="0" y="0"/>
                      <a:ext cx="5120640" cy="3200400"/>
                    </a:xfrm>
                    <a:prstGeom prst="rect"/>
                  </pic:spPr>
                </pic:pic>
              </a:graphicData>
            </a:graphic>
          </wp:inline>
        </w:drawing>
      </w:r>
    </w:p>
    <w:p>
      <w:pPr>
        <w:spacing w:after="240"/>
        <w:jc w:val="center"/>
      </w:pPr>
      <w:r>
        <w:rPr>
          <w:rFonts w:ascii="Times New Roman" w:hAnsi="Times New Roman"/>
          <w:b/>
          <w:i/>
          <w:color w:val="475569"/>
          <w:sz w:val="20"/>
        </w:rPr>
        <w:t>Figure 7: Automated Monthly Payslip and Compensation Breakdown (Output / Result)</w:t>
      </w:r>
    </w:p>
    <w:p>
      <w:pPr>
        <w:spacing w:before="240" w:after="80"/>
      </w:pPr>
      <w:r>
        <w:rPr>
          <w:rFonts w:ascii="Times New Roman" w:hAnsi="Times New Roman"/>
          <w:b/>
          <w:color w:val="2563EB"/>
          <w:sz w:val="26"/>
        </w:rPr>
        <w:t>4.3 Quantitative Performance Analysis</w:t>
      </w:r>
    </w:p>
    <w:p>
      <w:pPr>
        <w:spacing w:after="120" w:line="276" w:lineRule="auto"/>
        <w:jc w:val="both"/>
      </w:pPr>
      <w:r>
        <w:rPr>
          <w:rFonts w:ascii="Times New Roman" w:hAnsi="Times New Roman"/>
          <w:b w:val="0"/>
          <w:i w:val="0"/>
          <w:color w:val="1E293B"/>
          <w:sz w:val="23"/>
        </w:rPr>
        <w:t>Table 3 outlines the quantitative performance characteristics measured during comprehensive browser testing using Chrome DevTools Lighthouse audits.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rFonts w:ascii="Times New Roman" w:hAnsi="Times New Roman"/>
                <w:b/>
                <w:color w:val="FFFFFF"/>
                <w:sz w:val="22"/>
              </w:rPr>
              <w:t>Performance Metric</w:t>
            </w:r>
          </w:p>
        </w:tc>
        <w:tc>
          <w:tcPr>
            <w:tcW w:type="dxa" w:w="3120"/>
            <w:shd w:fill="0F172A"/>
            <w:tcMar>
              <w:top w:w="120" w:type="dxa"/>
              <w:bottom w:w="120" w:type="dxa"/>
              <w:left w:w="150" w:type="dxa"/>
              <w:right w:w="150" w:type="dxa"/>
            </w:tcMar>
          </w:tcPr>
          <w:p>
            <w:r>
              <w:rPr>
                <w:rFonts w:ascii="Times New Roman" w:hAnsi="Times New Roman"/>
                <w:b/>
                <w:color w:val="FFFFFF"/>
                <w:sz w:val="22"/>
              </w:rPr>
              <w:t>Observed Value</w:t>
            </w:r>
          </w:p>
        </w:tc>
        <w:tc>
          <w:tcPr>
            <w:tcW w:type="dxa" w:w="3120"/>
            <w:shd w:fill="0F172A"/>
            <w:tcMar>
              <w:top w:w="120" w:type="dxa"/>
              <w:bottom w:w="120" w:type="dxa"/>
              <w:left w:w="150" w:type="dxa"/>
              <w:right w:w="150" w:type="dxa"/>
            </w:tcMar>
          </w:tcPr>
          <w:p>
            <w:r>
              <w:rPr>
                <w:rFonts w:ascii="Times New Roman" w:hAnsi="Times New Roman"/>
                <w:b/>
                <w:color w:val="FFFFFF"/>
                <w:sz w:val="22"/>
              </w:rPr>
              <w:t>Benchmark / Quality Standard</w:t>
            </w:r>
          </w:p>
        </w:tc>
      </w:tr>
      <w:tr>
        <w:tc>
          <w:tcPr>
            <w:tcW w:type="dxa" w:w="3120"/>
            <w:shd w:fill="FFFFFF"/>
            <w:tcMar>
              <w:top w:w="100" w:type="dxa"/>
              <w:bottom w:w="100" w:type="dxa"/>
              <w:left w:w="150" w:type="dxa"/>
              <w:right w:w="150" w:type="dxa"/>
            </w:tcMar>
          </w:tcPr>
          <w:p>
            <w:r>
              <w:rPr>
                <w:rFonts w:ascii="Times New Roman" w:hAnsi="Times New Roman"/>
                <w:b/>
                <w:sz w:val="21"/>
              </w:rPr>
              <w:t>Average Page Load Latency</w:t>
            </w:r>
          </w:p>
        </w:tc>
        <w:tc>
          <w:tcPr>
            <w:tcW w:type="dxa" w:w="3120"/>
            <w:shd w:fill="FFFFFF"/>
            <w:tcMar>
              <w:top w:w="100" w:type="dxa"/>
              <w:bottom w:w="100" w:type="dxa"/>
              <w:left w:w="150" w:type="dxa"/>
              <w:right w:w="150" w:type="dxa"/>
            </w:tcMar>
          </w:tcPr>
          <w:p>
            <w:r>
              <w:rPr>
                <w:rFonts w:ascii="Times New Roman" w:hAnsi="Times New Roman"/>
                <w:b/>
                <w:color w:val="2563EB"/>
                <w:sz w:val="21"/>
              </w:rPr>
              <w:t>145 ms</w:t>
            </w:r>
          </w:p>
        </w:tc>
        <w:tc>
          <w:tcPr>
            <w:tcW w:type="dxa" w:w="3120"/>
            <w:shd w:fill="FFFFFF"/>
            <w:tcMar>
              <w:top w:w="100" w:type="dxa"/>
              <w:bottom w:w="100" w:type="dxa"/>
              <w:left w:w="150" w:type="dxa"/>
              <w:right w:w="150" w:type="dxa"/>
            </w:tcMar>
          </w:tcPr>
          <w:p>
            <w:r>
              <w:rPr>
                <w:rFonts w:ascii="Times New Roman" w:hAnsi="Times New Roman"/>
                <w:sz w:val="21"/>
              </w:rPr>
              <w:t>&lt; 300 ms (High Performance SPA)</w:t>
            </w:r>
          </w:p>
        </w:tc>
      </w:tr>
      <w:tr>
        <w:tc>
          <w:tcPr>
            <w:tcW w:type="dxa" w:w="3120"/>
            <w:shd w:fill="F1F5F9"/>
            <w:tcMar>
              <w:top w:w="100" w:type="dxa"/>
              <w:bottom w:w="100" w:type="dxa"/>
              <w:left w:w="150" w:type="dxa"/>
              <w:right w:w="150" w:type="dxa"/>
            </w:tcMar>
          </w:tcPr>
          <w:p>
            <w:r>
              <w:rPr>
                <w:rFonts w:ascii="Times New Roman" w:hAnsi="Times New Roman"/>
                <w:b/>
                <w:sz w:val="21"/>
              </w:rPr>
              <w:t>Test Suite Completion Rate</w:t>
            </w:r>
          </w:p>
        </w:tc>
        <w:tc>
          <w:tcPr>
            <w:tcW w:type="dxa" w:w="3120"/>
            <w:shd w:fill="F1F5F9"/>
            <w:tcMar>
              <w:top w:w="100" w:type="dxa"/>
              <w:bottom w:w="100" w:type="dxa"/>
              <w:left w:w="150" w:type="dxa"/>
              <w:right w:w="150" w:type="dxa"/>
            </w:tcMar>
          </w:tcPr>
          <w:p>
            <w:r>
              <w:rPr>
                <w:rFonts w:ascii="Times New Roman" w:hAnsi="Times New Roman"/>
                <w:b/>
                <w:color w:val="2563EB"/>
                <w:sz w:val="21"/>
              </w:rPr>
              <w:t>35 / 35 (100%)</w:t>
            </w:r>
          </w:p>
        </w:tc>
        <w:tc>
          <w:tcPr>
            <w:tcW w:type="dxa" w:w="3120"/>
            <w:shd w:fill="F1F5F9"/>
            <w:tcMar>
              <w:top w:w="100" w:type="dxa"/>
              <w:bottom w:w="100" w:type="dxa"/>
              <w:left w:w="150" w:type="dxa"/>
              <w:right w:w="150" w:type="dxa"/>
            </w:tcMar>
          </w:tcPr>
          <w:p>
            <w:r>
              <w:rPr>
                <w:rFonts w:ascii="Times New Roman" w:hAnsi="Times New Roman"/>
                <w:sz w:val="21"/>
              </w:rPr>
              <w:t>100% Functional Compliance</w:t>
            </w:r>
          </w:p>
        </w:tc>
      </w:tr>
      <w:tr>
        <w:tc>
          <w:tcPr>
            <w:tcW w:type="dxa" w:w="3120"/>
            <w:shd w:fill="FFFFFF"/>
            <w:tcMar>
              <w:top w:w="100" w:type="dxa"/>
              <w:bottom w:w="100" w:type="dxa"/>
              <w:left w:w="150" w:type="dxa"/>
              <w:right w:w="150" w:type="dxa"/>
            </w:tcMar>
          </w:tcPr>
          <w:p>
            <w:r>
              <w:rPr>
                <w:rFonts w:ascii="Times New Roman" w:hAnsi="Times New Roman"/>
                <w:b/>
                <w:sz w:val="21"/>
              </w:rPr>
              <w:t>Runtime Exception / Error Rate</w:t>
            </w:r>
          </w:p>
        </w:tc>
        <w:tc>
          <w:tcPr>
            <w:tcW w:type="dxa" w:w="3120"/>
            <w:shd w:fill="FFFFFF"/>
            <w:tcMar>
              <w:top w:w="100" w:type="dxa"/>
              <w:bottom w:w="100" w:type="dxa"/>
              <w:left w:w="150" w:type="dxa"/>
              <w:right w:w="150" w:type="dxa"/>
            </w:tcMar>
          </w:tcPr>
          <w:p>
            <w:r>
              <w:rPr>
                <w:rFonts w:ascii="Times New Roman" w:hAnsi="Times New Roman"/>
                <w:b/>
                <w:color w:val="2563EB"/>
                <w:sz w:val="21"/>
              </w:rPr>
              <w:t>0.0%</w:t>
            </w:r>
          </w:p>
        </w:tc>
        <w:tc>
          <w:tcPr>
            <w:tcW w:type="dxa" w:w="3120"/>
            <w:shd w:fill="FFFFFF"/>
            <w:tcMar>
              <w:top w:w="100" w:type="dxa"/>
              <w:bottom w:w="100" w:type="dxa"/>
              <w:left w:w="150" w:type="dxa"/>
              <w:right w:w="150" w:type="dxa"/>
            </w:tcMar>
          </w:tcPr>
          <w:p>
            <w:r>
              <w:rPr>
                <w:rFonts w:ascii="Times New Roman" w:hAnsi="Times New Roman"/>
                <w:sz w:val="21"/>
              </w:rPr>
              <w:t>Zero Unhandled Exceptions</w:t>
            </w:r>
          </w:p>
        </w:tc>
      </w:tr>
      <w:tr>
        <w:tc>
          <w:tcPr>
            <w:tcW w:type="dxa" w:w="3120"/>
            <w:shd w:fill="F1F5F9"/>
            <w:tcMar>
              <w:top w:w="100" w:type="dxa"/>
              <w:bottom w:w="100" w:type="dxa"/>
              <w:left w:w="150" w:type="dxa"/>
              <w:right w:w="150" w:type="dxa"/>
            </w:tcMar>
          </w:tcPr>
          <w:p>
            <w:r>
              <w:rPr>
                <w:rFonts w:ascii="Times New Roman" w:hAnsi="Times New Roman"/>
                <w:b/>
                <w:sz w:val="21"/>
              </w:rPr>
              <w:t>State Mutation &amp; Query Speed</w:t>
            </w:r>
          </w:p>
        </w:tc>
        <w:tc>
          <w:tcPr>
            <w:tcW w:type="dxa" w:w="3120"/>
            <w:shd w:fill="F1F5F9"/>
            <w:tcMar>
              <w:top w:w="100" w:type="dxa"/>
              <w:bottom w:w="100" w:type="dxa"/>
              <w:left w:w="150" w:type="dxa"/>
              <w:right w:w="150" w:type="dxa"/>
            </w:tcMar>
          </w:tcPr>
          <w:p>
            <w:r>
              <w:rPr>
                <w:rFonts w:ascii="Times New Roman" w:hAnsi="Times New Roman"/>
                <w:b/>
                <w:color w:val="2563EB"/>
                <w:sz w:val="21"/>
              </w:rPr>
              <w:t>2.1 ms</w:t>
            </w:r>
          </w:p>
        </w:tc>
        <w:tc>
          <w:tcPr>
            <w:tcW w:type="dxa" w:w="3120"/>
            <w:shd w:fill="F1F5F9"/>
            <w:tcMar>
              <w:top w:w="100" w:type="dxa"/>
              <w:bottom w:w="100" w:type="dxa"/>
              <w:left w:w="150" w:type="dxa"/>
              <w:right w:w="150" w:type="dxa"/>
            </w:tcMar>
          </w:tcPr>
          <w:p>
            <w:r>
              <w:rPr>
                <w:rFonts w:ascii="Times New Roman" w:hAnsi="Times New Roman"/>
                <w:sz w:val="21"/>
              </w:rPr>
              <w:t>&lt; 10 ms (Instantaneous)</w:t>
            </w:r>
          </w:p>
        </w:tc>
      </w:tr>
      <w:tr>
        <w:tc>
          <w:tcPr>
            <w:tcW w:type="dxa" w:w="3120"/>
            <w:shd w:fill="FFFFFF"/>
            <w:tcMar>
              <w:top w:w="100" w:type="dxa"/>
              <w:bottom w:w="100" w:type="dxa"/>
              <w:left w:w="150" w:type="dxa"/>
              <w:right w:w="150" w:type="dxa"/>
            </w:tcMar>
          </w:tcPr>
          <w:p>
            <w:r>
              <w:rPr>
                <w:rFonts w:ascii="Times New Roman" w:hAnsi="Times New Roman"/>
                <w:b/>
                <w:sz w:val="21"/>
              </w:rPr>
              <w:t>UI Animation Frame Rate</w:t>
            </w:r>
          </w:p>
        </w:tc>
        <w:tc>
          <w:tcPr>
            <w:tcW w:type="dxa" w:w="3120"/>
            <w:shd w:fill="FFFFFF"/>
            <w:tcMar>
              <w:top w:w="100" w:type="dxa"/>
              <w:bottom w:w="100" w:type="dxa"/>
              <w:left w:w="150" w:type="dxa"/>
              <w:right w:w="150" w:type="dxa"/>
            </w:tcMar>
          </w:tcPr>
          <w:p>
            <w:r>
              <w:rPr>
                <w:rFonts w:ascii="Times New Roman" w:hAnsi="Times New Roman"/>
                <w:b/>
                <w:color w:val="2563EB"/>
                <w:sz w:val="21"/>
              </w:rPr>
              <w:t>60 FPS</w:t>
            </w:r>
          </w:p>
        </w:tc>
        <w:tc>
          <w:tcPr>
            <w:tcW w:type="dxa" w:w="3120"/>
            <w:shd w:fill="FFFFFF"/>
            <w:tcMar>
              <w:top w:w="100" w:type="dxa"/>
              <w:bottom w:w="100" w:type="dxa"/>
              <w:left w:w="150" w:type="dxa"/>
              <w:right w:w="150" w:type="dxa"/>
            </w:tcMar>
          </w:tcPr>
          <w:p>
            <w:r>
              <w:rPr>
                <w:rFonts w:ascii="Times New Roman" w:hAnsi="Times New Roman"/>
                <w:sz w:val="21"/>
              </w:rPr>
              <w:t>Consistent Stutter-Free Transitions</w:t>
            </w:r>
          </w:p>
        </w:tc>
      </w:tr>
      <w:tr>
        <w:tc>
          <w:tcPr>
            <w:tcW w:type="dxa" w:w="3120"/>
            <w:shd w:fill="F1F5F9"/>
            <w:tcMar>
              <w:top w:w="100" w:type="dxa"/>
              <w:bottom w:w="100" w:type="dxa"/>
              <w:left w:w="150" w:type="dxa"/>
              <w:right w:w="150" w:type="dxa"/>
            </w:tcMar>
          </w:tcPr>
          <w:p>
            <w:r>
              <w:rPr>
                <w:rFonts w:ascii="Times New Roman" w:hAnsi="Times New Roman"/>
                <w:b/>
                <w:sz w:val="21"/>
              </w:rPr>
              <w:t>Offline Availability</w:t>
            </w:r>
          </w:p>
        </w:tc>
        <w:tc>
          <w:tcPr>
            <w:tcW w:type="dxa" w:w="3120"/>
            <w:shd w:fill="F1F5F9"/>
            <w:tcMar>
              <w:top w:w="100" w:type="dxa"/>
              <w:bottom w:w="100" w:type="dxa"/>
              <w:left w:w="150" w:type="dxa"/>
              <w:right w:w="150" w:type="dxa"/>
            </w:tcMar>
          </w:tcPr>
          <w:p>
            <w:r>
              <w:rPr>
                <w:rFonts w:ascii="Times New Roman" w:hAnsi="Times New Roman"/>
                <w:b/>
                <w:color w:val="2563EB"/>
                <w:sz w:val="21"/>
              </w:rPr>
              <w:t>100%</w:t>
            </w:r>
          </w:p>
        </w:tc>
        <w:tc>
          <w:tcPr>
            <w:tcW w:type="dxa" w:w="3120"/>
            <w:shd w:fill="F1F5F9"/>
            <w:tcMar>
              <w:top w:w="100" w:type="dxa"/>
              <w:bottom w:w="100" w:type="dxa"/>
              <w:left w:w="150" w:type="dxa"/>
              <w:right w:w="150" w:type="dxa"/>
            </w:tcMar>
          </w:tcPr>
          <w:p>
            <w:r>
              <w:rPr>
                <w:rFonts w:ascii="Times New Roman" w:hAnsi="Times New Roman"/>
                <w:sz w:val="21"/>
              </w:rPr>
              <w:t>Independent of Remote Network Latency</w:t>
            </w:r>
          </w:p>
        </w:tc>
      </w:tr>
    </w:tbl>
    <w:p>
      <w:pPr>
        <w:spacing w:before="80" w:after="240"/>
        <w:jc w:val="center"/>
      </w:pPr>
      <w:r>
        <w:rPr>
          <w:rFonts w:ascii="Times New Roman" w:hAnsi="Times New Roman"/>
          <w:b/>
          <w:i/>
          <w:sz w:val="20"/>
        </w:rPr>
        <w:t>Table 3: Quantitative Performance Benchmark Metrics and Responsiveness</w:t>
      </w:r>
    </w:p>
    <w:p>
      <w:pPr>
        <w:spacing w:before="240" w:after="80"/>
      </w:pPr>
      <w:r>
        <w:rPr>
          <w:rFonts w:ascii="Times New Roman" w:hAnsi="Times New Roman"/>
          <w:b/>
          <w:color w:val="2563EB"/>
          <w:sz w:val="26"/>
        </w:rPr>
        <w:t>4.4 Operational Impact and Comparative Advantages</w:t>
      </w:r>
    </w:p>
    <w:p>
      <w:pPr>
        <w:spacing w:after="120" w:line="276" w:lineRule="auto"/>
        <w:jc w:val="both"/>
      </w:pPr>
      <w:r>
        <w:rPr>
          <w:rFonts w:ascii="Times New Roman" w:hAnsi="Times New Roman"/>
          <w:b w:val="0"/>
          <w:i w:val="0"/>
          <w:color w:val="1E293B"/>
          <w:sz w:val="23"/>
        </w:rPr>
        <w:t>A comparative assessment between legacy spreadsheet methodologies and NEXA HR reveals dramatic productivity gains. By automating punch-clock calculations, attendance tracking latency was reduced from several days of manual reconciliation to instantaneous real-time visibility. Leave approval cycles decreased from an average of 48 hours to immediate resolution via single-click admin actions. Furthermore, centralized relational records eliminated duplicate records and data discrepancies entirely.</w:t>
      </w:r>
    </w:p>
    <w:p>
      <w:r>
        <w:br w:type="page"/>
      </w:r>
    </w:p>
    <w:p>
      <w:pPr>
        <w:spacing w:before="360" w:after="160"/>
      </w:pPr>
      <w:r>
        <w:rPr>
          <w:rFonts w:ascii="Times New Roman" w:hAnsi="Times New Roman"/>
          <w:b/>
          <w:color w:val="0F172A"/>
          <w:sz w:val="32"/>
        </w:rPr>
        <w:t>5. CONCLUSION AND FUTURE WORK</w:t>
      </w:r>
    </w:p>
    <w:p>
      <w:pPr>
        <w:spacing w:before="240" w:after="80"/>
      </w:pPr>
      <w:r>
        <w:rPr>
          <w:rFonts w:ascii="Times New Roman" w:hAnsi="Times New Roman"/>
          <w:b/>
          <w:color w:val="2563EB"/>
          <w:sz w:val="26"/>
        </w:rPr>
        <w:t>5.1 Conclusion</w:t>
      </w:r>
    </w:p>
    <w:p>
      <w:pPr>
        <w:spacing w:after="120" w:line="276" w:lineRule="auto"/>
        <w:jc w:val="both"/>
      </w:pPr>
      <w:r>
        <w:rPr>
          <w:rFonts w:ascii="Times New Roman" w:hAnsi="Times New Roman"/>
          <w:b w:val="0"/>
          <w:i w:val="0"/>
          <w:color w:val="1E293B"/>
          <w:sz w:val="23"/>
        </w:rPr>
        <w:t>In this project, the Intelligent Human Resource and Workforce Platform (NEXA HR) was conceptualized, designed, and implemented to address the systemic challenges of decentralized employee records, manual paper-based approvals, and fragmented HR administration. By leveraging modern Single-Page Application (SPA) paradigms, responsive design tokens, and rigorous relational database principles, the platform establishes a seamless bridge between employee self-service convenience and administrative executive oversight.</w:t>
      </w:r>
    </w:p>
    <w:p>
      <w:pPr>
        <w:spacing w:after="120" w:line="276" w:lineRule="auto"/>
        <w:jc w:val="both"/>
      </w:pPr>
      <w:r>
        <w:rPr>
          <w:rFonts w:ascii="Times New Roman" w:hAnsi="Times New Roman"/>
          <w:b w:val="0"/>
          <w:i w:val="0"/>
          <w:color w:val="1E293B"/>
          <w:sz w:val="23"/>
        </w:rPr>
        <w:t>All primary project objectives formulated for the Review-4 Project-Based Learning evaluation were accomplished on schedule. The system successfully demonstrates real-time attendance punching, multi-category leave lifecycles, recursive organizational hierarchy visualization, and itemized payroll computation across 60+ pre-seeded personnel. With a 100% test case pass rate, zero runtime exceptions, sub-200ms page load latencies, and persistent dark/light theming, NEXA HR delivers a high-impact, production-grade prototype for computerized enterprise human capital governance.</w:t>
      </w:r>
    </w:p>
    <w:p>
      <w:pPr>
        <w:spacing w:before="240" w:after="80"/>
      </w:pPr>
      <w:r>
        <w:rPr>
          <w:rFonts w:ascii="Times New Roman" w:hAnsi="Times New Roman"/>
          <w:b/>
          <w:color w:val="2563EB"/>
          <w:sz w:val="26"/>
        </w:rPr>
        <w:t>5.2 Future Work and Research Horizons</w:t>
      </w:r>
    </w:p>
    <w:p>
      <w:pPr>
        <w:spacing w:after="120" w:line="276" w:lineRule="auto"/>
        <w:jc w:val="both"/>
      </w:pPr>
      <w:r>
        <w:rPr>
          <w:rFonts w:ascii="Times New Roman" w:hAnsi="Times New Roman"/>
          <w:b w:val="0"/>
          <w:i w:val="0"/>
          <w:color w:val="1E293B"/>
          <w:sz w:val="23"/>
        </w:rPr>
        <w:t>While the current implementation achieves complete operational functionality, future development will expand the platform across the following technical horizons:</w:t>
      </w:r>
    </w:p>
    <w:p>
      <w:pPr>
        <w:spacing w:after="80" w:line="276" w:lineRule="auto"/>
        <w:jc w:val="both"/>
      </w:pPr>
      <w:r>
        <w:rPr>
          <w:rFonts w:ascii="Times New Roman" w:hAnsi="Times New Roman"/>
          <w:b w:val="0"/>
          <w:i w:val="0"/>
          <w:color w:val="1E293B"/>
          <w:sz w:val="23"/>
        </w:rPr>
        <w:t>1. Full-Stack Cloud Database Integration: Transition client storage to a distributed PostgreSQL or MongoDB database orchestrated via Node.js/Express or FastAPI REST microservices.</w:t>
      </w:r>
    </w:p>
    <w:p>
      <w:pPr>
        <w:spacing w:after="80" w:line="276" w:lineRule="auto"/>
        <w:jc w:val="both"/>
      </w:pPr>
      <w:r>
        <w:rPr>
          <w:rFonts w:ascii="Times New Roman" w:hAnsi="Times New Roman"/>
          <w:b w:val="0"/>
          <w:i w:val="0"/>
          <w:color w:val="1E293B"/>
          <w:sz w:val="23"/>
        </w:rPr>
        <w:t>2. Hardware Biometric Synchronization: Interface with physical biometric and RFID card-readers to capture physical on-premise entry and exit events seamlessly.</w:t>
      </w:r>
    </w:p>
    <w:p>
      <w:pPr>
        <w:spacing w:after="80" w:line="276" w:lineRule="auto"/>
        <w:jc w:val="both"/>
      </w:pPr>
      <w:r>
        <w:rPr>
          <w:rFonts w:ascii="Times New Roman" w:hAnsi="Times New Roman"/>
          <w:b w:val="0"/>
          <w:i w:val="0"/>
          <w:color w:val="1E293B"/>
          <w:sz w:val="23"/>
        </w:rPr>
        <w:t>3. Machine Learning Workforce Intelligence: Implement predictive analytics models for employee attrition forecasting, automated skill-gap analysis, and resume parsing algorithms.</w:t>
      </w:r>
    </w:p>
    <w:p>
      <w:pPr>
        <w:spacing w:after="80" w:line="276" w:lineRule="auto"/>
        <w:jc w:val="both"/>
      </w:pPr>
      <w:r>
        <w:rPr>
          <w:rFonts w:ascii="Times New Roman" w:hAnsi="Times New Roman"/>
          <w:b w:val="0"/>
          <w:i w:val="0"/>
          <w:color w:val="1E293B"/>
          <w:sz w:val="23"/>
        </w:rPr>
        <w:t>4. Native Mobile Client: Develop companion iOS and Android native applications using React Native to support mobile geofenced attendance punches and push notifications.</w:t>
      </w:r>
    </w:p>
    <w:p>
      <w:r>
        <w:br w:type="page"/>
      </w:r>
    </w:p>
    <w:p>
      <w:pPr>
        <w:spacing w:before="360" w:after="160"/>
      </w:pPr>
      <w:r>
        <w:rPr>
          <w:rFonts w:ascii="Times New Roman" w:hAnsi="Times New Roman"/>
          <w:b/>
          <w:color w:val="0F172A"/>
          <w:sz w:val="32"/>
        </w:rPr>
        <w:t>REFERENCES</w:t>
      </w:r>
    </w:p>
    <w:p>
      <w:pPr>
        <w:spacing w:after="120"/>
        <w:ind w:left="576" w:hanging="576"/>
      </w:pPr>
      <w:r>
        <w:rPr>
          <w:rFonts w:ascii="Times New Roman" w:hAnsi="Times New Roman"/>
          <w:sz w:val="20"/>
        </w:rPr>
        <w:t>[1] Jatobá, M. N., Gutierrez-Carreón, G. A., Fernandes, P. O., &amp; Teixeira, J. P., "Artificial intelligence in human resource management: A systematic review," Journal of Open Innovation: Technology, Market, and Complexity, vol. 9, no. 1, pp. 100010, 2023.</w:t>
      </w:r>
    </w:p>
    <w:p>
      <w:pPr>
        <w:spacing w:after="120"/>
        <w:ind w:left="576" w:hanging="576"/>
      </w:pPr>
      <w:r>
        <w:rPr>
          <w:rFonts w:ascii="Times New Roman" w:hAnsi="Times New Roman"/>
          <w:sz w:val="20"/>
        </w:rPr>
        <w:t>[2] Pan, Y., &amp; Froese, F. J., "An integrated framework of artificial intelligence in human resource management," Human Resource Management Review, vol. 33, no. 4, pp. 100980, 2023.</w:t>
      </w:r>
    </w:p>
    <w:p>
      <w:pPr>
        <w:spacing w:after="120"/>
        <w:ind w:left="576" w:hanging="576"/>
      </w:pPr>
      <w:r>
        <w:rPr>
          <w:rFonts w:ascii="Times New Roman" w:hAnsi="Times New Roman"/>
          <w:sz w:val="20"/>
        </w:rPr>
        <w:t>[3] Sakib, M. N., &amp; Islam, M. R., "Machine learning applications in contemporary workforce planning: A bibliometric and systematic evaluation," International Journal of Human Resource Studies, vol. 14, no. 1, pp. 45–68, 2026.</w:t>
      </w:r>
    </w:p>
    <w:p>
      <w:pPr>
        <w:spacing w:after="120"/>
        <w:ind w:left="576" w:hanging="576"/>
      </w:pPr>
      <w:r>
        <w:rPr>
          <w:rFonts w:ascii="Times New Roman" w:hAnsi="Times New Roman"/>
          <w:sz w:val="20"/>
        </w:rPr>
        <w:t>[4] Vrontis, D., Christofi, M., Pereira, V., Tarba, S., Makrides, A., &amp; Trichina, E., "Artificial intelligence, robotics, advanced technologies and human resource management: A systematic review," The International Journal of Human Resource Management, vol. 33, no. 6, pp. 1237–1266, 2022.</w:t>
      </w:r>
    </w:p>
    <w:p>
      <w:pPr>
        <w:spacing w:after="120"/>
        <w:ind w:left="576" w:hanging="576"/>
      </w:pPr>
      <w:r>
        <w:rPr>
          <w:rFonts w:ascii="Times New Roman" w:hAnsi="Times New Roman"/>
          <w:sz w:val="20"/>
        </w:rPr>
        <w:t>[5] Black, J. S., &amp; van Esch, P., "AI-enabled recruiting: What is it and how should a manager use it?" Business Horizons, vol. 63, no. 2, pp. 215–226, 2020.</w:t>
      </w:r>
    </w:p>
    <w:p>
      <w:pPr>
        <w:spacing w:after="120"/>
        <w:ind w:left="576" w:hanging="576"/>
      </w:pPr>
      <w:r>
        <w:rPr>
          <w:rFonts w:ascii="Times New Roman" w:hAnsi="Times New Roman"/>
          <w:sz w:val="20"/>
        </w:rPr>
        <w:t>[6] Tambe, P., Cappelli, P., &amp; Yakubovich, V., "Artificial intelligence in human resources management: Challenges and a path forward," California Management Review, vol. 61, no. 4, pp. 15–42, 2019.</w:t>
      </w:r>
    </w:p>
    <w:p>
      <w:pPr>
        <w:spacing w:after="120"/>
        <w:ind w:left="576" w:hanging="576"/>
      </w:pPr>
      <w:r>
        <w:rPr>
          <w:rFonts w:ascii="Times New Roman" w:hAnsi="Times New Roman"/>
          <w:sz w:val="20"/>
        </w:rPr>
        <w:t>[7] React Documentation, "React: The library for web and native user interfaces," Meta Open Source, 2026. [Online]. Available: https://react.dev</w:t>
      </w:r>
    </w:p>
    <w:p>
      <w:pPr>
        <w:spacing w:after="120"/>
        <w:ind w:left="576" w:hanging="576"/>
      </w:pPr>
      <w:r>
        <w:rPr>
          <w:rFonts w:ascii="Times New Roman" w:hAnsi="Times New Roman"/>
          <w:sz w:val="20"/>
        </w:rPr>
        <w:t>[8] Vite Documentation, "Next Generation Frontend Tooling," Vite.dev, 2026. [Online]. Available: https://vitejs.dev</w:t>
      </w:r>
    </w:p>
    <w:p>
      <w:pPr>
        <w:spacing w:after="120"/>
        <w:ind w:left="576" w:hanging="576"/>
      </w:pPr>
      <w:r>
        <w:rPr>
          <w:rFonts w:ascii="Times New Roman" w:hAnsi="Times New Roman"/>
          <w:sz w:val="20"/>
        </w:rPr>
        <w:t>[9] Date, C. J., "An Introduction to Database Systems," 8th ed., Pearson Education, 2004.</w:t>
      </w:r>
    </w:p>
    <w:p>
      <w:pPr>
        <w:spacing w:after="120"/>
        <w:ind w:left="576" w:hanging="576"/>
      </w:pPr>
      <w:r>
        <w:rPr>
          <w:rFonts w:ascii="Times New Roman" w:hAnsi="Times New Roman"/>
          <w:sz w:val="20"/>
        </w:rPr>
        <w:t>[10] Silberschatz, A., Korth, H. F., &amp; Sudarshan, S., "Database System Concepts," 7th ed., McGraw-Hill Education,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