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color w:val="000000"/>
          <w:sz w:val="32"/>
        </w:rPr>
        <w:t>Lab 1: Requirements Engineering &amp; UML Use-Case Modelling</w:t>
      </w:r>
    </w:p>
    <w:p>
      <w:r>
        <w:rPr>
          <w:i/>
        </w:rPr>
        <w:t>Problem Statement #14 - Healthcare &amp; Telemedicine - Corporate Mental Wellness &amp; Counseling Platform</w:t>
      </w:r>
    </w:p>
    <w:p>
      <w:r>
        <w:rPr>
          <w:sz w:val="18"/>
        </w:rPr>
        <w:t>Prepared by Dhanush</w:t>
      </w:r>
    </w:p>
    <w:p>
      <w:pPr>
        <w:spacing w:before="160"/>
      </w:pPr>
      <w:r>
        <w:rPr>
          <w:b/>
          <w:color w:val="000000"/>
          <w:sz w:val="26"/>
        </w:rPr>
        <w:t>1. Scenario and approach</w:t>
      </w:r>
    </w:p>
    <w:p>
      <w:r>
        <w:t>Scenario: An anonymous counselling portal for a company. Employees can check their stress levels, book confidential sessions with a licensed therapist and follow their own wellness indicators, and at no point does the employer learn who used it.</w:t>
      </w:r>
    </w:p>
    <w:p>
      <w:r>
        <w:t>This report covers Lab 1 for Problem Statement #14. It works from the given scenario through to a set of requirements, a use-case model and four use-case flows.</w:t>
      </w:r>
    </w:p>
    <w:p>
      <w:r>
        <w:t>The problem statement fixes the goal and names two stakeholders, but it leaves the mechanism open. It does not say what the questionnaire contains, how the pseudo-ID is produced, or where the link between an employee and their pseudo-ID is kept. Section 2 settles those points before anything depends on them, so every acceptance criterion has something concrete to test against.</w:t>
      </w:r>
    </w:p>
    <w:p>
      <w:r>
        <w:t>The counts follow the handout: five functional requirements and two non-functional ones, each with a measurable pass and fail condition, at least three actors, and at least one include and one extend relationship in the diagram.</w:t>
      </w:r>
    </w:p>
    <w:p>
      <w:pPr>
        <w:spacing w:before="160"/>
      </w:pPr>
      <w:r>
        <w:rPr>
          <w:b/>
          <w:color w:val="000000"/>
          <w:sz w:val="26"/>
        </w:rPr>
        <w:t>2. Stated assumptions</w:t>
      </w:r>
    </w:p>
    <w:p>
      <w:r>
        <w:rPr>
          <w:b/>
        </w:rPr>
        <w:t xml:space="preserve">Assessment instrument. </w:t>
      </w:r>
      <w:r>
        <w:t>The questionnaire is ten items, each answered on a five-point frequency scale (Never 0, Rarely 1, Sometimes 2, Often 3, Very Often 4), giving a total out of 40. Bands are low (0-10), moderate (11-20), high (21-30) and severe (31-40). This is a wellness self-assessment for triage and self-awareness. It is not a diagnostic instrument and the platform does not present it as one.</w:t>
      </w:r>
    </w:p>
    <w:p>
      <w:r>
        <w:rPr>
          <w:b/>
        </w:rPr>
        <w:t xml:space="preserve">Two separate identities. </w:t>
      </w:r>
      <w:r>
        <w:t>The employee has a corporate identity (employee ID and corporate email) used once, to prove they are entitled to the benefit. Everything on the counselling side is keyed on a pseudo-ID such as WEL-7F42A91C, generated at random rather than derived from the corporate identity, so it cannot be reversed.</w:t>
      </w:r>
    </w:p>
    <w:p>
      <w:r>
        <w:rPr>
          <w:b/>
        </w:rPr>
        <w:t xml:space="preserve">Where the link is kept. </w:t>
      </w:r>
      <w:r>
        <w:t>The pseudo-ID to employee mapping lives in an identity store separate from counselling records. Booking, assessment and notes data hold the pseudo-ID and nothing else, so a leak of the counselling database does not identify anybody.</w:t>
      </w:r>
    </w:p>
    <w:p>
      <w:r>
        <w:rPr>
          <w:b/>
        </w:rPr>
        <w:t xml:space="preserve">Out of scope for Lab 1. </w:t>
      </w:r>
      <w:r>
        <w:t>Session delivery (the video or chat call itself), therapist licensing checks and payment or billing are outside this iteration.</w:t>
      </w:r>
    </w:p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before="0"/>
      </w:pPr>
      <w:r>
        <w:rPr>
          <w:b/>
          <w:color w:val="000000"/>
          <w:sz w:val="26"/>
        </w:rPr>
        <w:t>3.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936"/>
          </w:tcPr>
          <w:p>
            <w:r>
              <w:rPr>
                <w:b/>
                <w:color w:val="000000"/>
                <w:sz w:val="18"/>
              </w:rPr>
              <w:t>Req ID</w:t>
            </w:r>
          </w:p>
        </w:tc>
        <w:tc>
          <w:tcPr>
            <w:tcW w:type="dxa" w:w="1944"/>
          </w:tcPr>
          <w:p>
            <w:r>
              <w:rPr>
                <w:b/>
                <w:color w:val="000000"/>
                <w:sz w:val="18"/>
              </w:rPr>
              <w:t>Type</w:t>
            </w:r>
          </w:p>
        </w:tc>
        <w:tc>
          <w:tcPr>
            <w:tcW w:type="dxa" w:w="4464"/>
          </w:tcPr>
          <w:p>
            <w:r>
              <w:rPr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936"/>
          </w:tcPr>
          <w:p>
            <w:r>
              <w:rPr>
                <w:b/>
                <w:color w:val="000000"/>
                <w:sz w:val="18"/>
              </w:rPr>
              <w:t>Priority</w:t>
            </w:r>
          </w:p>
        </w:tc>
        <w:tc>
          <w:tcPr>
            <w:tcW w:type="dxa" w:w="4896"/>
          </w:tcPr>
          <w:p>
            <w:r>
              <w:rPr>
                <w:b/>
                <w:color w:val="000000"/>
                <w:sz w:val="18"/>
              </w:rPr>
              <w:t>Acceptance Criteria</w:t>
            </w:r>
          </w:p>
        </w:tc>
        <w:tc>
          <w:tcPr>
            <w:tcW w:type="dxa" w:w="3096"/>
          </w:tcPr>
          <w:p>
            <w:r>
              <w:rPr>
                <w:b/>
                <w:color w:val="000000"/>
                <w:sz w:val="18"/>
              </w:rPr>
              <w:t>Rationale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FR-001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 verify an employee against the corporate directory once at registration, then issue a randomly generated pseudo-ID, and shall use only that pseudo-ID in every record and screen available to a therapist, so that no corporate email address, employee ID or name is disclosed.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after an employee books a session, the therapist dashboard and the stored booking record show only the pseudo-ID in the format WEL-XXXXXXXX, and the identity mapping is unreadable from the counselling database. Fail: any booking metadata field contains the employee's email, employee ID or full name, or the pseudo-ID can be derived from the corporate identity.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The whole service depends on this. An employee who thinks HR can see their name simply will not book.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FR-002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 let an employee complete a ten-item stress self-assessment, each item answered on a five-point frequency scale, and shall return the total score out of 40 with its band (low, moderate, high or severe) once the final item is answered.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submitting a fully answered questionnaire returns a score between 0 and 40 and the band matching the published ranges, within 2 seconds, labelled as a wellness check rather than a diagnosis. Fail: no result is returned, the band contradicts the score, or a partly answered form is scored.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Gives the employee and the therapist the same starting point. The score is also what FR-005 checks against.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FR-003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 allow an employee to book a counselling session only in a slot the therapist has published as free, and shall mark that slot unavailable in the same transaction.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when two employees confirm the same slot at the same moment, one booking is confirmed and the other receives a 'slot no longer available' message. Fail: both bookings are confirmed, or a slot outside the therapist's published availability is accepted.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Stops double booking. A therapist who finds two people waiting for the same slot has to turn one of them away.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FR-004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 show an employee a trend of their own wellness indicators (stress score, sleep hours and sessions attended) across their six most recent assessments.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Medium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an account with six or more assessments plots all six in date order; an account with fewer plots only the assessments that exist. Fail: the chart shows another account's data, or fills dates that have no assessment with estimated values.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A trend is easier to read than a list of old scores, and it gives the employee a reason to keep taking the assessment.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FR-005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Functional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shall, whenever an assessment falls in the severe band, display regional crisis helpline details on the results screen and offer the earliest available priority appointment slot.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a submission scoring in the severe band shows the helpline panel and lists at least one priority slot starting within the next 24 hours. Fail: a severe score is presented as an ordinary result, with no helpline and no priority slot.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A severe score needs attention the same day, not after a two-day wait in the normal booking queue.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NFR-001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Nonfunctional (Performance &amp; Security)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appointment scheduler shall convert every slot to the viewer's local timezone correctly, including across daylight saving transitions, and shall return a slot list in under 2 seconds at peak load.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a benchmark of 500 concurrent users across IST, GMT and PST keeps 95th percentile slot-list latency below 2 seconds, and a booking made on a daylight saving changeover date shows the same absolute time to both parties. Fail: the two views disagree on the time, or 95th percentile latency exceeds 2 seconds.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Employees and therapists sit in different countries and book across timezones daily. An hour's error means somebody misses the session.</w:t>
            </w:r>
          </w:p>
        </w:tc>
      </w:tr>
      <w:tr>
        <w:tc>
          <w:tcPr>
            <w:tcW w:type="dxa" w:w="936"/>
          </w:tcPr>
          <w:p>
            <w:r>
              <w:rPr>
                <w:b/>
                <w:color w:val="000000"/>
                <w:sz w:val="17"/>
              </w:rPr>
              <w:t>NFR-002</w:t>
            </w:r>
          </w:p>
        </w:tc>
        <w:tc>
          <w:tcPr>
            <w:tcW w:type="dxa" w:w="1944"/>
          </w:tcPr>
          <w:p>
            <w:r>
              <w:rPr>
                <w:color w:val="000000"/>
                <w:sz w:val="17"/>
              </w:rPr>
              <w:t>Nonfunctional (Security &amp; Privacy)</w:t>
            </w:r>
          </w:p>
        </w:tc>
        <w:tc>
          <w:tcPr>
            <w:tcW w:type="dxa" w:w="4464"/>
          </w:tcPr>
          <w:p>
            <w:r>
              <w:rPr>
                <w:color w:val="000000"/>
                <w:sz w:val="17"/>
              </w:rPr>
              <w:t>The system shall hold the pseudo-ID to employee mapping in a store separate from all counselling data, shall encrypt that mapping, session notes and assessment answers with AES-256 at rest and TLS 1.3 in transit, and shall release an aggregate wellness report to a Wellness Program Administrator only where the reported group contains at least ten employees.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17"/>
              </w:rPr>
              <w:t>High</w:t>
            </w:r>
          </w:p>
        </w:tc>
        <w:tc>
          <w:tcPr>
            <w:tcW w:type="dxa" w:w="4896"/>
          </w:tcPr>
          <w:p>
            <w:r>
              <w:rPr>
                <w:color w:val="000000"/>
                <w:sz w:val="17"/>
              </w:rPr>
              <w:t>Pass: a dump of the counselling database yields no readable notes and no corporate identifier, and a report requested for a department of nine employees is refused with a 'group too small' message. Fail: plaintext notes appear in storage or logs, the mapping is readable from counselling data, or a report is released for a group smaller than ten.</w:t>
            </w:r>
          </w:p>
        </w:tc>
        <w:tc>
          <w:tcPr>
            <w:tcW w:type="dxa" w:w="3096"/>
          </w:tcPr>
          <w:p>
            <w:r>
              <w:rPr>
                <w:color w:val="000000"/>
                <w:sz w:val="17"/>
              </w:rPr>
              <w:t>Session notes are clinical records, and the mapping is the one table that would undo every pseudo-ID at once. Reports on very small teams would also let HR work out who has been using the service.</w:t>
            </w:r>
          </w:p>
        </w:tc>
      </w:tr>
    </w:tbl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before="0"/>
      </w:pPr>
      <w:r>
        <w:rPr>
          <w:b/>
          <w:color w:val="000000"/>
          <w:sz w:val="26"/>
        </w:rPr>
        <w:t>4.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</w:tcPr>
          <w:p>
            <w:r>
              <w:rPr>
                <w:b/>
                <w:color w:val="000000"/>
                <w:sz w:val="18"/>
              </w:rPr>
              <w:t>Actor</w:t>
            </w:r>
          </w:p>
        </w:tc>
        <w:tc>
          <w:tcPr>
            <w:tcW w:type="dxa" w:w="1152"/>
          </w:tcPr>
          <w:p>
            <w:r>
              <w:rPr>
                <w:b/>
                <w:color w:val="000000"/>
                <w:sz w:val="18"/>
              </w:rPr>
              <w:t>Kind</w:t>
            </w:r>
          </w:p>
        </w:tc>
        <w:tc>
          <w:tcPr>
            <w:tcW w:type="dxa" w:w="6624"/>
          </w:tcPr>
          <w:p>
            <w:r>
              <w:rPr>
                <w:b/>
                <w:color w:val="000000"/>
                <w:sz w:val="18"/>
              </w:rPr>
              <w:t>Role in the system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Corporate Employee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Primary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Takes assessments, books and attends sessions, tracks their own indicators. Known to the counselling side of the system only by a pseudo-ID.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Licensed Therapist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Primary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Publishes availability, conducts sessions and records notes. Sees the pseudo-ID, never the employee's corporate identity.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Wellness Program Administrator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Primary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HR-side owner of the programme. Reads aggregate uptake and wellness reports only, subject to the group size floor in NFR-002.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Corporate Identity Provider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Supporting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The employer's existing directory or SSO. Confirms once that the person is a current employee, and is never told what they do afterwards.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Crisis Support Service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Supporting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External helpline the platform hands off to when an assessment scores in the severe band.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color w:val="000000"/>
                <w:sz w:val="17"/>
              </w:rPr>
              <w:t>Notification Service</w:t>
            </w:r>
          </w:p>
        </w:tc>
        <w:tc>
          <w:tcPr>
            <w:tcW w:type="dxa" w:w="1152"/>
          </w:tcPr>
          <w:p>
            <w:r>
              <w:rPr>
                <w:color w:val="000000"/>
                <w:sz w:val="17"/>
              </w:rPr>
              <w:t>Supporting</w:t>
            </w:r>
          </w:p>
        </w:tc>
        <w:tc>
          <w:tcPr>
            <w:tcW w:type="dxa" w:w="6624"/>
          </w:tcPr>
          <w:p>
            <w:r>
              <w:rPr>
                <w:color w:val="000000"/>
                <w:sz w:val="17"/>
              </w:rPr>
              <w:t>External email and push provider that delivers booking confirmations and reminders.</w:t>
            </w:r>
          </w:p>
        </w:tc>
      </w:tr>
    </w:tbl>
    <w:p>
      <w:pPr>
        <w:spacing w:before="160"/>
      </w:pPr>
      <w:r>
        <w:rPr>
          <w:b/>
          <w:color w:val="000000"/>
          <w:sz w:val="26"/>
        </w:rPr>
        <w:t>5. Use cases and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008"/>
          </w:tcPr>
          <w:p>
            <w:r>
              <w:rPr>
                <w:b/>
                <w:color w:val="000000"/>
                <w:sz w:val="18"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  <w:color w:val="000000"/>
                <w:sz w:val="18"/>
              </w:rPr>
              <w:t>Title</w:t>
            </w:r>
          </w:p>
        </w:tc>
        <w:tc>
          <w:tcPr>
            <w:tcW w:type="dxa" w:w="3744"/>
          </w:tcPr>
          <w:p>
            <w:r>
              <w:rPr>
                <w:b/>
                <w:color w:val="000000"/>
                <w:sz w:val="18"/>
              </w:rPr>
              <w:t>Actor / relationship</w:t>
            </w:r>
          </w:p>
        </w:tc>
        <w:tc>
          <w:tcPr>
            <w:tcW w:type="dxa" w:w="2592"/>
          </w:tcPr>
          <w:p>
            <w:r>
              <w:rPr>
                <w:b/>
                <w:color w:val="000000"/>
                <w:sz w:val="18"/>
              </w:rPr>
              <w:t>Traces to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UC-01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Create Anonymous Wellness Account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Corporate Employee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FR-001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UC-02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Take Stress Self-Assessment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Corporate Employee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UC-03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Book Counseling Session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Corporate Employee, Licensed Therapist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FR-003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UC-04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View Wellness Trend Dashboard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Corporate Employee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FR-004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UC-05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Manage Availability Calendar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Licensed Therapist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FR-003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UC-06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Record Encrypted Session Notes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Licensed Therapist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NFR-002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UC-07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View Aggregate Wellness Report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Wellness Program Administrator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NFR-002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UC-08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Generate Pseudo-ID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included by UC-01 and UC-03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FR-001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UC-09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Escalate to Crisis Support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extends UC-02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FR-005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UC-10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Verify Slot Availability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included by UC-03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FR-003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UC-11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Send Confirmation Notification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included by UC-03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FR-003, NFR-001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UC-12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Reschedule or Cancel Session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extends UC-03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FR-003</w:t>
            </w:r>
          </w:p>
        </w:tc>
      </w:tr>
      <w:tr>
        <w:tc>
          <w:tcPr>
            <w:tcW w:type="dxa" w:w="1008"/>
          </w:tcPr>
          <w:p>
            <w:r>
              <w:rPr>
                <w:b/>
                <w:color w:val="000000"/>
                <w:sz w:val="17"/>
              </w:rPr>
              <w:t>UC-13</w:t>
            </w:r>
          </w:p>
        </w:tc>
        <w:tc>
          <w:tcPr>
            <w:tcW w:type="dxa" w:w="2880"/>
          </w:tcPr>
          <w:p>
            <w:r>
              <w:rPr>
                <w:color w:val="000000"/>
                <w:sz w:val="17"/>
              </w:rPr>
              <w:t>Verify Employment Status</w:t>
            </w:r>
          </w:p>
        </w:tc>
        <w:tc>
          <w:tcPr>
            <w:tcW w:type="dxa" w:w="3744"/>
          </w:tcPr>
          <w:p>
            <w:r>
              <w:rPr>
                <w:color w:val="000000"/>
                <w:sz w:val="17"/>
              </w:rPr>
              <w:t>included by UC-01</w:t>
            </w:r>
          </w:p>
        </w:tc>
        <w:tc>
          <w:tcPr>
            <w:tcW w:type="dxa" w:w="2592"/>
          </w:tcPr>
          <w:p>
            <w:r>
              <w:rPr>
                <w:color w:val="000000"/>
                <w:sz w:val="17"/>
              </w:rPr>
              <w:t>FR-001</w:t>
            </w:r>
          </w:p>
        </w:tc>
      </w:tr>
    </w:tbl>
    <w:p>
      <w:pPr>
        <w:spacing w:before="160"/>
      </w:pPr>
      <w:r>
        <w:rPr>
          <w:b/>
          <w:color w:val="000000"/>
          <w:sz w:val="26"/>
        </w:rPr>
        <w:t>6. Include and extend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</w:tcPr>
          <w:p>
            <w:r>
              <w:rPr>
                <w:b/>
                <w:color w:val="000000"/>
                <w:sz w:val="18"/>
              </w:rPr>
              <w:t>Relationship</w:t>
            </w:r>
          </w:p>
        </w:tc>
        <w:tc>
          <w:tcPr>
            <w:tcW w:type="dxa" w:w="7488"/>
          </w:tcPr>
          <w:p>
            <w:r>
              <w:rPr>
                <w:b/>
                <w:color w:val="000000"/>
                <w:sz w:val="18"/>
              </w:rPr>
              <w:t>Why it is modelled this way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UC-01 «include» UC-13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Registration always checks the person against the corporate directory first. An account that skipped the check would make the pseudo-ID meaningless.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UC-01 «include» UC-08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Account creation always generates a pseudo-ID; there is no account without one.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UC-03 «include» UC-08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Every booking is written against a pseudo-ID, so the identifier is resolved on each booking as well.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UC-03 «include» UC-10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A booking always checks the slot is still free before it is committed.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UC-03 «include» UC-11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A confirmed booking always sends a confirmation to both parties.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UC-09 «extend» UC-02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Crisis escalation runs only when the assessment scores in the severe band.</w:t>
            </w:r>
          </w:p>
        </w:tc>
      </w:tr>
      <w:tr>
        <w:tc>
          <w:tcPr>
            <w:tcW w:type="dxa" w:w="2736"/>
          </w:tcPr>
          <w:p>
            <w:r>
              <w:rPr>
                <w:b/>
                <w:color w:val="000000"/>
                <w:sz w:val="17"/>
              </w:rPr>
              <w:t>UC-12 «extend» UC-03</w:t>
            </w:r>
          </w:p>
        </w:tc>
        <w:tc>
          <w:tcPr>
            <w:tcW w:type="dxa" w:w="7488"/>
          </w:tcPr>
          <w:p>
            <w:r>
              <w:rPr>
                <w:color w:val="000000"/>
                <w:sz w:val="17"/>
              </w:rPr>
              <w:t>Rescheduling or cancelling happens only if the employee or therapist later changes the booking.</w:t>
            </w:r>
          </w:p>
        </w:tc>
      </w:tr>
    </w:tbl>
    <w:p>
      <w:pPr>
        <w:sectPr>
          <w:pgSz w:w="12240" w:h="15840"/>
          <w:pgMar w:top="1008" w:right="1008" w:bottom="1008" w:left="1008" w:header="720" w:footer="720" w:gutter="0"/>
          <w:cols w:space="720"/>
          <w:docGrid w:linePitch="360"/>
        </w:sectPr>
      </w:pPr>
    </w:p>
    <w:p>
      <w:pPr>
        <w:spacing w:before="0"/>
      </w:pPr>
      <w:r>
        <w:rPr>
          <w:b/>
          <w:color w:val="000000"/>
          <w:sz w:val="26"/>
        </w:rPr>
        <w:t>7. Use-case diagram</w:t>
      </w:r>
    </w:p>
    <w:p>
      <w:r>
        <w:drawing>
          <wp:inline xmlns:a="http://schemas.openxmlformats.org/drawingml/2006/main" xmlns:pic="http://schemas.openxmlformats.org/drawingml/2006/picture">
            <wp:extent cx="9326880" cy="6239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623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before="0"/>
      </w:pPr>
      <w:r>
        <w:rPr>
          <w:b/>
          <w:color w:val="000000"/>
          <w:sz w:val="26"/>
        </w:rPr>
        <w:t>8. Use-case flows</w:t>
      </w:r>
    </w:p>
    <w:p>
      <w:pPr>
        <w:spacing w:before="0"/>
      </w:pPr>
      <w:r>
        <w:rPr>
          <w:b/>
          <w:color w:val="000000"/>
          <w:sz w:val="24"/>
        </w:rPr>
        <w:t>8.1 UC-01 Create Anonymous Wellness Account</w:t>
      </w:r>
    </w:p>
    <w:p>
      <w:r>
        <w:rPr>
          <w:b/>
        </w:rPr>
        <w:t xml:space="preserve">Primary actor: </w:t>
      </w:r>
      <w:r>
        <w:t>Corporate Employee</w:t>
      </w:r>
    </w:p>
    <w:p>
      <w:r>
        <w:rPr>
          <w:b/>
        </w:rPr>
        <w:t xml:space="preserve">Secondary actors: </w:t>
      </w:r>
      <w:r>
        <w:t>Corporate Identity Provider</w:t>
      </w:r>
    </w:p>
    <w:p>
      <w:r>
        <w:rPr>
          <w:b/>
        </w:rPr>
        <w:t xml:space="preserve">Goal: </w:t>
      </w:r>
      <w:r>
        <w:t>Get the employee an account that proves they are entitled to the benefit, while leaving the counselling side of the system with nothing but a pseudo-ID.</w:t>
      </w:r>
    </w:p>
    <w:p>
      <w:r>
        <w:rPr>
          <w:b/>
        </w:rPr>
        <w:t xml:space="preserve">Trigger: </w:t>
      </w:r>
      <w:r>
        <w:t>The employee opens the portal for the first time and chooses 'Create account'.</w:t>
      </w:r>
    </w:p>
    <w:p>
      <w:pPr>
        <w:spacing w:before="120"/>
      </w:pPr>
      <w:r>
        <w:rPr>
          <w:b/>
          <w:color w:val="000000"/>
          <w:sz w:val="21"/>
        </w:rPr>
        <w:t>Preconditions</w:t>
      </w:r>
    </w:p>
    <w:p>
      <w:pPr>
        <w:spacing w:after="20"/>
        <w:ind w:left="317"/>
      </w:pPr>
      <w:r>
        <w:t>1. The employer has enrolled in the programme and its directory feed is reachable.</w:t>
      </w:r>
    </w:p>
    <w:p>
      <w:pPr>
        <w:spacing w:after="20"/>
        <w:ind w:left="317"/>
      </w:pPr>
      <w:r>
        <w:t>2. The employee holds valid corporate credentials.</w:t>
      </w:r>
    </w:p>
    <w:p>
      <w:pPr>
        <w:spacing w:after="20"/>
        <w:ind w:left="317"/>
      </w:pPr>
      <w:r>
        <w:t>3. No wellness account exists yet for this employee.</w:t>
      </w:r>
    </w:p>
    <w:p>
      <w:pPr>
        <w:spacing w:before="120"/>
      </w:pPr>
      <w:r>
        <w:rPr>
          <w:b/>
          <w:color w:val="000000"/>
          <w:sz w:val="21"/>
        </w:rPr>
        <w:t>Postconditions (success)</w:t>
      </w:r>
    </w:p>
    <w:p>
      <w:pPr>
        <w:spacing w:after="20"/>
        <w:ind w:left="317"/>
      </w:pPr>
      <w:r>
        <w:t>1. A pseudo-ID in the format WEL-XXXXXXXX has been generated at random and issued.</w:t>
      </w:r>
    </w:p>
    <w:p>
      <w:pPr>
        <w:spacing w:after="20"/>
        <w:ind w:left="317"/>
      </w:pPr>
      <w:r>
        <w:t>2. The mapping between the employee and the pseudo-ID is stored encrypted, in the identity store rather than with counselling data (NFR-002).</w:t>
      </w:r>
    </w:p>
    <w:p>
      <w:pPr>
        <w:spacing w:after="20"/>
        <w:ind w:left="317"/>
      </w:pPr>
      <w:r>
        <w:t>3. The employee can take an assessment and book sessions.</w:t>
      </w:r>
    </w:p>
    <w:p>
      <w:pPr>
        <w:spacing w:after="20"/>
        <w:ind w:left="317"/>
      </w:pPr>
      <w:r>
        <w:t>4. No counselling-side record created by this use case carries a corporate identifier (FR-001).</w:t>
      </w:r>
    </w:p>
    <w:p>
      <w:r>
        <w:rPr>
          <w:b/>
        </w:rPr>
        <w:t xml:space="preserve">Postcondition (failure): </w:t>
      </w:r>
      <w:r>
        <w:t>No account, no pseudo-ID and no mapping row exist, and the employee is told the verification did not succeed.</w:t>
      </w:r>
    </w:p>
    <w:p>
      <w:pPr>
        <w:spacing w:before="120"/>
      </w:pPr>
      <w:r>
        <w:rPr>
          <w:b/>
          <w:color w:val="000000"/>
          <w:sz w:val="21"/>
        </w:rPr>
        <w:t>Main success scenario</w:t>
      </w:r>
    </w:p>
    <w:p>
      <w:pPr>
        <w:spacing w:after="20"/>
        <w:ind w:left="317"/>
      </w:pPr>
      <w:r>
        <w:t>1. The employee chooses 'Create account'.</w:t>
      </w:r>
    </w:p>
    <w:p>
      <w:pPr>
        <w:spacing w:after="20"/>
        <w:ind w:left="317"/>
      </w:pPr>
      <w:r>
        <w:t>2. The system hands the employee to the Corporate Identity Provider to sign in.</w:t>
      </w:r>
    </w:p>
    <w:p>
      <w:pPr>
        <w:spacing w:after="20"/>
        <w:ind w:left="317"/>
      </w:pPr>
      <w:r>
        <w:t>3. The employee authenticates with their corporate credentials.</w:t>
      </w:r>
    </w:p>
    <w:p>
      <w:pPr>
        <w:spacing w:after="20"/>
        <w:ind w:left="317"/>
      </w:pPr>
      <w:r>
        <w:t>4. The identity provider returns a signed assertion confirming current employment («include» UC-13).</w:t>
      </w:r>
    </w:p>
    <w:p>
      <w:pPr>
        <w:spacing w:after="20"/>
        <w:ind w:left="317"/>
      </w:pPr>
      <w:r>
        <w:t>5. The system checks that no wellness account already exists for that assertion.</w:t>
      </w:r>
    </w:p>
    <w:p>
      <w:pPr>
        <w:spacing w:after="20"/>
        <w:ind w:left="317"/>
      </w:pPr>
      <w:r>
        <w:t>6. The system generates a random pseudo-ID («include» UC-08) and confirms it is not already in use.</w:t>
      </w:r>
    </w:p>
    <w:p>
      <w:pPr>
        <w:spacing w:after="20"/>
        <w:ind w:left="317"/>
      </w:pPr>
      <w:r>
        <w:t>7. The system writes the mapping to the identity store, encrypted.</w:t>
      </w:r>
    </w:p>
    <w:p>
      <w:pPr>
        <w:spacing w:after="20"/>
        <w:ind w:left="317"/>
      </w:pPr>
      <w:r>
        <w:t>8. The system drops the corporate identifiers from the session and keeps only the pseudo-ID.</w:t>
      </w:r>
    </w:p>
    <w:p>
      <w:pPr>
        <w:spacing w:after="20"/>
        <w:ind w:left="317"/>
      </w:pPr>
      <w:r>
        <w:t>9. The system shows the employee their pseudo-ID and explains that this is the only thing a therapist will ever see.</w:t>
      </w:r>
    </w:p>
    <w:p>
      <w:pPr>
        <w:spacing w:after="20"/>
        <w:ind w:left="317"/>
      </w:pPr>
      <w:r>
        <w:t>10. The use case ends successfully.</w:t>
      </w:r>
    </w:p>
    <w:p>
      <w:pPr>
        <w:spacing w:before="120"/>
      </w:pPr>
      <w:r>
        <w:rPr>
          <w:b/>
          <w:color w:val="000000"/>
          <w:sz w:val="21"/>
        </w:rPr>
        <w:t>Alternate flows</w:t>
      </w:r>
    </w:p>
    <w:p>
      <w:pPr>
        <w:spacing w:after="20"/>
      </w:pPr>
      <w:r>
        <w:rPr>
          <w:b/>
        </w:rPr>
        <w:t>4a. The person is not a current employee</w:t>
      </w:r>
    </w:p>
    <w:p>
      <w:pPr>
        <w:spacing w:after="20"/>
        <w:ind w:left="461"/>
      </w:pPr>
      <w:r>
        <w:t>4a1. The identity provider returns no assertion, or one marking the account as inactive.</w:t>
      </w:r>
    </w:p>
    <w:p>
      <w:pPr>
        <w:spacing w:after="20"/>
        <w:ind w:left="461"/>
      </w:pPr>
      <w:r>
        <w:t>4a2. The system refuses registration and shows the employer's benefits contact.</w:t>
      </w:r>
    </w:p>
    <w:p>
      <w:pPr>
        <w:spacing w:after="20"/>
        <w:ind w:left="461"/>
      </w:pPr>
      <w:r>
        <w:t>4a3. Nothing is written to either store and the use case ends.</w:t>
      </w:r>
    </w:p>
    <w:p>
      <w:pPr>
        <w:spacing w:after="20"/>
      </w:pPr>
      <w:r>
        <w:rPr>
          <w:b/>
        </w:rPr>
        <w:t>5a. An account already exists</w:t>
      </w:r>
    </w:p>
    <w:p>
      <w:pPr>
        <w:spacing w:after="20"/>
        <w:ind w:left="461"/>
      </w:pPr>
      <w:r>
        <w:t>5a1. The system finds a mapping for that assertion.</w:t>
      </w:r>
    </w:p>
    <w:p>
      <w:pPr>
        <w:spacing w:after="20"/>
        <w:ind w:left="461"/>
      </w:pPr>
      <w:r>
        <w:t>5a2. The system signs the employee into the existing account instead of issuing a second pseudo-ID.</w:t>
      </w:r>
    </w:p>
    <w:p>
      <w:pPr>
        <w:spacing w:after="20"/>
        <w:ind w:left="461"/>
      </w:pPr>
      <w:r>
        <w:t>5a3. The use case ends successfully, with the pseudo-ID unchanged.</w:t>
      </w:r>
    </w:p>
    <w:p>
      <w:pPr>
        <w:spacing w:after="20"/>
      </w:pPr>
      <w:r>
        <w:rPr>
          <w:b/>
        </w:rPr>
        <w:t>7a. The mapping cannot be written</w:t>
      </w:r>
    </w:p>
    <w:p>
      <w:pPr>
        <w:spacing w:after="20"/>
        <w:ind w:left="461"/>
      </w:pPr>
      <w:r>
        <w:t>7a1. The identity store rejects the write or times out.</w:t>
      </w:r>
    </w:p>
    <w:p>
      <w:pPr>
        <w:spacing w:after="20"/>
        <w:ind w:left="461"/>
      </w:pPr>
      <w:r>
        <w:t>7a2. The system discards the generated pseudo-ID so no orphan identifier is left behind, and asks the employee to try again.</w:t>
      </w:r>
    </w:p>
    <w:p>
      <w:pPr>
        <w:spacing w:before="120"/>
      </w:pPr>
      <w:r>
        <w:rPr>
          <w:b/>
          <w:color w:val="000000"/>
          <w:sz w:val="21"/>
        </w:rPr>
        <w:t>Notes</w:t>
      </w:r>
    </w:p>
    <w:p>
      <w:pPr>
        <w:spacing w:after="20"/>
        <w:ind w:left="317"/>
      </w:pPr>
      <w:r>
        <w:t>• Steps 3 and 4 are the only point in the whole system where a corporate identity is handled. Everything after step 8 works on the pseudo-ID.</w:t>
      </w:r>
    </w:p>
    <w:p>
      <w:pPr>
        <w:spacing w:after="20"/>
        <w:ind w:left="317"/>
      </w:pPr>
      <w:r>
        <w:t>• The pseudo-ID is random rather than a hash of the employee ID, so nobody can recompute it from a directory export.</w:t>
      </w:r>
    </w:p>
    <w:p>
      <w:r>
        <w:br w:type="page"/>
      </w:r>
    </w:p>
    <w:p>
      <w:pPr>
        <w:spacing w:before="120"/>
      </w:pPr>
      <w:r>
        <w:rPr>
          <w:b/>
          <w:color w:val="000000"/>
          <w:sz w:val="24"/>
        </w:rPr>
        <w:t>8.2 UC-02 Take Stress Self-Assessment</w:t>
      </w:r>
    </w:p>
    <w:p>
      <w:r>
        <w:rPr>
          <w:b/>
        </w:rPr>
        <w:t xml:space="preserve">Primary actor: </w:t>
      </w:r>
      <w:r>
        <w:t>Corporate Employee</w:t>
      </w:r>
    </w:p>
    <w:p>
      <w:r>
        <w:rPr>
          <w:b/>
        </w:rPr>
        <w:t xml:space="preserve">Secondary actors: </w:t>
      </w:r>
      <w:r>
        <w:t>Crisis Support Service (severe results only)</w:t>
      </w:r>
    </w:p>
    <w:p>
      <w:r>
        <w:rPr>
          <w:b/>
        </w:rPr>
        <w:t xml:space="preserve">Goal: </w:t>
      </w:r>
      <w:r>
        <w:t>Give the employee a current reading of their stress level and point them towards help when the score is high.</w:t>
      </w:r>
    </w:p>
    <w:p>
      <w:r>
        <w:rPr>
          <w:b/>
        </w:rPr>
        <w:t xml:space="preserve">Trigger: </w:t>
      </w:r>
      <w:r>
        <w:t>The employee chooses 'Check my stress level'.</w:t>
      </w:r>
    </w:p>
    <w:p>
      <w:pPr>
        <w:spacing w:before="120"/>
      </w:pPr>
      <w:r>
        <w:rPr>
          <w:b/>
          <w:color w:val="000000"/>
          <w:sz w:val="21"/>
        </w:rPr>
        <w:t>Preconditions</w:t>
      </w:r>
    </w:p>
    <w:p>
      <w:pPr>
        <w:spacing w:after="20"/>
        <w:ind w:left="317"/>
      </w:pPr>
      <w:r>
        <w:t>1. The employee is signed in and the session carries only their pseudo-ID.</w:t>
      </w:r>
    </w:p>
    <w:p>
      <w:pPr>
        <w:spacing w:after="20"/>
        <w:ind w:left="317"/>
      </w:pPr>
      <w:r>
        <w:t>2. A published version of the ten-item questionnaire is active.</w:t>
      </w:r>
    </w:p>
    <w:p>
      <w:pPr>
        <w:spacing w:before="120"/>
      </w:pPr>
      <w:r>
        <w:rPr>
          <w:b/>
          <w:color w:val="000000"/>
          <w:sz w:val="21"/>
        </w:rPr>
        <w:t>Postconditions (success)</w:t>
      </w:r>
    </w:p>
    <w:p>
      <w:pPr>
        <w:spacing w:after="20"/>
        <w:ind w:left="317"/>
      </w:pPr>
      <w:r>
        <w:t>1. The answers and the resulting score are stored encrypted against the pseudo-ID.</w:t>
      </w:r>
    </w:p>
    <w:p>
      <w:pPr>
        <w:spacing w:after="20"/>
        <w:ind w:left="317"/>
      </w:pPr>
      <w:r>
        <w:t>2. The employee has seen their score out of 40 and its band.</w:t>
      </w:r>
    </w:p>
    <w:p>
      <w:pPr>
        <w:spacing w:after="20"/>
        <w:ind w:left="317"/>
      </w:pPr>
      <w:r>
        <w:t>3. The assessment is available to the trend in UC-04.</w:t>
      </w:r>
    </w:p>
    <w:p>
      <w:pPr>
        <w:spacing w:after="20"/>
        <w:ind w:left="317"/>
      </w:pPr>
      <w:r>
        <w:t>4. Where the band is severe, helpline details and a priority slot have been offered (FR-005).</w:t>
      </w:r>
    </w:p>
    <w:p>
      <w:r>
        <w:rPr>
          <w:b/>
        </w:rPr>
        <w:t xml:space="preserve">Postcondition (failure): </w:t>
      </w:r>
      <w:r>
        <w:t>Nothing is stored, the employee's previous assessments are untouched, and no band is reported.</w:t>
      </w:r>
    </w:p>
    <w:p>
      <w:pPr>
        <w:spacing w:before="120"/>
      </w:pPr>
      <w:r>
        <w:rPr>
          <w:b/>
          <w:color w:val="000000"/>
          <w:sz w:val="21"/>
        </w:rPr>
        <w:t>Main success scenario</w:t>
      </w:r>
    </w:p>
    <w:p>
      <w:pPr>
        <w:spacing w:after="20"/>
        <w:ind w:left="317"/>
      </w:pPr>
      <w:r>
        <w:t>1. The employee chooses 'Check my stress level'.</w:t>
      </w:r>
    </w:p>
    <w:p>
      <w:pPr>
        <w:spacing w:after="20"/>
        <w:ind w:left="317"/>
      </w:pPr>
      <w:r>
        <w:t>2. The system presents the ten items, each with the five-point frequency scale from Never (0) to Very Often (4).</w:t>
      </w:r>
    </w:p>
    <w:p>
      <w:pPr>
        <w:spacing w:after="20"/>
        <w:ind w:left="317"/>
      </w:pPr>
      <w:r>
        <w:t>3. The employee answers every item.</w:t>
      </w:r>
    </w:p>
    <w:p>
      <w:pPr>
        <w:spacing w:after="20"/>
        <w:ind w:left="317"/>
      </w:pPr>
      <w:r>
        <w:t>4. The employee submits the questionnaire.</w:t>
      </w:r>
    </w:p>
    <w:p>
      <w:pPr>
        <w:spacing w:after="20"/>
        <w:ind w:left="317"/>
      </w:pPr>
      <w:r>
        <w:t>5. The system rejects the submission if any item is unanswered, naming the items that are missing.</w:t>
      </w:r>
    </w:p>
    <w:p>
      <w:pPr>
        <w:spacing w:after="20"/>
        <w:ind w:left="317"/>
      </w:pPr>
      <w:r>
        <w:t>6. The system totals the answers to a score out of 40 and maps it to its band.</w:t>
      </w:r>
    </w:p>
    <w:p>
      <w:pPr>
        <w:spacing w:after="20"/>
        <w:ind w:left="317"/>
      </w:pPr>
      <w:r>
        <w:t>7. The system stores the answers and the score against the pseudo-ID, encrypted (NFR-002).</w:t>
      </w:r>
    </w:p>
    <w:p>
      <w:pPr>
        <w:spacing w:after="20"/>
        <w:ind w:left="317"/>
      </w:pPr>
      <w:r>
        <w:t>8. The system shows the score and band, stating plainly that this is a wellness check and not a medical diagnosis.</w:t>
      </w:r>
    </w:p>
    <w:p>
      <w:pPr>
        <w:spacing w:after="20"/>
        <w:ind w:left="317"/>
      </w:pPr>
      <w:r>
        <w:t>9. The system offers a link to book a counselling session (UC-03).</w:t>
      </w:r>
    </w:p>
    <w:p>
      <w:pPr>
        <w:spacing w:after="20"/>
        <w:ind w:left="317"/>
      </w:pPr>
      <w:r>
        <w:t>10. The use case ends successfully.</w:t>
      </w:r>
    </w:p>
    <w:p>
      <w:pPr>
        <w:spacing w:before="120"/>
      </w:pPr>
      <w:r>
        <w:rPr>
          <w:b/>
          <w:color w:val="000000"/>
          <w:sz w:val="21"/>
        </w:rPr>
        <w:t>Alternate flows</w:t>
      </w:r>
    </w:p>
    <w:p>
      <w:pPr>
        <w:spacing w:after="20"/>
      </w:pPr>
      <w:r>
        <w:rPr>
          <w:b/>
        </w:rPr>
        <w:t>6a. The score falls in the severe band («extend» UC-09)</w:t>
      </w:r>
    </w:p>
    <w:p>
      <w:pPr>
        <w:spacing w:after="20"/>
        <w:ind w:left="461"/>
      </w:pPr>
      <w:r>
        <w:t>6a1. The system shows regional crisis helpline details above the score.</w:t>
      </w:r>
    </w:p>
    <w:p>
      <w:pPr>
        <w:spacing w:after="20"/>
        <w:ind w:left="461"/>
      </w:pPr>
      <w:r>
        <w:t>6a2. The system offers the earliest priority appointment slot starting within 24 hours.</w:t>
      </w:r>
    </w:p>
    <w:p>
      <w:pPr>
        <w:spacing w:after="20"/>
        <w:ind w:left="461"/>
      </w:pPr>
      <w:r>
        <w:t>6a3. The employee either takes the priority slot, which continues into UC-03, or dismisses the panel; either way the helpline stays visible on the result.</w:t>
      </w:r>
    </w:p>
    <w:p>
      <w:pPr>
        <w:spacing w:after="20"/>
      </w:pPr>
      <w:r>
        <w:rPr>
          <w:b/>
        </w:rPr>
        <w:t>3a. The employee leaves partway through</w:t>
      </w:r>
    </w:p>
    <w:p>
      <w:pPr>
        <w:spacing w:after="20"/>
        <w:ind w:left="461"/>
      </w:pPr>
      <w:r>
        <w:t>3a1. The employee closes the questionnaire before answering every item.</w:t>
      </w:r>
    </w:p>
    <w:p>
      <w:pPr>
        <w:spacing w:after="20"/>
        <w:ind w:left="461"/>
      </w:pPr>
      <w:r>
        <w:t>3a2. The system discards the partial answers rather than saving a draft, so an incomplete set is never scored or plotted.</w:t>
      </w:r>
    </w:p>
    <w:p>
      <w:pPr>
        <w:spacing w:before="120"/>
      </w:pPr>
      <w:r>
        <w:rPr>
          <w:b/>
          <w:color w:val="000000"/>
          <w:sz w:val="21"/>
        </w:rPr>
        <w:t>Notes</w:t>
      </w:r>
    </w:p>
    <w:p>
      <w:pPr>
        <w:spacing w:after="20"/>
        <w:ind w:left="317"/>
      </w:pPr>
      <w:r>
        <w:t>• The banding is fixed and published, so the same score always produces the same band and the result is reproducible.</w:t>
      </w:r>
    </w:p>
    <w:p>
      <w:pPr>
        <w:spacing w:after="20"/>
        <w:ind w:left="317"/>
      </w:pPr>
      <w:r>
        <w:t>• Step 5 is what keeps FR-002's fail condition, scoring a partly answered form, from happening.</w:t>
      </w:r>
    </w:p>
    <w:p>
      <w:r>
        <w:br w:type="page"/>
      </w:r>
    </w:p>
    <w:p>
      <w:pPr>
        <w:spacing w:before="120"/>
      </w:pPr>
      <w:r>
        <w:rPr>
          <w:b/>
          <w:color w:val="000000"/>
          <w:sz w:val="24"/>
        </w:rPr>
        <w:t>8.3 UC-03 Book Counseling Session</w:t>
      </w:r>
    </w:p>
    <w:p>
      <w:r>
        <w:rPr>
          <w:b/>
        </w:rPr>
        <w:t xml:space="preserve">Primary actor: </w:t>
      </w:r>
      <w:r>
        <w:t>Corporate Employee</w:t>
      </w:r>
    </w:p>
    <w:p>
      <w:r>
        <w:rPr>
          <w:b/>
        </w:rPr>
        <w:t xml:space="preserve">Secondary actors: </w:t>
      </w:r>
      <w:r>
        <w:t>Licensed Therapist (indirect), Notification Service</w:t>
      </w:r>
    </w:p>
    <w:p>
      <w:r>
        <w:rPr>
          <w:b/>
        </w:rPr>
        <w:t xml:space="preserve">Goal: </w:t>
      </w:r>
      <w:r>
        <w:t>Reserve a confidential counselling slot with a licensed therapist without revealing the employee's corporate identity.</w:t>
      </w:r>
    </w:p>
    <w:p>
      <w:r>
        <w:rPr>
          <w:b/>
        </w:rPr>
        <w:t xml:space="preserve">Trigger: </w:t>
      </w:r>
      <w:r>
        <w:t>The employee chooses 'Book a session' from the portal.</w:t>
      </w:r>
    </w:p>
    <w:p>
      <w:pPr>
        <w:spacing w:before="120"/>
      </w:pPr>
      <w:r>
        <w:rPr>
          <w:b/>
          <w:color w:val="000000"/>
          <w:sz w:val="21"/>
        </w:rPr>
        <w:t>Preconditions</w:t>
      </w:r>
    </w:p>
    <w:p>
      <w:pPr>
        <w:spacing w:after="20"/>
        <w:ind w:left="317"/>
      </w:pPr>
      <w:r>
        <w:t>1. The employee has an active account and a pseudo-ID has been issued (UC-01).</w:t>
      </w:r>
    </w:p>
    <w:p>
      <w:pPr>
        <w:spacing w:after="20"/>
        <w:ind w:left="317"/>
      </w:pPr>
      <w:r>
        <w:t>2. The employee is signed in, and the session carries only the pseudo-ID.</w:t>
      </w:r>
    </w:p>
    <w:p>
      <w:pPr>
        <w:spacing w:after="20"/>
        <w:ind w:left="317"/>
      </w:pPr>
      <w:r>
        <w:t>3. At least one licensed therapist has published availability (UC-05).</w:t>
      </w:r>
    </w:p>
    <w:p>
      <w:pPr>
        <w:spacing w:before="120"/>
      </w:pPr>
      <w:r>
        <w:rPr>
          <w:b/>
          <w:color w:val="000000"/>
          <w:sz w:val="21"/>
        </w:rPr>
        <w:t>Postconditions (success)</w:t>
      </w:r>
    </w:p>
    <w:p>
      <w:pPr>
        <w:spacing w:after="20"/>
        <w:ind w:left="317"/>
      </w:pPr>
      <w:r>
        <w:t>1. A booking record links the pseudo-ID, the therapist and the chosen slot.</w:t>
      </w:r>
    </w:p>
    <w:p>
      <w:pPr>
        <w:spacing w:after="20"/>
        <w:ind w:left="317"/>
      </w:pPr>
      <w:r>
        <w:t>2. The slot is marked unavailable and cannot be booked by anyone else.</w:t>
      </w:r>
    </w:p>
    <w:p>
      <w:pPr>
        <w:spacing w:after="20"/>
        <w:ind w:left="317"/>
      </w:pPr>
      <w:r>
        <w:t>3. Both parties hold a confirmation showing the time in their own timezone (NFR-001).</w:t>
      </w:r>
    </w:p>
    <w:p>
      <w:pPr>
        <w:spacing w:after="20"/>
        <w:ind w:left="317"/>
      </w:pPr>
      <w:r>
        <w:t>4. The therapist's view of the booking shows the pseudo-ID only (FR-001).</w:t>
      </w:r>
    </w:p>
    <w:p>
      <w:r>
        <w:rPr>
          <w:b/>
        </w:rPr>
        <w:t xml:space="preserve">Postcondition (failure): </w:t>
      </w:r>
      <w:r>
        <w:t>No slot is reserved, the therapist's availability is unchanged, and the employee is told why the booking did not complete.</w:t>
      </w:r>
    </w:p>
    <w:p>
      <w:pPr>
        <w:spacing w:before="120"/>
      </w:pPr>
      <w:r>
        <w:rPr>
          <w:b/>
          <w:color w:val="000000"/>
          <w:sz w:val="21"/>
        </w:rPr>
        <w:t>Main success scenario</w:t>
      </w:r>
    </w:p>
    <w:p>
      <w:pPr>
        <w:spacing w:after="20"/>
        <w:ind w:left="317"/>
      </w:pPr>
      <w:r>
        <w:t>1. The employee selects 'Book a session'.</w:t>
      </w:r>
    </w:p>
    <w:p>
      <w:pPr>
        <w:spacing w:after="20"/>
        <w:ind w:left="317"/>
      </w:pPr>
      <w:r>
        <w:t>2. The system resolves the signed-in account to its pseudo-ID («include» UC-08).</w:t>
      </w:r>
    </w:p>
    <w:p>
      <w:pPr>
        <w:spacing w:after="20"/>
        <w:ind w:left="317"/>
      </w:pPr>
      <w:r>
        <w:t>3. The employee chooses a counselling area and a preferred date range.</w:t>
      </w:r>
    </w:p>
    <w:p>
      <w:pPr>
        <w:spacing w:after="20"/>
        <w:ind w:left="317"/>
      </w:pPr>
      <w:r>
        <w:t>4. The system retrieves matching published slots and displays them converted to the employee's local timezone.</w:t>
      </w:r>
    </w:p>
    <w:p>
      <w:pPr>
        <w:spacing w:after="20"/>
        <w:ind w:left="317"/>
      </w:pPr>
      <w:r>
        <w:t>5. The employee selects a slot and a session mode (video or chat).</w:t>
      </w:r>
    </w:p>
    <w:p>
      <w:pPr>
        <w:spacing w:after="20"/>
        <w:ind w:left="317"/>
      </w:pPr>
      <w:r>
        <w:t>6. The system re-checks that the slot is still free («include» UC-10).</w:t>
      </w:r>
    </w:p>
    <w:p>
      <w:pPr>
        <w:spacing w:after="20"/>
        <w:ind w:left="317"/>
      </w:pPr>
      <w:r>
        <w:t>7. The system reserves the slot and writes the booking against the pseudo-ID inside a single transaction.</w:t>
      </w:r>
    </w:p>
    <w:p>
      <w:pPr>
        <w:spacing w:after="20"/>
        <w:ind w:left="317"/>
      </w:pPr>
      <w:r>
        <w:t>8. The system generates the session join link and stores it against the booking.</w:t>
      </w:r>
    </w:p>
    <w:p>
      <w:pPr>
        <w:spacing w:after="20"/>
        <w:ind w:left="317"/>
      </w:pPr>
      <w:r>
        <w:t>9. The system sends confirmations to the employee and the therapist («include» UC-11), each in the recipient's own timezone.</w:t>
      </w:r>
    </w:p>
    <w:p>
      <w:pPr>
        <w:spacing w:after="20"/>
        <w:ind w:left="317"/>
      </w:pPr>
      <w:r>
        <w:t>10. The system shows the employee a confirmation screen with the pseudo-ID, the slot and the join link.</w:t>
      </w:r>
    </w:p>
    <w:p>
      <w:pPr>
        <w:spacing w:after="20"/>
        <w:ind w:left="317"/>
      </w:pPr>
      <w:r>
        <w:t>11. The use case ends successfully.</w:t>
      </w:r>
    </w:p>
    <w:p>
      <w:pPr>
        <w:spacing w:before="120"/>
      </w:pPr>
      <w:r>
        <w:rPr>
          <w:b/>
          <w:color w:val="000000"/>
          <w:sz w:val="21"/>
        </w:rPr>
        <w:t>Alternate flows</w:t>
      </w:r>
    </w:p>
    <w:p>
      <w:pPr>
        <w:spacing w:after="20"/>
      </w:pPr>
      <w:r>
        <w:rPr>
          <w:b/>
        </w:rPr>
        <w:t>4a. No therapist has availability in the requested range</w:t>
      </w:r>
    </w:p>
    <w:p>
      <w:pPr>
        <w:spacing w:after="20"/>
        <w:ind w:left="461"/>
      </w:pPr>
      <w:r>
        <w:t>4a1. The system reports that no slots match and shows the earliest date that does have availability.</w:t>
      </w:r>
    </w:p>
    <w:p>
      <w:pPr>
        <w:spacing w:after="20"/>
        <w:ind w:left="461"/>
      </w:pPr>
      <w:r>
        <w:t>4a2. The employee either widens the date range and returns to step 3, or leaves the booking; the use case ends without a booking.</w:t>
      </w:r>
    </w:p>
    <w:p>
      <w:pPr>
        <w:spacing w:after="20"/>
      </w:pPr>
      <w:r>
        <w:rPr>
          <w:b/>
        </w:rPr>
        <w:t>6a. The slot was taken while the employee was choosing</w:t>
      </w:r>
    </w:p>
    <w:p>
      <w:pPr>
        <w:spacing w:after="20"/>
        <w:ind w:left="461"/>
      </w:pPr>
      <w:r>
        <w:t>6a1. The availability check finds the slot already reserved.</w:t>
      </w:r>
    </w:p>
    <w:p>
      <w:pPr>
        <w:spacing w:after="20"/>
        <w:ind w:left="461"/>
      </w:pPr>
      <w:r>
        <w:t>6a2. The system tells the employee the slot is no longer available and does not reserve anything.</w:t>
      </w:r>
    </w:p>
    <w:p>
      <w:pPr>
        <w:spacing w:after="20"/>
        <w:ind w:left="461"/>
      </w:pPr>
      <w:r>
        <w:t>6a3. The system refreshes the slot list and returns the employee to step 5.</w:t>
      </w:r>
    </w:p>
    <w:p>
      <w:pPr>
        <w:spacing w:after="20"/>
        <w:ind w:left="461"/>
      </w:pPr>
      <w:r>
        <w:t>6a4. If the employee's next two attempts also clash, the system offers to place them on the therapist's waitlist and the use case ends without a booking.</w:t>
      </w:r>
    </w:p>
    <w:p>
      <w:pPr>
        <w:spacing w:after="20"/>
      </w:pPr>
      <w:r>
        <w:rPr>
          <w:b/>
        </w:rPr>
        <w:t>9a. The notification service is unreachable</w:t>
      </w:r>
    </w:p>
    <w:p>
      <w:pPr>
        <w:spacing w:after="20"/>
        <w:ind w:left="461"/>
      </w:pPr>
      <w:r>
        <w:t>9a1. The booking is already committed, so the system keeps it and queues the confirmation for retry.</w:t>
      </w:r>
    </w:p>
    <w:p>
      <w:pPr>
        <w:spacing w:after="20"/>
        <w:ind w:left="461"/>
      </w:pPr>
      <w:r>
        <w:t>9a2. The confirmation screen at step 10 warns that the email is delayed and shows the join link on screen.</w:t>
      </w:r>
    </w:p>
    <w:p>
      <w:pPr>
        <w:spacing w:after="20"/>
        <w:ind w:left="461"/>
      </w:pPr>
      <w:r>
        <w:t>9a3. The system retries delivery for up to one hour, then raises an alert for support.</w:t>
      </w:r>
    </w:p>
    <w:p>
      <w:pPr>
        <w:spacing w:before="120"/>
      </w:pPr>
      <w:r>
        <w:rPr>
          <w:b/>
          <w:color w:val="000000"/>
          <w:sz w:val="21"/>
        </w:rPr>
        <w:t>Notes</w:t>
      </w:r>
    </w:p>
    <w:p>
      <w:pPr>
        <w:spacing w:after="20"/>
        <w:ind w:left="317"/>
      </w:pPr>
      <w:r>
        <w:t>• Nothing written by this use case carries a corporate identifier. Every record is keyed on the pseudo-ID (FR-001).</w:t>
      </w:r>
    </w:p>
    <w:p>
      <w:pPr>
        <w:spacing w:after="20"/>
        <w:ind w:left="317"/>
      </w:pPr>
      <w:r>
        <w:t>• Steps 4 and 9 are where timezone conversion matters, so they are the steps NFR-001 is measured on.</w:t>
      </w:r>
    </w:p>
    <w:p>
      <w:pPr>
        <w:spacing w:after="20"/>
        <w:ind w:left="317"/>
      </w:pPr>
      <w:r>
        <w:t>• Once a booking exists, UC-12 extends this use case to reschedule or cancel it.</w:t>
      </w:r>
    </w:p>
    <w:p>
      <w:r>
        <w:br w:type="page"/>
      </w:r>
    </w:p>
    <w:p>
      <w:pPr>
        <w:spacing w:before="120"/>
      </w:pPr>
      <w:r>
        <w:rPr>
          <w:b/>
          <w:color w:val="000000"/>
          <w:sz w:val="24"/>
        </w:rPr>
        <w:t>8.4 UC-04 View Wellness Trend Dashboard</w:t>
      </w:r>
    </w:p>
    <w:p>
      <w:r>
        <w:rPr>
          <w:b/>
        </w:rPr>
        <w:t xml:space="preserve">Primary actor: </w:t>
      </w:r>
      <w:r>
        <w:t>Corporate Employee</w:t>
      </w:r>
    </w:p>
    <w:p>
      <w:r>
        <w:rPr>
          <w:b/>
        </w:rPr>
        <w:t xml:space="preserve">Secondary actors: </w:t>
      </w:r>
      <w:r>
        <w:t>None</w:t>
      </w:r>
    </w:p>
    <w:p>
      <w:r>
        <w:rPr>
          <w:b/>
        </w:rPr>
        <w:t xml:space="preserve">Goal: </w:t>
      </w:r>
      <w:r>
        <w:t>Let the employee see how their own indicators have moved across recent assessments.</w:t>
      </w:r>
    </w:p>
    <w:p>
      <w:r>
        <w:rPr>
          <w:b/>
        </w:rPr>
        <w:t xml:space="preserve">Trigger: </w:t>
      </w:r>
      <w:r>
        <w:t>The employee opens 'My wellness' from the portal.</w:t>
      </w:r>
    </w:p>
    <w:p>
      <w:pPr>
        <w:spacing w:before="120"/>
      </w:pPr>
      <w:r>
        <w:rPr>
          <w:b/>
          <w:color w:val="000000"/>
          <w:sz w:val="21"/>
        </w:rPr>
        <w:t>Preconditions</w:t>
      </w:r>
    </w:p>
    <w:p>
      <w:pPr>
        <w:spacing w:after="20"/>
        <w:ind w:left="317"/>
      </w:pPr>
      <w:r>
        <w:t>1. The employee is signed in and the session carries only their pseudo-ID.</w:t>
      </w:r>
    </w:p>
    <w:p>
      <w:pPr>
        <w:spacing w:after="20"/>
        <w:ind w:left="317"/>
      </w:pPr>
      <w:r>
        <w:t>2. At least one assessment has been completed (UC-02).</w:t>
      </w:r>
    </w:p>
    <w:p>
      <w:pPr>
        <w:spacing w:before="120"/>
      </w:pPr>
      <w:r>
        <w:rPr>
          <w:b/>
          <w:color w:val="000000"/>
          <w:sz w:val="21"/>
        </w:rPr>
        <w:t>Postconditions (success)</w:t>
      </w:r>
    </w:p>
    <w:p>
      <w:pPr>
        <w:spacing w:after="20"/>
        <w:ind w:left="317"/>
      </w:pPr>
      <w:r>
        <w:t>1. The employee has seen their stress score, sleep hours and sessions attended for up to their six most recent assessments, in date order.</w:t>
      </w:r>
    </w:p>
    <w:p>
      <w:pPr>
        <w:spacing w:after="20"/>
        <w:ind w:left="317"/>
      </w:pPr>
      <w:r>
        <w:t>2. Nothing has been written. The use case only reads.</w:t>
      </w:r>
    </w:p>
    <w:p>
      <w:pPr>
        <w:spacing w:after="20"/>
        <w:ind w:left="317"/>
      </w:pPr>
      <w:r>
        <w:t>3. No other employee's data was retrieved at any point (FR-004).</w:t>
      </w:r>
    </w:p>
    <w:p>
      <w:r>
        <w:rPr>
          <w:b/>
        </w:rPr>
        <w:t xml:space="preserve">Postcondition (failure): </w:t>
      </w:r>
      <w:r>
        <w:t>No chart is shown and the employee is told the dashboard could not be loaded. No stored assessment is altered.</w:t>
      </w:r>
    </w:p>
    <w:p>
      <w:pPr>
        <w:spacing w:before="120"/>
      </w:pPr>
      <w:r>
        <w:rPr>
          <w:b/>
          <w:color w:val="000000"/>
          <w:sz w:val="21"/>
        </w:rPr>
        <w:t>Main success scenario</w:t>
      </w:r>
    </w:p>
    <w:p>
      <w:pPr>
        <w:spacing w:after="20"/>
        <w:ind w:left="317"/>
      </w:pPr>
      <w:r>
        <w:t>1. The employee opens 'My wellness'.</w:t>
      </w:r>
    </w:p>
    <w:p>
      <w:pPr>
        <w:spacing w:after="20"/>
        <w:ind w:left="317"/>
      </w:pPr>
      <w:r>
        <w:t>2. The system fetches the assessments held against that pseudo-ID and no other, taking the six most recent.</w:t>
      </w:r>
    </w:p>
    <w:p>
      <w:pPr>
        <w:spacing w:after="20"/>
        <w:ind w:left="317"/>
      </w:pPr>
      <w:r>
        <w:t>3. The system decrypts the stored values for display (NFR-002).</w:t>
      </w:r>
    </w:p>
    <w:p>
      <w:pPr>
        <w:spacing w:after="20"/>
        <w:ind w:left="317"/>
      </w:pPr>
      <w:r>
        <w:t>4. The system plots stress score, sleep hours and sessions attended against the assessment dates, oldest first.</w:t>
      </w:r>
    </w:p>
    <w:p>
      <w:pPr>
        <w:spacing w:after="20"/>
        <w:ind w:left="317"/>
      </w:pPr>
      <w:r>
        <w:t>5. The system leaves dates with no assessment blank instead of estimating a value.</w:t>
      </w:r>
    </w:p>
    <w:p>
      <w:pPr>
        <w:spacing w:after="20"/>
        <w:ind w:left="317"/>
      </w:pPr>
      <w:r>
        <w:t>6. The employee selects a point to see that assessment's score and band.</w:t>
      </w:r>
    </w:p>
    <w:p>
      <w:pPr>
        <w:spacing w:after="20"/>
        <w:ind w:left="317"/>
      </w:pPr>
      <w:r>
        <w:t>7. The use case ends successfully.</w:t>
      </w:r>
    </w:p>
    <w:p>
      <w:pPr>
        <w:spacing w:before="120"/>
      </w:pPr>
      <w:r>
        <w:rPr>
          <w:b/>
          <w:color w:val="000000"/>
          <w:sz w:val="21"/>
        </w:rPr>
        <w:t>Alternate flows</w:t>
      </w:r>
    </w:p>
    <w:p>
      <w:pPr>
        <w:spacing w:after="20"/>
      </w:pPr>
      <w:r>
        <w:rPr>
          <w:b/>
        </w:rPr>
        <w:t>2a. The employee has no assessments yet</w:t>
      </w:r>
    </w:p>
    <w:p>
      <w:pPr>
        <w:spacing w:after="20"/>
        <w:ind w:left="461"/>
      </w:pPr>
      <w:r>
        <w:t>2a1. The system shows an empty dashboard explaining that a trend appears after the first assessment.</w:t>
      </w:r>
    </w:p>
    <w:p>
      <w:pPr>
        <w:spacing w:after="20"/>
        <w:ind w:left="461"/>
      </w:pPr>
      <w:r>
        <w:t>2a2. The system offers a link to UC-02 and the use case ends.</w:t>
      </w:r>
    </w:p>
    <w:p>
      <w:pPr>
        <w:spacing w:after="20"/>
      </w:pPr>
      <w:r>
        <w:rPr>
          <w:b/>
        </w:rPr>
        <w:t>2b. Fewer than six assessments exist</w:t>
      </w:r>
    </w:p>
    <w:p>
      <w:pPr>
        <w:spacing w:after="20"/>
        <w:ind w:left="461"/>
      </w:pPr>
      <w:r>
        <w:t>2b1. The system plots only the assessments that exist.</w:t>
      </w:r>
    </w:p>
    <w:p>
      <w:pPr>
        <w:spacing w:after="20"/>
        <w:ind w:left="461"/>
      </w:pPr>
      <w:r>
        <w:t>2b2. The axis stops at the earliest real assessment rather than padding the chart out to six points.</w:t>
      </w:r>
    </w:p>
    <w:p>
      <w:pPr>
        <w:spacing w:before="120"/>
      </w:pPr>
      <w:r>
        <w:rPr>
          <w:b/>
          <w:color w:val="000000"/>
          <w:sz w:val="21"/>
        </w:rPr>
        <w:t>Notes</w:t>
      </w:r>
    </w:p>
    <w:p>
      <w:pPr>
        <w:spacing w:after="20"/>
        <w:ind w:left="317"/>
      </w:pPr>
      <w:r>
        <w:t>• The scope of the query in step 2 is what FR-004's fail condition tests. A dashboard that pulled another pseudo-ID's rows would fail.</w:t>
      </w:r>
    </w:p>
    <w:p>
      <w:pPr>
        <w:spacing w:after="20"/>
        <w:ind w:left="317"/>
      </w:pPr>
      <w:r>
        <w:t>• Refusing to interpolate in step 5 matters because an invented data point would misrepresent somebody's mental health history.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Lab 1 - Complete Report</dc:title>
  <dc:subject>SE Lab 1 - Requirements Engineering &amp; UML Use-Case Modelling</dc:subject>
  <dc:creator>Dhanush</dc:creator>
  <cp:keywords/>
  <dc:description/>
  <cp:lastModifiedBy>Dhanush</cp:lastModifiedBy>
  <cp:revision>3</cp:revision>
  <dcterms:created xsi:type="dcterms:W3CDTF">2026-08-31T11:03:01Z</dcterms:created>
  <dcterms:modified xsi:type="dcterms:W3CDTF">2026-08-31T11:03:01Z</dcterms:modified>
  <cp:category/>
</cp:coreProperties>
</file>