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80" w:before="0"/>
        <w:jc w:val="center"/>
      </w:pPr>
      <w:r>
        <w:rPr>
          <w:rFonts w:ascii="Arial" w:cs="Arial" w:eastAsia="Arial" w:hAnsi="Arial"/>
          <w:b/>
          <w:bCs/>
          <w:caps/>
          <w:color w:val="2D7DD2"/>
          <w:sz w:val="28"/>
          <w:szCs w:val="28"/>
        </w:rPr>
        <w:t xml:space="preserve">PRODUCT REQUIREMENTS DOCUMENT</w:t>
      </w:r>
    </w:p>
    <w:p>
      <w:pPr>
        <w:spacing w:after="60" w:before="60"/>
        <w:jc w:val="center"/>
      </w:pPr>
      <w:r>
        <w:rPr>
          <w:rFonts w:ascii="Arial" w:cs="Arial" w:eastAsia="Arial" w:hAnsi="Arial"/>
          <w:b/>
          <w:bCs/>
          <w:color w:val="1E3A5F"/>
          <w:sz w:val="52"/>
          <w:szCs w:val="52"/>
        </w:rPr>
        <w:t xml:space="preserve">AI Agent Operating System Platform</w:t>
      </w:r>
    </w:p>
    <w:p>
      <w:pPr>
        <w:spacing w:after="200" w:before="60"/>
        <w:jc w:val="center"/>
      </w:pPr>
      <w:r>
        <w:rPr>
          <w:rFonts w:ascii="Arial" w:cs="Arial" w:eastAsia="Arial" w:hAnsi="Arial"/>
          <w:i/>
          <w:iCs/>
          <w:color w:val="555555"/>
          <w:sz w:val="30"/>
          <w:szCs w:val="30"/>
        </w:rPr>
        <w:t xml:space="preserve">Autonomous Enterprise Intelligence Suite</w:t>
      </w:r>
    </w:p>
    <w:p>
      <w:pPr>
        <w:pBdr>
          <w:bottom w:val="single" w:color="2D7DD2" w:sz="12"/>
        </w:pBdr>
        <w:spacing w:after="400" w:before="0"/>
        <w:jc w:val="center"/>
      </w:pPr>
    </w:p>
    <w:p>
      <w:pPr>
        <w:spacing w:after="80" w:before="0"/>
        <w:jc w:val="center"/>
      </w:pPr>
      <w:r>
        <w:rPr>
          <w:rFonts w:ascii="Arial" w:cs="Arial" w:eastAsia="Arial" w:hAnsi="Arial"/>
          <w:b/>
          <w:bCs/>
          <w:color w:val="555555"/>
          <w:sz w:val="22"/>
          <w:szCs w:val="22"/>
        </w:rPr>
        <w:t xml:space="preserve">Version: </w:t>
      </w:r>
      <w:r>
        <w:rPr>
          <w:rFonts w:ascii="Arial" w:cs="Arial" w:eastAsia="Arial" w:hAnsi="Arial"/>
          <w:color w:val="555555"/>
          <w:sz w:val="22"/>
          <w:szCs w:val="22"/>
        </w:rPr>
        <w:t xml:space="preserve">1.0.0</w:t>
      </w:r>
      <w:r>
        <w:rPr>
          <w:rFonts w:ascii="Arial" w:cs="Arial" w:eastAsia="Arial" w:hAnsi="Arial"/>
          <w:b/>
          <w:bCs/>
          <w:color w:val="555555"/>
          <w:sz w:val="22"/>
          <w:szCs w:val="22"/>
        </w:rPr>
        <w:t xml:space="preserve">    |    Date: </w:t>
      </w:r>
      <w:r>
        <w:rPr>
          <w:rFonts w:ascii="Arial" w:cs="Arial" w:eastAsia="Arial" w:hAnsi="Arial"/>
          <w:color w:val="555555"/>
          <w:sz w:val="22"/>
          <w:szCs w:val="22"/>
        </w:rPr>
        <w:t xml:space="preserve">June 2026</w:t>
      </w:r>
      <w:r>
        <w:rPr>
          <w:rFonts w:ascii="Arial" w:cs="Arial" w:eastAsia="Arial" w:hAnsi="Arial"/>
          <w:b/>
          <w:bCs/>
          <w:color w:val="555555"/>
          <w:sz w:val="22"/>
          <w:szCs w:val="22"/>
        </w:rPr>
        <w:t xml:space="preserve">    |    Status: </w:t>
      </w:r>
      <w:r>
        <w:rPr>
          <w:rFonts w:ascii="Arial" w:cs="Arial" w:eastAsia="Arial" w:hAnsi="Arial"/>
          <w:color w:val="C0392B"/>
          <w:sz w:val="22"/>
          <w:szCs w:val="22"/>
        </w:rPr>
        <w:t xml:space="preserve">DRAFT — For Internal Review</w:t>
      </w:r>
    </w:p>
    <w:p>
      <w:pPr>
        <w:spacing w:after="40" w:before="40"/>
        <w:jc w:val="center"/>
      </w:pPr>
      <w:r>
        <w:rPr>
          <w:rFonts w:ascii="Arial" w:cs="Arial" w:eastAsia="Arial" w:hAnsi="Arial"/>
          <w:b/>
          <w:bCs/>
          <w:color w:val="555555"/>
          <w:sz w:val="22"/>
          <w:szCs w:val="22"/>
        </w:rPr>
        <w:t xml:space="preserve">Author: </w:t>
      </w:r>
      <w:r>
        <w:rPr>
          <w:rFonts w:ascii="Arial" w:cs="Arial" w:eastAsia="Arial" w:hAnsi="Arial"/>
          <w:color w:val="555555"/>
          <w:sz w:val="22"/>
          <w:szCs w:val="22"/>
        </w:rPr>
        <w:t xml:space="preserve">Product Team   </w:t>
      </w:r>
      <w:r>
        <w:rPr>
          <w:rFonts w:ascii="Arial" w:cs="Arial" w:eastAsia="Arial" w:hAnsi="Arial"/>
          <w:b/>
          <w:bCs/>
          <w:color w:val="555555"/>
          <w:sz w:val="22"/>
          <w:szCs w:val="22"/>
        </w:rPr>
        <w:t xml:space="preserve">Classification: </w:t>
      </w:r>
      <w:r>
        <w:rPr>
          <w:rFonts w:ascii="Arial" w:cs="Arial" w:eastAsia="Arial" w:hAnsi="Arial"/>
          <w:color w:val="555555"/>
          <w:sz w:val="22"/>
          <w:szCs w:val="22"/>
        </w:rPr>
        <w:t xml:space="preserve">Confidential</w:t>
      </w:r>
    </w:p>
    <w:p>
      <w:r>
        <w:br w:type="page"/>
      </w:r>
    </w:p>
    <w:p>
      <w:pPr>
        <w:pStyle w:val="Heading1"/>
        <w:spacing w:after="200" w:before="400"/>
      </w:pPr>
      <w:r>
        <w:rPr>
          <w:rFonts w:ascii="Arial" w:cs="Arial" w:eastAsia="Arial" w:hAnsi="Arial"/>
          <w:b/>
          <w:bCs/>
          <w:color w:val="1E3A5F"/>
          <w:sz w:val="36"/>
          <w:szCs w:val="36"/>
        </w:rPr>
        <w:t xml:space="preserve">1. Executive Summary</w:t>
      </w:r>
    </w:p>
    <w:tbl>
      <w:tblPr>
        <w:tblW w:type="dxa" w:w="9360"/>
        <w:tblBorders>
          <w:top w:val="single" w:color="2D7DD2" w:sz="8"/>
          <w:left w:val="single" w:color="2D7DD2" w:sz="8"/>
          <w:bottom w:val="single" w:color="2D7DD2" w:sz="8"/>
          <w:right w:val="single" w:color="2D7DD2" w:sz="8"/>
          <w:insideH w:val="single" w:color="auto" w:sz="4"/>
          <w:insideV w:val="single" w:color="auto" w:sz="4"/>
        </w:tblBorders>
      </w:tblPr>
      <w:tblGrid>
        <w:gridCol w:w="9360"/>
      </w:tblGrid>
      <w:tr>
        <w:tc>
          <w:tcPr>
            <w:tcW w:type="dxa" w:w="9360"/>
            <w:tcBorders>
              <w:top w:val="single" w:color="2D7DD2" w:sz="8"/>
              <w:left w:val="single" w:color="2D7DD2" w:sz="8"/>
              <w:bottom w:val="single" w:color="2D7DD2" w:sz="8"/>
              <w:right w:val="single" w:color="2D7DD2" w:sz="8"/>
            </w:tcBorders>
            <w:shd w:fill="E8F0FE" w:val="clear"/>
            <w:tcMar>
              <w:top w:type="dxa" w:w="120"/>
              <w:left w:type="dxa" w:w="180"/>
              <w:bottom w:type="dxa" w:w="120"/>
              <w:right w:type="dxa" w:w="180"/>
            </w:tcMar>
          </w:tcPr>
          <w:p>
            <w:r>
              <w:rPr>
                <w:rFonts w:ascii="Arial" w:cs="Arial" w:eastAsia="Arial" w:hAnsi="Arial"/>
                <w:b/>
                <w:bCs/>
                <w:color w:val="2D7DD2"/>
                <w:sz w:val="20"/>
                <w:szCs w:val="20"/>
              </w:rPr>
              <w:t xml:space="preserve">Vision Statement</w:t>
            </w:r>
          </w:p>
          <w:p>
            <w:pPr>
              <w:spacing w:before="60"/>
            </w:pPr>
            <w:r>
              <w:rPr>
                <w:rFonts w:ascii="Arial" w:cs="Arial" w:eastAsia="Arial" w:hAnsi="Arial"/>
                <w:color w:val="555555"/>
                <w:sz w:val="20"/>
                <w:szCs w:val="20"/>
              </w:rPr>
              <w:t xml:space="preserve">Build the world's most comprehensive AI Agent Operating System — enabling any organization to deploy, orchestrate, and scale autonomous AI agents that replace repetitive work, amplify human decision-making, and drive measurable business outcomes across every department.</w:t>
            </w:r>
          </w:p>
        </w:tc>
      </w:tr>
    </w:tbl>
    <w:p>
      <w:pPr>
        <w:spacing w:before="160"/>
      </w:pPr>
    </w:p>
    <w:p>
      <w:pPr>
        <w:spacing w:after="100" w:before="80"/>
      </w:pPr>
      <w:r>
        <w:rPr>
          <w:rFonts w:ascii="Arial" w:cs="Arial" w:eastAsia="Arial" w:hAnsi="Arial"/>
          <w:color w:val="555555"/>
          <w:sz w:val="22"/>
          <w:szCs w:val="22"/>
        </w:rPr>
        <w:t xml:space="preserve">The AI Agent Platform is a full-stack, multi-tenant SaaS product that gives businesses a single unified workspace to create intelligent agents, connect every tool they use, automate complex workflows, and measure the ROI of AI across their organization. From a solo founder running a startup to a Fortune 500 enterprise with thousands of employees, this platform scales to meet every need — without requiring a single line of code.</w:t>
      </w:r>
    </w:p>
    <w:p>
      <w:pPr>
        <w:spacing w:before="80"/>
      </w:pPr>
    </w:p>
    <w:p>
      <w:pPr>
        <w:pStyle w:val="Heading3"/>
        <w:spacing w:after="120" w:before="240"/>
      </w:pPr>
      <w:r>
        <w:rPr>
          <w:rFonts w:ascii="Arial" w:cs="Arial" w:eastAsia="Arial" w:hAnsi="Arial"/>
          <w:b/>
          <w:bCs/>
          <w:color w:val="1E3A5F"/>
          <w:sz w:val="24"/>
          <w:szCs w:val="24"/>
        </w:rPr>
        <w:t xml:space="preserve">1.1 The Problem</w:t>
      </w:r>
    </w:p>
    <w:p>
      <w:pPr>
        <w:pStyle w:val="ListParagraph"/>
        <w:numPr>
          <w:ilvl w:val="0"/>
          <w:numId w:val="2"/>
        </w:numPr>
        <w:spacing w:after="60" w:before="60"/>
      </w:pPr>
      <w:r>
        <w:rPr>
          <w:rFonts w:ascii="Arial" w:cs="Arial" w:eastAsia="Arial" w:hAnsi="Arial"/>
          <w:color w:val="555555"/>
          <w:sz w:val="22"/>
          <w:szCs w:val="22"/>
        </w:rPr>
        <w:t xml:space="preserve">Organizations waste 40–60% of employee time on repetitive, low-value tasks that AI can handle autonomously.</w:t>
      </w:r>
    </w:p>
    <w:p>
      <w:pPr>
        <w:pStyle w:val="ListParagraph"/>
        <w:numPr>
          <w:ilvl w:val="0"/>
          <w:numId w:val="2"/>
        </w:numPr>
        <w:spacing w:after="60" w:before="60"/>
      </w:pPr>
      <w:r>
        <w:rPr>
          <w:rFonts w:ascii="Arial" w:cs="Arial" w:eastAsia="Arial" w:hAnsi="Arial"/>
          <w:color w:val="555555"/>
          <w:sz w:val="22"/>
          <w:szCs w:val="22"/>
        </w:rPr>
        <w:t xml:space="preserve">Existing AI tools are siloed — companies need 10+ disconnected products to cover email, CRM, analytics, support, and sales.</w:t>
      </w:r>
    </w:p>
    <w:p>
      <w:pPr>
        <w:pStyle w:val="ListParagraph"/>
        <w:numPr>
          <w:ilvl w:val="0"/>
          <w:numId w:val="2"/>
        </w:numPr>
        <w:spacing w:after="60" w:before="60"/>
      </w:pPr>
      <w:r>
        <w:rPr>
          <w:rFonts w:ascii="Arial" w:cs="Arial" w:eastAsia="Arial" w:hAnsi="Arial"/>
          <w:color w:val="555555"/>
          <w:sz w:val="22"/>
          <w:szCs w:val="22"/>
        </w:rPr>
        <w:t xml:space="preserve">Building custom AI agents requires expensive engineers, months of development, and ongoing maintenance.</w:t>
      </w:r>
    </w:p>
    <w:p>
      <w:pPr>
        <w:pStyle w:val="ListParagraph"/>
        <w:numPr>
          <w:ilvl w:val="0"/>
          <w:numId w:val="2"/>
        </w:numPr>
        <w:spacing w:after="60" w:before="60"/>
      </w:pPr>
      <w:r>
        <w:rPr>
          <w:rFonts w:ascii="Arial" w:cs="Arial" w:eastAsia="Arial" w:hAnsi="Arial"/>
          <w:color w:val="555555"/>
          <w:sz w:val="22"/>
          <w:szCs w:val="22"/>
        </w:rPr>
        <w:t xml:space="preserve">There is no single platform that provides agent creation, memory, knowledge, orchestration, analytics, and governance in one place.</w:t>
      </w:r>
    </w:p>
    <w:p>
      <w:pPr>
        <w:spacing w:before="80"/>
      </w:pPr>
    </w:p>
    <w:p>
      <w:pPr>
        <w:pStyle w:val="Heading3"/>
        <w:spacing w:after="120" w:before="240"/>
      </w:pPr>
      <w:r>
        <w:rPr>
          <w:rFonts w:ascii="Arial" w:cs="Arial" w:eastAsia="Arial" w:hAnsi="Arial"/>
          <w:b/>
          <w:bCs/>
          <w:color w:val="1E3A5F"/>
          <w:sz w:val="24"/>
          <w:szCs w:val="24"/>
        </w:rPr>
        <w:t xml:space="preserve">1.2 The Solution</w:t>
      </w:r>
    </w:p>
    <w:p>
      <w:pPr>
        <w:spacing w:after="100" w:before="80"/>
      </w:pPr>
      <w:r>
        <w:rPr>
          <w:rFonts w:ascii="Arial" w:cs="Arial" w:eastAsia="Arial" w:hAnsi="Arial"/>
          <w:color w:val="555555"/>
          <w:sz w:val="22"/>
          <w:szCs w:val="22"/>
        </w:rPr>
        <w:t xml:space="preserve">The AI Agent Platform provides: a no-code Agent Builder, a shared Knowledge Hub with RAG, a hierarchical Memory System, a drag-and-drop Workflow Builder with multi-agent collaboration, deep integrations with 100+ business tools, Voice AI, a Marketplace for pre-built assets, and enterprise-grade Security &amp; Compliance — all governed under a flexible Workspace management layer.</w:t>
      </w:r>
    </w:p>
    <w:p>
      <w:pPr>
        <w:spacing w:before="80"/>
      </w:pPr>
    </w:p>
    <w:p>
      <w:pPr>
        <w:pStyle w:val="Heading3"/>
        <w:spacing w:after="120" w:before="240"/>
      </w:pPr>
      <w:r>
        <w:rPr>
          <w:rFonts w:ascii="Arial" w:cs="Arial" w:eastAsia="Arial" w:hAnsi="Arial"/>
          <w:b/>
          <w:bCs/>
          <w:color w:val="1E3A5F"/>
          <w:sz w:val="24"/>
          <w:szCs w:val="24"/>
        </w:rPr>
        <w:t xml:space="preserve">1.3 Key Metrics (12-Month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2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Paying Customers</w:t>
            </w:r>
          </w:p>
        </w:tc>
        <w:tc>
          <w:tcPr>
            <w:tcW w:type="dxa" w:w="62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5,000 workspaces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Active AI Agents Deployed</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500,000+</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Tasks Automated per Day</w:t>
            </w:r>
          </w:p>
        </w:tc>
        <w:tc>
          <w:tcPr>
            <w:tcW w:type="dxa" w:w="62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10,000,000+</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NPS Score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&gt; 60</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Monthly Recurring Revenue (MRR)</w:t>
            </w:r>
          </w:p>
        </w:tc>
        <w:tc>
          <w:tcPr>
            <w:tcW w:type="dxa" w:w="62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$2.5M</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Agent Creation Time (avg)</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&lt; 10 minutes</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Platform Uptime SLA</w:t>
            </w:r>
          </w:p>
        </w:tc>
        <w:tc>
          <w:tcPr>
            <w:tcW w:type="dxa" w:w="62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99.9%</w:t>
            </w:r>
          </w:p>
        </w:tc>
      </w:tr>
    </w:tbl>
    <w:p>
      <w:r>
        <w:br w:type="page"/>
      </w:r>
    </w:p>
    <w:p>
      <w:pPr>
        <w:pStyle w:val="Heading1"/>
        <w:spacing w:after="200" w:before="400"/>
      </w:pPr>
      <w:r>
        <w:rPr>
          <w:rFonts w:ascii="Arial" w:cs="Arial" w:eastAsia="Arial" w:hAnsi="Arial"/>
          <w:b/>
          <w:bCs/>
          <w:color w:val="1E3A5F"/>
          <w:sz w:val="36"/>
          <w:szCs w:val="36"/>
        </w:rPr>
        <w:t xml:space="preserve">2. Product Goals &amp; Objectives</w:t>
      </w:r>
    </w:p>
    <w:p>
      <w:pPr>
        <w:pStyle w:val="Heading3"/>
        <w:spacing w:after="120" w:before="240"/>
      </w:pPr>
      <w:r>
        <w:rPr>
          <w:rFonts w:ascii="Arial" w:cs="Arial" w:eastAsia="Arial" w:hAnsi="Arial"/>
          <w:b/>
          <w:bCs/>
          <w:color w:val="1E3A5F"/>
          <w:sz w:val="24"/>
          <w:szCs w:val="24"/>
        </w:rPr>
        <w:t xml:space="preserve">2.1 Primary Goals</w:t>
      </w:r>
    </w:p>
    <w:p>
      <w:pPr>
        <w:pStyle w:val="ListParagraph"/>
        <w:numPr>
          <w:ilvl w:val="0"/>
          <w:numId w:val="3"/>
        </w:numPr>
        <w:spacing w:after="60" w:before="60"/>
      </w:pPr>
      <w:r>
        <w:rPr>
          <w:rFonts w:ascii="Arial" w:cs="Arial" w:eastAsia="Arial" w:hAnsi="Arial"/>
          <w:color w:val="555555"/>
          <w:sz w:val="22"/>
          <w:szCs w:val="22"/>
        </w:rPr>
        <w:t xml:space="preserve">Enable any business user to build and deploy a fully autonomous AI agent without writing code.</w:t>
      </w:r>
    </w:p>
    <w:p>
      <w:pPr>
        <w:pStyle w:val="ListParagraph"/>
        <w:numPr>
          <w:ilvl w:val="0"/>
          <w:numId w:val="3"/>
        </w:numPr>
        <w:spacing w:after="60" w:before="60"/>
      </w:pPr>
      <w:r>
        <w:rPr>
          <w:rFonts w:ascii="Arial" w:cs="Arial" w:eastAsia="Arial" w:hAnsi="Arial"/>
          <w:color w:val="555555"/>
          <w:sz w:val="22"/>
          <w:szCs w:val="22"/>
        </w:rPr>
        <w:t xml:space="preserve">Provide a unified platform that replaces fragmented AI tooling across departments.</w:t>
      </w:r>
    </w:p>
    <w:p>
      <w:pPr>
        <w:pStyle w:val="ListParagraph"/>
        <w:numPr>
          <w:ilvl w:val="0"/>
          <w:numId w:val="3"/>
        </w:numPr>
        <w:spacing w:after="60" w:before="60"/>
      </w:pPr>
      <w:r>
        <w:rPr>
          <w:rFonts w:ascii="Arial" w:cs="Arial" w:eastAsia="Arial" w:hAnsi="Arial"/>
          <w:color w:val="555555"/>
          <w:sz w:val="22"/>
          <w:szCs w:val="22"/>
        </w:rPr>
        <w:t xml:space="preserve">Deliver measurable ROI through real-time analytics tracking cost savings, task completion, and efficiency gains.</w:t>
      </w:r>
    </w:p>
    <w:p>
      <w:pPr>
        <w:pStyle w:val="ListParagraph"/>
        <w:numPr>
          <w:ilvl w:val="0"/>
          <w:numId w:val="3"/>
        </w:numPr>
        <w:spacing w:after="60" w:before="60"/>
      </w:pPr>
      <w:r>
        <w:rPr>
          <w:rFonts w:ascii="Arial" w:cs="Arial" w:eastAsia="Arial" w:hAnsi="Arial"/>
          <w:color w:val="555555"/>
          <w:sz w:val="22"/>
          <w:szCs w:val="22"/>
        </w:rPr>
        <w:t xml:space="preserve">Support the full lifecycle of enterprise AI adoption — from experimentation to autonomous operations.</w:t>
      </w:r>
    </w:p>
    <w:p>
      <w:pPr>
        <w:spacing w:before="120"/>
      </w:pPr>
    </w:p>
    <w:p>
      <w:pPr>
        <w:pStyle w:val="Heading3"/>
        <w:spacing w:after="120" w:before="240"/>
      </w:pPr>
      <w:r>
        <w:rPr>
          <w:rFonts w:ascii="Arial" w:cs="Arial" w:eastAsia="Arial" w:hAnsi="Arial"/>
          <w:b/>
          <w:bCs/>
          <w:color w:val="1E3A5F"/>
          <w:sz w:val="24"/>
          <w:szCs w:val="24"/>
        </w:rPr>
        <w:t xml:space="preserve">2.2 Strategic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57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Platform Coverage</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16 core modules, 80+ sub-features at GA</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Integrations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50+ native connectors at launch; 200+ in 12 months</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Multi-Agent Orchestration</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Support 7-agent hierarchical chains in production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Enterprise Readiness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SOC 2 Type II, GDPR, HIPAA compliance at Enterprise tier</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Marketplace Growth</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500+ community-published agents and workflows in Year 1</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Voice AI</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Sub-300ms voice response latency</w:t>
            </w:r>
          </w:p>
        </w:tc>
      </w:tr>
    </w:tbl>
    <w:p>
      <w:r>
        <w:br w:type="page"/>
      </w:r>
    </w:p>
    <w:p>
      <w:pPr>
        <w:pStyle w:val="Heading1"/>
        <w:spacing w:after="200" w:before="400"/>
      </w:pPr>
      <w:r>
        <w:rPr>
          <w:rFonts w:ascii="Arial" w:cs="Arial" w:eastAsia="Arial" w:hAnsi="Arial"/>
          <w:b/>
          <w:bCs/>
          <w:color w:val="1E3A5F"/>
          <w:sz w:val="36"/>
          <w:szCs w:val="36"/>
        </w:rPr>
        <w:t xml:space="preserve">3. User Personas</w:t>
      </w:r>
    </w:p>
    <w:p>
      <w:pPr>
        <w:pStyle w:val="Heading3"/>
        <w:spacing w:after="120" w:before="240"/>
      </w:pPr>
      <w:r>
        <w:rPr>
          <w:rFonts w:ascii="Arial" w:cs="Arial" w:eastAsia="Arial" w:hAnsi="Arial"/>
          <w:b/>
          <w:bCs/>
          <w:color w:val="1E3A5F"/>
          <w:sz w:val="24"/>
          <w:szCs w:val="24"/>
        </w:rPr>
        <w:t xml:space="preserve">👨‍💼  Alex — Operations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Segment</w:t>
            </w:r>
          </w:p>
        </w:tc>
        <w:tc>
          <w:tcPr>
            <w:tcW w:type="dxa" w:w="7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SMB / Mid-market</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Goals</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Automate repetitive ops workflows; reduce manual data entry; get status reports without asking the team.</w:t>
            </w:r>
          </w:p>
        </w:tc>
      </w:tr>
      <w:tr>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Key Features Needed</w:t>
            </w:r>
          </w:p>
        </w:tc>
        <w:tc>
          <w:tcPr>
            <w:tcW w:type="dxa" w:w="7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No-code workflow builder; task scheduling; approval workflows; Slack &amp; email integration.</w:t>
            </w:r>
          </w:p>
        </w:tc>
      </w:tr>
    </w:tbl>
    <w:p>
      <w:pPr>
        <w:spacing w:before="120"/>
      </w:pPr>
    </w:p>
    <w:p>
      <w:pPr>
        <w:pStyle w:val="Heading3"/>
        <w:spacing w:after="120" w:before="240"/>
      </w:pPr>
      <w:r>
        <w:rPr>
          <w:rFonts w:ascii="Arial" w:cs="Arial" w:eastAsia="Arial" w:hAnsi="Arial"/>
          <w:b/>
          <w:bCs/>
          <w:color w:val="1E3A5F"/>
          <w:sz w:val="24"/>
          <w:szCs w:val="24"/>
        </w:rPr>
        <w:t xml:space="preserve">👩‍💻  Priya — AI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Segment</w:t>
            </w:r>
          </w:p>
        </w:tc>
        <w:tc>
          <w:tcPr>
            <w:tcW w:type="dxa" w:w="7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Enterprise / Startup</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Goals</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Build, test, and fine-tune custom agents; connect vector DBs; manage token budgets; monitor agent behavior.</w:t>
            </w:r>
          </w:p>
        </w:tc>
      </w:tr>
      <w:tr>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Key Features Needed</w:t>
            </w:r>
          </w:p>
        </w:tc>
        <w:tc>
          <w:tcPr>
            <w:tcW w:type="dxa" w:w="7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Agent Builder with full Brain model config; Knowledge Hub; Memory System; Token Usage analytics; API Keys.</w:t>
            </w:r>
          </w:p>
        </w:tc>
      </w:tr>
    </w:tbl>
    <w:p>
      <w:pPr>
        <w:spacing w:before="120"/>
      </w:pPr>
    </w:p>
    <w:p>
      <w:pPr>
        <w:pStyle w:val="Heading3"/>
        <w:spacing w:after="120" w:before="240"/>
      </w:pPr>
      <w:r>
        <w:rPr>
          <w:rFonts w:ascii="Arial" w:cs="Arial" w:eastAsia="Arial" w:hAnsi="Arial"/>
          <w:b/>
          <w:bCs/>
          <w:color w:val="1E3A5F"/>
          <w:sz w:val="24"/>
          <w:szCs w:val="24"/>
        </w:rPr>
        <w:t xml:space="preserve">📊  Marcus — Head of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Segment</w:t>
            </w:r>
          </w:p>
        </w:tc>
        <w:tc>
          <w:tcPr>
            <w:tcW w:type="dxa" w:w="7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Mid-market</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Goals</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Have AI agents qualify leads, draft outreach, update the CRM, and flag hot accounts in real time.</w:t>
            </w:r>
          </w:p>
        </w:tc>
      </w:tr>
      <w:tr>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Key Features Needed</w:t>
            </w:r>
          </w:p>
        </w:tc>
        <w:tc>
          <w:tcPr>
            <w:tcW w:type="dxa" w:w="7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HubSpot / Salesforce integration; Sales Agent; Triggered Tasks; ROI Dashboard; Voice AI phone agents.</w:t>
            </w:r>
          </w:p>
        </w:tc>
      </w:tr>
    </w:tbl>
    <w:p>
      <w:pPr>
        <w:spacing w:before="120"/>
      </w:pPr>
    </w:p>
    <w:p>
      <w:pPr>
        <w:pStyle w:val="Heading3"/>
        <w:spacing w:after="120" w:before="240"/>
      </w:pPr>
      <w:r>
        <w:rPr>
          <w:rFonts w:ascii="Arial" w:cs="Arial" w:eastAsia="Arial" w:hAnsi="Arial"/>
          <w:b/>
          <w:bCs/>
          <w:color w:val="1E3A5F"/>
          <w:sz w:val="24"/>
          <w:szCs w:val="24"/>
        </w:rPr>
        <w:t xml:space="preserve">🏥  Sarah — Healthcare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Segment</w:t>
            </w:r>
          </w:p>
        </w:tc>
        <w:tc>
          <w:tcPr>
            <w:tcW w:type="dxa" w:w="7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Enterprise</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Goals</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Automate patient intake, appointment reminders, and compliance documentation with full audit trails.</w:t>
            </w:r>
          </w:p>
        </w:tc>
      </w:tr>
      <w:tr>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Key Features Needed</w:t>
            </w:r>
          </w:p>
        </w:tc>
        <w:tc>
          <w:tcPr>
            <w:tcW w:type="dxa" w:w="7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HIPAA-compliant workspace; SSO; Audit Logs; Approval Workflow; document knowledge sources.</w:t>
            </w:r>
          </w:p>
        </w:tc>
      </w:tr>
    </w:tbl>
    <w:p>
      <w:pPr>
        <w:spacing w:before="120"/>
      </w:pPr>
    </w:p>
    <w:p>
      <w:pPr>
        <w:pStyle w:val="Heading3"/>
        <w:spacing w:after="120" w:before="240"/>
      </w:pPr>
      <w:r>
        <w:rPr>
          <w:rFonts w:ascii="Arial" w:cs="Arial" w:eastAsia="Arial" w:hAnsi="Arial"/>
          <w:b/>
          <w:bCs/>
          <w:color w:val="1E3A5F"/>
          <w:sz w:val="24"/>
          <w:szCs w:val="24"/>
        </w:rPr>
        <w:t xml:space="preserve">🚀  Dev — Solo Founder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Segment</w:t>
            </w:r>
          </w:p>
        </w:tc>
        <w:tc>
          <w:tcPr>
            <w:tcW w:type="dxa" w:w="7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Free / Starter tier</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Goals</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Get AI to handle support tickets, social posting, invoice follow-ups, and research — with zero budget for staff.</w:t>
            </w:r>
          </w:p>
        </w:tc>
      </w:tr>
      <w:tr>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Key Features Needed</w:t>
            </w:r>
          </w:p>
        </w:tc>
        <w:tc>
          <w:tcPr>
            <w:tcW w:type="dxa" w:w="7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Free tier; Marketplace templates; Gmail + WhatsApp; Zapier integration; Voice Chat.</w:t>
            </w:r>
          </w:p>
        </w:tc>
      </w:tr>
    </w:tbl>
    <w:p>
      <w:pPr>
        <w:spacing w:before="120"/>
      </w:pPr>
    </w:p>
    <w:p>
      <w:r>
        <w:br w:type="page"/>
      </w:r>
    </w:p>
    <w:p>
      <w:pPr>
        <w:pStyle w:val="Heading1"/>
        <w:spacing w:after="200" w:before="400"/>
      </w:pPr>
      <w:r>
        <w:rPr>
          <w:rFonts w:ascii="Arial" w:cs="Arial" w:eastAsia="Arial" w:hAnsi="Arial"/>
          <w:b/>
          <w:bCs/>
          <w:color w:val="1E3A5F"/>
          <w:sz w:val="36"/>
          <w:szCs w:val="36"/>
        </w:rPr>
        <w:t xml:space="preserve">4. System Architecture Overview</w:t>
      </w:r>
    </w:p>
    <w:p>
      <w:pPr>
        <w:spacing w:after="100" w:before="80"/>
      </w:pPr>
      <w:r>
        <w:rPr>
          <w:rFonts w:ascii="Arial" w:cs="Arial" w:eastAsia="Arial" w:hAnsi="Arial"/>
          <w:color w:val="555555"/>
          <w:sz w:val="22"/>
          <w:szCs w:val="22"/>
        </w:rPr>
        <w:t xml:space="preserve">The platform is organized as a tree of modules, all accessible from a single Workspace Dashboard. The architecture follows a hub-and-spoke model: the Workspace Dashboard is the central hub; every feature module is a spoke. Multi-agent workflows introduce additional hierarchy by chaining agents in directed graphs.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48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r>
      <w:tr>
        <w:tc>
          <w:tcPr>
            <w:tcW w:type="dxa" w:w="2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Presentation</w:t>
            </w:r>
          </w:p>
        </w:tc>
        <w:tc>
          <w:tcPr>
            <w:tcW w:type="dxa" w:w="64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React SPA + Next.js SSR; Mobile apps (iOS/Android); Voice Interface</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API Gateway</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REST + GraphQL; WebSocket for real-time; Rate limiting; Auth middleware</w:t>
            </w:r>
          </w:p>
        </w:tc>
      </w:tr>
      <w:tr>
        <w:tc>
          <w:tcPr>
            <w:tcW w:type="dxa" w:w="2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Core Services</w:t>
            </w:r>
          </w:p>
        </w:tc>
        <w:tc>
          <w:tcPr>
            <w:tcW w:type="dxa" w:w="64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Agent Runtime; Workflow Engine; Memory Service; RAG Pipeline; Task Scheduler</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Integrations</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OAuth2 connectors; Webhook manager; Zapier bridge; MCP server layer</w:t>
            </w:r>
          </w:p>
        </w:tc>
      </w:tr>
      <w:tr>
        <w:tc>
          <w:tcPr>
            <w:tcW w:type="dxa" w:w="2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Data</w:t>
            </w:r>
          </w:p>
        </w:tc>
        <w:tc>
          <w:tcPr>
            <w:tcW w:type="dxa" w:w="64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PostgreSQL (relational); Redis (cache/sessions); Pinecone/Weaviate (vectors); S3 (files)</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AI / LLM Layer</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Multi-model support: GPT-4o, Claude 3.5, Gemini 1.5; local model option</w:t>
            </w:r>
          </w:p>
        </w:tc>
      </w:tr>
      <w:tr>
        <w:tc>
          <w:tcPr>
            <w:tcW w:type="dxa" w:w="2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Infrastructure</w:t>
            </w:r>
          </w:p>
        </w:tc>
        <w:tc>
          <w:tcPr>
            <w:tcW w:type="dxa" w:w="64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Kubernetes on AWS/GCP; Multi-region; CDN; Auto-scaling</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Security</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mTLS; AES-256 at rest; SOC 2; SIEM integration</w:t>
            </w:r>
          </w:p>
        </w:tc>
      </w:tr>
    </w:tbl>
    <w:p>
      <w:r>
        <w:br w:type="page"/>
      </w:r>
    </w:p>
    <w:p>
      <w:pPr>
        <w:pStyle w:val="Heading1"/>
        <w:spacing w:after="200" w:before="400"/>
      </w:pPr>
      <w:r>
        <w:rPr>
          <w:rFonts w:ascii="Arial" w:cs="Arial" w:eastAsia="Arial" w:hAnsi="Arial"/>
          <w:b/>
          <w:bCs/>
          <w:color w:val="1E3A5F"/>
          <w:sz w:val="36"/>
          <w:szCs w:val="36"/>
        </w:rPr>
        <w:t xml:space="preserve">5. Feature Modules</w:t>
      </w:r>
    </w:p>
    <w:p>
      <w:pPr>
        <w:spacing w:after="100" w:before="80"/>
      </w:pPr>
      <w:r>
        <w:rPr>
          <w:rFonts w:ascii="Arial" w:cs="Arial" w:eastAsia="Arial" w:hAnsi="Arial"/>
          <w:color w:val="555555"/>
          <w:sz w:val="22"/>
          <w:szCs w:val="22"/>
        </w:rPr>
        <w:t xml:space="preserve">Each module below maps directly to the platform's information architecture. Priority uses the P0–P2 scale: P0 = MVP / launch-blocker, P1 = important / first quarter, P2 = planned / roadmap.</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il"/>
              <w:left w:val="nil"/>
              <w:bottom w:val="nil"/>
              <w:right w:val="nil"/>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AUTH</w:t>
            </w:r>
          </w:p>
        </w:tc>
        <w:tc>
          <w:tcPr>
            <w:tcW w:type="dxa" w:w="7920"/>
            <w:tcBorders>
              <w:top w:val="nil"/>
              <w:left w:val="nil"/>
              <w:bottom w:val="nil"/>
              <w:right w:val="nil"/>
            </w:tcBorders>
            <w:shd w:fill="2D7DD2" w:val="clear"/>
            <w:tcMar>
              <w:top w:type="dxa" w:w="100"/>
              <w:left w:type="dxa" w:w="160"/>
              <w:bottom w:type="dxa" w:w="100"/>
              <w:right w:type="dxa" w:w="160"/>
            </w:tcMar>
            <w:vAlign w:val="center"/>
          </w:tcPr>
          <w:p>
            <w:r>
              <w:rPr>
                <w:rFonts w:ascii="Arial" w:cs="Arial" w:eastAsia="Arial" w:hAnsi="Arial"/>
                <w:b/>
                <w:bCs/>
                <w:color w:val="FFFFFF"/>
                <w:sz w:val="22"/>
                <w:szCs w:val="22"/>
              </w:rPr>
              <w:t xml:space="preserve">Module 01 — Authentication</w:t>
            </w:r>
          </w:p>
        </w:tc>
      </w:tr>
    </w:tbl>
    <w:p>
      <w:pPr>
        <w:spacing w:before="80"/>
      </w:pPr>
    </w:p>
    <w:p>
      <w:pPr>
        <w:spacing w:after="100" w:before="80"/>
      </w:pPr>
      <w:r>
        <w:rPr>
          <w:rFonts w:ascii="Arial" w:cs="Arial" w:eastAsia="Arial" w:hAnsi="Arial"/>
          <w:color w:val="555555"/>
          <w:sz w:val="22"/>
          <w:szCs w:val="22"/>
        </w:rPr>
        <w:t xml:space="preserve">The authentication module is the entry gate for all users. It must be secure, frictionless, and enterprise-compatible.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1200"/>
        <w:gridCol w:w="1200"/>
      </w:tblGrid>
      <w:tr>
        <w:trPr>
          <w:tblHeader/>
        </w:trPr>
        <w:tc>
          <w:tcPr>
            <w:tcW w:type="dxa" w:w="24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 Sub-module</w:t>
            </w:r>
          </w:p>
        </w:tc>
        <w:tc>
          <w:tcPr>
            <w:tcW w:type="dxa" w:w="456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Email / Password Login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Standard credential-based auth with bcrypt hashing and brute-force protection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Magic Link (Passwordless)</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One-click login via email link — preferred for ease of onboarding</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Google OAuth2</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Sign in with Google — reduces friction for G-Suite users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GitHub OAuth2</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Sign in with GitHub — appeals to developer personas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SSO / SAML 2.0</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Enterprise single sign-on via Okta, Azure AD, or any SAML provider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Multi-Factor Authentication</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TOTP-based 2FA (Google Authenticator, Authy); SMS fallback</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Session Management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JWT access tokens (15 min TTL) + refresh tokens (30 days); device sessions UI</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Rate Limiting &amp; Lockout</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Progressive lockout after failed attempts; CAPTCHA on suspicious activity</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il"/>
              <w:left w:val="nil"/>
              <w:bottom w:val="nil"/>
              <w:right w:val="nil"/>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DASH</w:t>
            </w:r>
          </w:p>
        </w:tc>
        <w:tc>
          <w:tcPr>
            <w:tcW w:type="dxa" w:w="7920"/>
            <w:tcBorders>
              <w:top w:val="nil"/>
              <w:left w:val="nil"/>
              <w:bottom w:val="nil"/>
              <w:right w:val="nil"/>
            </w:tcBorders>
            <w:shd w:fill="2D7DD2" w:val="clear"/>
            <w:tcMar>
              <w:top w:type="dxa" w:w="100"/>
              <w:left w:type="dxa" w:w="160"/>
              <w:bottom w:type="dxa" w:w="100"/>
              <w:right w:type="dxa" w:w="160"/>
            </w:tcMar>
            <w:vAlign w:val="center"/>
          </w:tcPr>
          <w:p>
            <w:r>
              <w:rPr>
                <w:rFonts w:ascii="Arial" w:cs="Arial" w:eastAsia="Arial" w:hAnsi="Arial"/>
                <w:b/>
                <w:bCs/>
                <w:color w:val="FFFFFF"/>
                <w:sz w:val="22"/>
                <w:szCs w:val="22"/>
              </w:rPr>
              <w:t xml:space="preserve">Module 02 — Workspace Dashboard</w:t>
            </w:r>
          </w:p>
        </w:tc>
      </w:tr>
    </w:tbl>
    <w:p>
      <w:pPr>
        <w:spacing w:before="80"/>
      </w:pPr>
    </w:p>
    <w:p>
      <w:pPr>
        <w:spacing w:after="100" w:before="80"/>
      </w:pPr>
      <w:r>
        <w:rPr>
          <w:rFonts w:ascii="Arial" w:cs="Arial" w:eastAsia="Arial" w:hAnsi="Arial"/>
          <w:color w:val="555555"/>
          <w:sz w:val="22"/>
          <w:szCs w:val="22"/>
        </w:rPr>
        <w:t xml:space="preserve">The Dashboard is the central command center. After login, users land here and navigate to all platform modules. It provides a high-level snapshot of agent activity, pending tasks, and platform health.</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1200"/>
        <w:gridCol w:w="1200"/>
      </w:tblGrid>
      <w:tr>
        <w:trPr>
          <w:tblHeader/>
        </w:trPr>
        <w:tc>
          <w:tcPr>
            <w:tcW w:type="dxa" w:w="24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 Sub-module</w:t>
            </w:r>
          </w:p>
        </w:tc>
        <w:tc>
          <w:tcPr>
            <w:tcW w:type="dxa" w:w="456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Global Navigation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Sidebar with quick-access to all 16 modules; collapsible for more screen space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Activity Feed</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Real-time stream of agent actions, completed tasks, errors, and approvals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KPI Overview Cards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Tasks completed today, active agents, cost saved, token usage — at a glance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Quick Launch</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One-click 'Create Agent', 'New Workflow', 'Add Knowledge' CTAs from dashboard</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Notifications Center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In-app alerts for task completions, failures, approvals, and billing events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Workspace Switcher</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Users belonging to multiple workspaces can switch without re-login</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Onboarding Wizard</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Step-by-step guided setup for new workspaces (connect tools, create first agent)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Global Search</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Search across agents, workflows, tasks, knowledge, integrations from one bar</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1A5276"/>
                <w:sz w:val="20"/>
                <w:szCs w:val="20"/>
              </w:rPr>
              <w:t xml:space="preserve">P2</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il"/>
              <w:left w:val="nil"/>
              <w:bottom w:val="nil"/>
              <w:right w:val="nil"/>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WRK</w:t>
            </w:r>
          </w:p>
        </w:tc>
        <w:tc>
          <w:tcPr>
            <w:tcW w:type="dxa" w:w="7920"/>
            <w:tcBorders>
              <w:top w:val="nil"/>
              <w:left w:val="nil"/>
              <w:bottom w:val="nil"/>
              <w:right w:val="nil"/>
            </w:tcBorders>
            <w:shd w:fill="2D7DD2" w:val="clear"/>
            <w:tcMar>
              <w:top w:type="dxa" w:w="100"/>
              <w:left w:type="dxa" w:w="160"/>
              <w:bottom w:type="dxa" w:w="100"/>
              <w:right w:type="dxa" w:w="160"/>
            </w:tcMar>
            <w:vAlign w:val="center"/>
          </w:tcPr>
          <w:p>
            <w:r>
              <w:rPr>
                <w:rFonts w:ascii="Arial" w:cs="Arial" w:eastAsia="Arial" w:hAnsi="Arial"/>
                <w:b/>
                <w:bCs/>
                <w:color w:val="FFFFFF"/>
                <w:sz w:val="22"/>
                <w:szCs w:val="22"/>
              </w:rPr>
              <w:t xml:space="preserve">Module 03 — Workspace Management</w:t>
            </w:r>
          </w:p>
        </w:tc>
      </w:tr>
    </w:tbl>
    <w:p>
      <w:pPr>
        <w:spacing w:before="80"/>
      </w:pPr>
    </w:p>
    <w:p>
      <w:pPr>
        <w:spacing w:after="100" w:before="80"/>
      </w:pPr>
      <w:r>
        <w:rPr>
          <w:rFonts w:ascii="Arial" w:cs="Arial" w:eastAsia="Arial" w:hAnsi="Arial"/>
          <w:color w:val="555555"/>
          <w:sz w:val="22"/>
          <w:szCs w:val="22"/>
        </w:rPr>
        <w:t xml:space="preserve">Workspace Management handles the organizational structure of the platform — who belongs to a workspace, what they can do, and how the workspace is configured. This is critical for multi-tenant security.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1200"/>
        <w:gridCol w:w="1200"/>
      </w:tblGrid>
      <w:tr>
        <w:trPr>
          <w:tblHeader/>
        </w:trPr>
        <w:tc>
          <w:tcPr>
            <w:tcW w:type="dxa" w:w="24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 Sub-module</w:t>
            </w:r>
          </w:p>
        </w:tc>
        <w:tc>
          <w:tcPr>
            <w:tcW w:type="dxa" w:w="456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Teams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Create named teams within a workspace (e.g. Engineering, Marketing); assign members and agents to teams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Members</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Invite members by email; manage status (Active / Pending / Suspended); bulk import via CSV</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Roles &amp; Permissions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Built-in roles: Owner, Admin, Member, Viewer; custom role builder with granular feature-level ACL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API Keys</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Generate, rotate, and revoke API keys with configurable scopes and expiry dates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Workspace Settings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Workspace name, logo, timezone, language, notification preferences, data retention policy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Audit Logs</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Immutable, timestamped record of every action (login, config change, agent run, data access) — searchable and exportable</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il"/>
              <w:left w:val="nil"/>
              <w:bottom w:val="nil"/>
              <w:right w:val="nil"/>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AGENT</w:t>
            </w:r>
          </w:p>
        </w:tc>
        <w:tc>
          <w:tcPr>
            <w:tcW w:type="dxa" w:w="7920"/>
            <w:tcBorders>
              <w:top w:val="nil"/>
              <w:left w:val="nil"/>
              <w:bottom w:val="nil"/>
              <w:right w:val="nil"/>
            </w:tcBorders>
            <w:shd w:fill="2D7DD2" w:val="clear"/>
            <w:tcMar>
              <w:top w:type="dxa" w:w="100"/>
              <w:left w:type="dxa" w:w="160"/>
              <w:bottom w:type="dxa" w:w="100"/>
              <w:right w:type="dxa" w:w="160"/>
            </w:tcMar>
            <w:vAlign w:val="center"/>
          </w:tcPr>
          <w:p>
            <w:r>
              <w:rPr>
                <w:rFonts w:ascii="Arial" w:cs="Arial" w:eastAsia="Arial" w:hAnsi="Arial"/>
                <w:b/>
                <w:bCs/>
                <w:color w:val="FFFFFF"/>
                <w:sz w:val="22"/>
                <w:szCs w:val="22"/>
              </w:rPr>
              <w:t xml:space="preserve">Module 04 — Agent Builder</w:t>
            </w:r>
          </w:p>
        </w:tc>
      </w:tr>
    </w:tbl>
    <w:p>
      <w:pPr>
        <w:spacing w:before="80"/>
      </w:pPr>
    </w:p>
    <w:p>
      <w:pPr>
        <w:spacing w:after="100" w:before="80"/>
      </w:pPr>
      <w:r>
        <w:rPr>
          <w:rFonts w:ascii="Arial" w:cs="Arial" w:eastAsia="Arial" w:hAnsi="Arial"/>
          <w:color w:val="555555"/>
          <w:sz w:val="22"/>
          <w:szCs w:val="22"/>
        </w:rPr>
        <w:t xml:space="preserve">The Agent Builder is the core product differentiator. It is a visual, no-code interface that enables any user to configure a fully autonomous AI agent in under 10 minutes. Each agent is a composable unit with a Brain, Memory, Knowledge, Tools, Goals, Permissions, and an Execution Runtime.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1200"/>
        <w:gridCol w:w="1200"/>
      </w:tblGrid>
      <w:tr>
        <w:trPr>
          <w:tblHeader/>
        </w:trPr>
        <w:tc>
          <w:tcPr>
            <w:tcW w:type="dxa" w:w="24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 Sub-module</w:t>
            </w:r>
          </w:p>
        </w:tc>
        <w:tc>
          <w:tcPr>
            <w:tcW w:type="dxa" w:w="456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Create Agent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Agent creation wizard: name, description, avatar, category tag; clone from template or build from scratch</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Brain Model</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Select the underlying LLM (GPT-4o, Claude 3.5, Gemini 1.5, local model); configure temperature, max tokens, top-p, system prompt, and persona instructions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Agent Memory</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Toggle short-term (session) memory and long-term memory; view and edit stored memories; set retention policies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Knowledge Sources</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Attach one or more knowledge bases to the agent; configure retrieval strategy (similarity threshold, top-k chunks)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Permissions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Define what the agent can/cannot do: read-only vs write; list of allowed tools; human-in-the-loop approval gates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Tools</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Assign pre-built tools (web search, code executor, email sender, calendar reader, DB query, HTTP request) or custom tools via function calling</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Goals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Define primary and secondary goals with success criteria; add sub-goals for complex multi-step missions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Execution Runtime</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Choose sync (immediate) or async (queued); set timeout, retry policy, and fallback behavior; enable streaming output</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Agent Testing Console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Chat interface to test the agent before deployment; view reasoning traces, tool calls, and memory usage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Version Control</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Save and restore agent snapshots; A/B test agent versions with live traffic split</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1A5276"/>
                <w:sz w:val="20"/>
                <w:szCs w:val="20"/>
              </w:rPr>
              <w:t xml:space="preserve">P2</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il"/>
              <w:left w:val="nil"/>
              <w:bottom w:val="nil"/>
              <w:right w:val="nil"/>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KH</w:t>
            </w:r>
          </w:p>
        </w:tc>
        <w:tc>
          <w:tcPr>
            <w:tcW w:type="dxa" w:w="7920"/>
            <w:tcBorders>
              <w:top w:val="nil"/>
              <w:left w:val="nil"/>
              <w:bottom w:val="nil"/>
              <w:right w:val="nil"/>
            </w:tcBorders>
            <w:shd w:fill="2D7DD2" w:val="clear"/>
            <w:tcMar>
              <w:top w:type="dxa" w:w="100"/>
              <w:left w:type="dxa" w:w="160"/>
              <w:bottom w:type="dxa" w:w="100"/>
              <w:right w:type="dxa" w:w="160"/>
            </w:tcMar>
            <w:vAlign w:val="center"/>
          </w:tcPr>
          <w:p>
            <w:r>
              <w:rPr>
                <w:rFonts w:ascii="Arial" w:cs="Arial" w:eastAsia="Arial" w:hAnsi="Arial"/>
                <w:b/>
                <w:bCs/>
                <w:color w:val="FFFFFF"/>
                <w:sz w:val="22"/>
                <w:szCs w:val="22"/>
              </w:rPr>
              <w:t xml:space="preserve">Module 05 — Knowledge Hub</w:t>
            </w:r>
          </w:p>
        </w:tc>
      </w:tr>
    </w:tbl>
    <w:p>
      <w:pPr>
        <w:spacing w:before="80"/>
      </w:pPr>
    </w:p>
    <w:p>
      <w:pPr>
        <w:spacing w:after="100" w:before="80"/>
      </w:pPr>
      <w:r>
        <w:rPr>
          <w:rFonts w:ascii="Arial" w:cs="Arial" w:eastAsia="Arial" w:hAnsi="Arial"/>
          <w:color w:val="555555"/>
          <w:sz w:val="22"/>
          <w:szCs w:val="22"/>
        </w:rPr>
        <w:t xml:space="preserve">The Knowledge Hub is the platform's RAG backbone. It ingests, processes, chunks, embeds, and stores organizational knowledge — making it queryable by any agent. This transforms static documents into a dynamic, AI-searchable knowledge layer.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1200"/>
        <w:gridCol w:w="1200"/>
      </w:tblGrid>
      <w:tr>
        <w:trPr>
          <w:tblHeader/>
        </w:trPr>
        <w:tc>
          <w:tcPr>
            <w:tcW w:type="dxa" w:w="24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 Sub-module</w:t>
            </w:r>
          </w:p>
        </w:tc>
        <w:tc>
          <w:tcPr>
            <w:tcW w:type="dxa" w:w="456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PDF Upload</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Drag-and-drop PDF ingestion with automatic text extraction, OCR fallback for scanned documents, and chunking configuration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DOCX Upload</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Microsoft Word document ingestion preserving heading structure for better chunk context</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Website Crawl</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Enter a URL; the system crawls up to N pages (configurable), extracts clean content, and keeps a re-crawl schedule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Notion Sync</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OAuth2 connect to Notion workspace; select pages/databases to sync; auto-refresh on content change</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Google Drive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Connect Google Drive; select folders/files; sync on schedule or on file change via Drive webhook</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Vector Database</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Pinecone / Weaviate / pgvector backend; manage namespaces per knowledge base; view index stats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RAG Engine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Configurable chunking (size, overlap), embedding model selection (OpenAI, Cohere, local), hybrid search (vector + keyword BM25), re-ranking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Knowledge Testing</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Query the knowledge base directly to evaluate retrieval quality before attaching to agents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Access Control</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Knowledge bases are private by default; share with specific agents, teams, or make workspace-public</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il"/>
              <w:left w:val="nil"/>
              <w:bottom w:val="nil"/>
              <w:right w:val="nil"/>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MEM</w:t>
            </w:r>
          </w:p>
        </w:tc>
        <w:tc>
          <w:tcPr>
            <w:tcW w:type="dxa" w:w="7920"/>
            <w:tcBorders>
              <w:top w:val="nil"/>
              <w:left w:val="nil"/>
              <w:bottom w:val="nil"/>
              <w:right w:val="nil"/>
            </w:tcBorders>
            <w:shd w:fill="2D7DD2" w:val="clear"/>
            <w:tcMar>
              <w:top w:type="dxa" w:w="100"/>
              <w:left w:type="dxa" w:w="160"/>
              <w:bottom w:type="dxa" w:w="100"/>
              <w:right w:type="dxa" w:w="160"/>
            </w:tcMar>
            <w:vAlign w:val="center"/>
          </w:tcPr>
          <w:p>
            <w:r>
              <w:rPr>
                <w:rFonts w:ascii="Arial" w:cs="Arial" w:eastAsia="Arial" w:hAnsi="Arial"/>
                <w:b/>
                <w:bCs/>
                <w:color w:val="FFFFFF"/>
                <w:sz w:val="22"/>
                <w:szCs w:val="22"/>
              </w:rPr>
              <w:t xml:space="preserve">Module 06 — Memory System</w:t>
            </w:r>
          </w:p>
        </w:tc>
      </w:tr>
    </w:tbl>
    <w:p>
      <w:pPr>
        <w:spacing w:before="80"/>
      </w:pPr>
    </w:p>
    <w:p>
      <w:pPr>
        <w:spacing w:after="100" w:before="80"/>
      </w:pPr>
      <w:r>
        <w:rPr>
          <w:rFonts w:ascii="Arial" w:cs="Arial" w:eastAsia="Arial" w:hAnsi="Arial"/>
          <w:color w:val="555555"/>
          <w:sz w:val="22"/>
          <w:szCs w:val="22"/>
        </w:rPr>
        <w:t xml:space="preserve">The Memory System gives agents and users persistent context across sessions and projects. Unlike stateless LLM calls, the Memory System enables agents to remember past interactions, user preferences, project state, and team decisions — making them exponentially more useful over time.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1200"/>
        <w:gridCol w:w="1200"/>
      </w:tblGrid>
      <w:tr>
        <w:trPr>
          <w:tblHeader/>
        </w:trPr>
        <w:tc>
          <w:tcPr>
            <w:tcW w:type="dxa" w:w="24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 Sub-module</w:t>
            </w:r>
          </w:p>
        </w:tc>
        <w:tc>
          <w:tcPr>
            <w:tcW w:type="dxa" w:w="456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User Memory</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Stores individual user preferences, past interactions, and profile context; accessible by agents interacting with that user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Agent Memory</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Each agent maintains its own episodic memory of past actions, outcomes, and learned behaviors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Project Memory</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Shared memory scoped to a project: goals, decisions, blockers, stakeholders — persists across all agents working on the project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Team Memory</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Workspace-wide shared context: company policies, brand voice, approved vendors, team org chart</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Long-Term Memory</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Auto-summarization and consolidation of old memories; importance scoring to retain high-value context; manual memory editor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Memory Search</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Semantic search across all memory types; timeline view of memory evolution; memory audit trail</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1A5276"/>
                <w:sz w:val="20"/>
                <w:szCs w:val="20"/>
              </w:rPr>
              <w:t xml:space="preserve">P2</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Memory Privacy Controls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Users can view and delete their own memories; Admins can set data retention policies; GDPR right-to-erasure support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il"/>
              <w:left w:val="nil"/>
              <w:bottom w:val="nil"/>
              <w:right w:val="nil"/>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INT</w:t>
            </w:r>
          </w:p>
        </w:tc>
        <w:tc>
          <w:tcPr>
            <w:tcW w:type="dxa" w:w="7920"/>
            <w:tcBorders>
              <w:top w:val="nil"/>
              <w:left w:val="nil"/>
              <w:bottom w:val="nil"/>
              <w:right w:val="nil"/>
            </w:tcBorders>
            <w:shd w:fill="2D7DD2" w:val="clear"/>
            <w:tcMar>
              <w:top w:type="dxa" w:w="100"/>
              <w:left w:type="dxa" w:w="160"/>
              <w:bottom w:type="dxa" w:w="100"/>
              <w:right w:type="dxa" w:w="160"/>
            </w:tcMar>
            <w:vAlign w:val="center"/>
          </w:tcPr>
          <w:p>
            <w:r>
              <w:rPr>
                <w:rFonts w:ascii="Arial" w:cs="Arial" w:eastAsia="Arial" w:hAnsi="Arial"/>
                <w:b/>
                <w:bCs/>
                <w:color w:val="FFFFFF"/>
                <w:sz w:val="22"/>
                <w:szCs w:val="22"/>
              </w:rPr>
              <w:t xml:space="preserve">Module 07 — Integrations Hub</w:t>
            </w:r>
          </w:p>
        </w:tc>
      </w:tr>
    </w:tbl>
    <w:p>
      <w:pPr>
        <w:spacing w:before="80"/>
      </w:pPr>
    </w:p>
    <w:p>
      <w:pPr>
        <w:spacing w:after="100" w:before="80"/>
      </w:pPr>
      <w:r>
        <w:rPr>
          <w:rFonts w:ascii="Arial" w:cs="Arial" w:eastAsia="Arial" w:hAnsi="Arial"/>
          <w:color w:val="555555"/>
          <w:sz w:val="22"/>
          <w:szCs w:val="22"/>
        </w:rPr>
        <w:t xml:space="preserve">The Integrations Hub connects the platform to every tool in the user's tech stack. Integrations enable agents to read data from, write data to, and trigger actions in external systems — turning the platform into the AI brain of the entire organization.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1200"/>
        <w:gridCol w:w="1200"/>
      </w:tblGrid>
      <w:tr>
        <w:trPr>
          <w:tblHeader/>
        </w:trPr>
        <w:tc>
          <w:tcPr>
            <w:tcW w:type="dxa" w:w="24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 Sub-module</w:t>
            </w:r>
          </w:p>
        </w:tc>
        <w:tc>
          <w:tcPr>
            <w:tcW w:type="dxa" w:w="456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Gmail</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Read, search, send, and draft emails; trigger agents on new email receipt; label and archive automatically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Slack</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Send messages to channels or DMs; read message threads; trigger agents on mentions or keywords; post agent reports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WhatsApp</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Business API connection; send/receive messages; WhatsApp-based customer support agents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Notion</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Read/write pages and databases; sync knowledge to Knowledge Hub; create project notes from agent output</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HubSpot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Read/update contacts, deals, and companies; create tasks; log AI-generated call notes and emails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Salesforce</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Full CRUD on Leads, Contacts, Opportunities, Cases; trigger agents on Salesforce record events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Stripe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Read subscription/payment data; trigger alerts on payment failures; automate dunning workflows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Zapier</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Bidirectional Zapier integration — trigger platform agents from 6,000+ Zapier apps; send agent outputs to Zapier</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Custom Webhooks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Generic inbound/outbound webhook support with payload mapping and authentication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REST API</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Public API for developers to build custom integrations; full Swagger/OpenAPI docs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il"/>
              <w:left w:val="nil"/>
              <w:bottom w:val="nil"/>
              <w:right w:val="nil"/>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TASK</w:t>
            </w:r>
          </w:p>
        </w:tc>
        <w:tc>
          <w:tcPr>
            <w:tcW w:type="dxa" w:w="7920"/>
            <w:tcBorders>
              <w:top w:val="nil"/>
              <w:left w:val="nil"/>
              <w:bottom w:val="nil"/>
              <w:right w:val="nil"/>
            </w:tcBorders>
            <w:shd w:fill="2D7DD2" w:val="clear"/>
            <w:tcMar>
              <w:top w:type="dxa" w:w="100"/>
              <w:left w:type="dxa" w:w="160"/>
              <w:bottom w:type="dxa" w:w="100"/>
              <w:right w:type="dxa" w:w="160"/>
            </w:tcMar>
            <w:vAlign w:val="center"/>
          </w:tcPr>
          <w:p>
            <w:r>
              <w:rPr>
                <w:rFonts w:ascii="Arial" w:cs="Arial" w:eastAsia="Arial" w:hAnsi="Arial"/>
                <w:b/>
                <w:bCs/>
                <w:color w:val="FFFFFF"/>
                <w:sz w:val="22"/>
                <w:szCs w:val="22"/>
              </w:rPr>
              <w:t xml:space="preserve">Module 08 — Task Engine</w:t>
            </w:r>
          </w:p>
        </w:tc>
      </w:tr>
    </w:tbl>
    <w:p>
      <w:pPr>
        <w:spacing w:before="80"/>
      </w:pPr>
    </w:p>
    <w:p>
      <w:pPr>
        <w:spacing w:after="100" w:before="80"/>
      </w:pPr>
      <w:r>
        <w:rPr>
          <w:rFonts w:ascii="Arial" w:cs="Arial" w:eastAsia="Arial" w:hAnsi="Arial"/>
          <w:color w:val="555555"/>
          <w:sz w:val="22"/>
          <w:szCs w:val="22"/>
        </w:rPr>
        <w:t xml:space="preserve">The Task Engine is the execution layer that tells agents what to do and when. It supports the full range of task modalities — from one-click manual tasks to fully autonomous, self-initiated agent missions.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1200"/>
        <w:gridCol w:w="1200"/>
      </w:tblGrid>
      <w:tr>
        <w:trPr>
          <w:tblHeader/>
        </w:trPr>
        <w:tc>
          <w:tcPr>
            <w:tcW w:type="dxa" w:w="24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 Sub-module</w:t>
            </w:r>
          </w:p>
        </w:tc>
        <w:tc>
          <w:tcPr>
            <w:tcW w:type="dxa" w:w="456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Manual Tasks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Users explicitly assign a task to an agent from the dashboard; one-time, on-demand execution with immediate feedback</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Scheduled Tasks</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Cron-based scheduling: hourly, daily, weekly, or custom cron expressions; timezone-aware; retry on failure</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Triggered Tasks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Event-driven execution: tasks fire when a webhook arrives, an email is received, a CRM record changes, or a workflow step completes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Autonomous Tasks</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Agent self-initiates tasks based on its goals and environmental observations — no human trigger required</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1A5276"/>
                <w:sz w:val="20"/>
                <w:szCs w:val="20"/>
              </w:rPr>
              <w:t xml:space="preserve">P2</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Approval Workflow</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Tasks requiring human sign-off are paused, and an approval request is sent via email/Slack; supports multi-level approval chains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Task Queue</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Priority queue management; view pending, running, and completed tasks; cancel or retry any task</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Task History</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Full searchable log of every task: input, output, duration, token cost, agent used, status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Parallel Execution</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Run multiple agent tasks concurrently; configure parallelism limits per workspace tier</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il"/>
              <w:left w:val="nil"/>
              <w:bottom w:val="nil"/>
              <w:right w:val="nil"/>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WF</w:t>
            </w:r>
          </w:p>
        </w:tc>
        <w:tc>
          <w:tcPr>
            <w:tcW w:type="dxa" w:w="7920"/>
            <w:tcBorders>
              <w:top w:val="nil"/>
              <w:left w:val="nil"/>
              <w:bottom w:val="nil"/>
              <w:right w:val="nil"/>
            </w:tcBorders>
            <w:shd w:fill="2D7DD2" w:val="clear"/>
            <w:tcMar>
              <w:top w:type="dxa" w:w="100"/>
              <w:left w:type="dxa" w:w="160"/>
              <w:bottom w:type="dxa" w:w="100"/>
              <w:right w:type="dxa" w:w="160"/>
            </w:tcMar>
            <w:vAlign w:val="center"/>
          </w:tcPr>
          <w:p>
            <w:r>
              <w:rPr>
                <w:rFonts w:ascii="Arial" w:cs="Arial" w:eastAsia="Arial" w:hAnsi="Arial"/>
                <w:b/>
                <w:bCs/>
                <w:color w:val="FFFFFF"/>
                <w:sz w:val="22"/>
                <w:szCs w:val="22"/>
              </w:rPr>
              <w:t xml:space="preserve">Module 09 — Workflow Builder</w:t>
            </w:r>
          </w:p>
        </w:tc>
      </w:tr>
    </w:tbl>
    <w:p>
      <w:pPr>
        <w:spacing w:before="80"/>
      </w:pPr>
    </w:p>
    <w:p>
      <w:pPr>
        <w:spacing w:after="100" w:before="80"/>
      </w:pPr>
      <w:r>
        <w:rPr>
          <w:rFonts w:ascii="Arial" w:cs="Arial" w:eastAsia="Arial" w:hAnsi="Arial"/>
          <w:color w:val="555555"/>
          <w:sz w:val="22"/>
          <w:szCs w:val="22"/>
        </w:rPr>
        <w:t xml:space="preserve">The Workflow Builder allows users to design multi-step automation pipelines visually. It is the orchestration layer where agents, tools, triggers, and conditions are wired together into end-to-end business processes.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1200"/>
        <w:gridCol w:w="1200"/>
      </w:tblGrid>
      <w:tr>
        <w:trPr>
          <w:tblHeader/>
        </w:trPr>
        <w:tc>
          <w:tcPr>
            <w:tcW w:type="dxa" w:w="24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 Sub-module</w:t>
            </w:r>
          </w:p>
        </w:tc>
        <w:tc>
          <w:tcPr>
            <w:tcW w:type="dxa" w:w="456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Drag &amp; Drop Builder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Visual canvas with nodes for agents, actions, conditions, loops, API calls, and wait steps; connect nodes with edges to build flows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Automation Engine</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Executes workflows with full state management; handles branching logic (if/else, switch), loops, error paths, and retries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Agent Collaboration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Multiple agents can be nodes in a single workflow; agent outputs become inputs to the next agent in the chain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Condition / Filter Nodes</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Data-conditional branching: route workflow paths based on agent output, field values, or external API responses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Human-in-the-Loop Nodes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Pause workflow and prompt a human for input or approval before continuing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Workflow Templates</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Pre-built workflow templates for common use cases (lead nurture, support ticket triage, content pipeline, invoice processing)</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Workflow Versioning</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Track changes to workflow definitions; roll back to any previous version; changelog with diff view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1A5276"/>
                <w:sz w:val="20"/>
                <w:szCs w:val="20"/>
              </w:rPr>
              <w:t xml:space="preserve">P2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Execution Logs</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Step-by-step execution trace for every workflow run; inputs/outputs at each node; timing and error details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il"/>
              <w:left w:val="nil"/>
              <w:bottom w:val="nil"/>
              <w:right w:val="nil"/>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MAS</w:t>
            </w:r>
          </w:p>
        </w:tc>
        <w:tc>
          <w:tcPr>
            <w:tcW w:type="dxa" w:w="7920"/>
            <w:tcBorders>
              <w:top w:val="nil"/>
              <w:left w:val="nil"/>
              <w:bottom w:val="nil"/>
              <w:right w:val="nil"/>
            </w:tcBorders>
            <w:shd w:fill="2D7DD2" w:val="clear"/>
            <w:tcMar>
              <w:top w:type="dxa" w:w="100"/>
              <w:left w:type="dxa" w:w="160"/>
              <w:bottom w:type="dxa" w:w="100"/>
              <w:right w:type="dxa" w:w="160"/>
            </w:tcMar>
            <w:vAlign w:val="center"/>
          </w:tcPr>
          <w:p>
            <w:r>
              <w:rPr>
                <w:rFonts w:ascii="Arial" w:cs="Arial" w:eastAsia="Arial" w:hAnsi="Arial"/>
                <w:b/>
                <w:bCs/>
                <w:color w:val="FFFFFF"/>
                <w:sz w:val="22"/>
                <w:szCs w:val="22"/>
              </w:rPr>
              <w:t xml:space="preserve">Module 10 — Multi-Agent System</w:t>
            </w:r>
          </w:p>
        </w:tc>
      </w:tr>
    </w:tbl>
    <w:p>
      <w:pPr>
        <w:spacing w:before="80"/>
      </w:pPr>
    </w:p>
    <w:p>
      <w:pPr>
        <w:spacing w:after="100" w:before="80"/>
      </w:pPr>
      <w:r>
        <w:rPr>
          <w:rFonts w:ascii="Arial" w:cs="Arial" w:eastAsia="Arial" w:hAnsi="Arial"/>
          <w:color w:val="555555"/>
          <w:sz w:val="22"/>
          <w:szCs w:val="22"/>
        </w:rPr>
        <w:t xml:space="preserve">The Multi-Agent System enables hierarchical agent collaboration — where a CEO Agent delegates to specialized sub-agents, each handling their domain expertise. This mirrors real organizational structures and enables the platform to tackle complex, multi-department workflows end-to-end.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1200"/>
        <w:gridCol w:w="1200"/>
      </w:tblGrid>
      <w:tr>
        <w:trPr>
          <w:tblHeader/>
        </w:trPr>
        <w:tc>
          <w:tcPr>
            <w:tcW w:type="dxa" w:w="24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 Sub-module</w:t>
            </w:r>
          </w:p>
        </w:tc>
        <w:tc>
          <w:tcPr>
            <w:tcW w:type="dxa" w:w="456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CEO Agent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Top-level orchestrator; receives high-level goals; decomposes into sub-tasks; delegates to specialized agents; monitors progress and synthesizes final output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Product Manager Agent</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Translates business goals into product requirements; creates user stories; prioritizes backlog; communicates with Dev and QA agents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Developer Agent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Writes, reviews, and debugs code; creates PRs; responds to QA findings; interacts with GitHub/GitLab</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1A5276"/>
                <w:sz w:val="20"/>
                <w:szCs w:val="20"/>
              </w:rPr>
              <w:t xml:space="preserve">P2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QA Agent</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Reviews code and outputs for quality; runs test suites; logs bugs; validates against acceptance criteria</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1A5276"/>
                <w:sz w:val="20"/>
                <w:szCs w:val="20"/>
              </w:rPr>
              <w:t xml:space="preserve">P2</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Marketing Agent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Creates content briefs, social copy, email campaigns, and ad creatives; analyzes campaign performance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Sales Agent</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Qualifies leads, drafts outreach sequences, updates CRM, schedules follow-ups, identifies upsell opportunities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Support Agent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Handles tier-1 customer inquiries autonomously; escalates complex issues; logs tickets; summarizes conversations for human agents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Custom Agent Roles</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Users can define any agent role with a custom prompt, tool set, and delegation authority</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Agent Communication Protocol</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Structured message-passing between agents with context preservation; agents can request clarification from parent agents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1A5276"/>
                <w:sz w:val="20"/>
                <w:szCs w:val="20"/>
              </w:rPr>
              <w:t xml:space="preserve">P2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il"/>
              <w:left w:val="nil"/>
              <w:bottom w:val="nil"/>
              <w:right w:val="nil"/>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MKT</w:t>
            </w:r>
          </w:p>
        </w:tc>
        <w:tc>
          <w:tcPr>
            <w:tcW w:type="dxa" w:w="7920"/>
            <w:tcBorders>
              <w:top w:val="nil"/>
              <w:left w:val="nil"/>
              <w:bottom w:val="nil"/>
              <w:right w:val="nil"/>
            </w:tcBorders>
            <w:shd w:fill="2D7DD2" w:val="clear"/>
            <w:tcMar>
              <w:top w:type="dxa" w:w="100"/>
              <w:left w:type="dxa" w:w="160"/>
              <w:bottom w:type="dxa" w:w="100"/>
              <w:right w:type="dxa" w:w="160"/>
            </w:tcMar>
            <w:vAlign w:val="center"/>
          </w:tcPr>
          <w:p>
            <w:r>
              <w:rPr>
                <w:rFonts w:ascii="Arial" w:cs="Arial" w:eastAsia="Arial" w:hAnsi="Arial"/>
                <w:b/>
                <w:bCs/>
                <w:color w:val="FFFFFF"/>
                <w:sz w:val="22"/>
                <w:szCs w:val="22"/>
              </w:rPr>
              <w:t xml:space="preserve">Module 11 — Marketplace</w:t>
            </w:r>
          </w:p>
        </w:tc>
      </w:tr>
    </w:tbl>
    <w:p>
      <w:pPr>
        <w:spacing w:before="80"/>
      </w:pPr>
    </w:p>
    <w:p>
      <w:pPr>
        <w:spacing w:after="100" w:before="80"/>
      </w:pPr>
      <w:r>
        <w:rPr>
          <w:rFonts w:ascii="Arial" w:cs="Arial" w:eastAsia="Arial" w:hAnsi="Arial"/>
          <w:color w:val="555555"/>
          <w:sz w:val="22"/>
          <w:szCs w:val="22"/>
        </w:rPr>
        <w:t xml:space="preserve">The Marketplace is a community and commercial ecosystem where users can discover, publish, and monetize AI assets. It accelerates time-to-value for new users and creates a flywheel of community-contributed content.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1200"/>
        <w:gridCol w:w="1200"/>
      </w:tblGrid>
      <w:tr>
        <w:trPr>
          <w:tblHeader/>
        </w:trPr>
        <w:tc>
          <w:tcPr>
            <w:tcW w:type="dxa" w:w="24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 Sub-module</w:t>
            </w:r>
          </w:p>
        </w:tc>
        <w:tc>
          <w:tcPr>
            <w:tcW w:type="dxa" w:w="456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Agent Store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Browse and install pre-built agents (e.g. 'Lead Qualifier', 'Invoice Processor', 'Blog Writer'); one-click deploy to workspace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Workflow Store</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Discover and import complete workflow templates for common business processes; customize after import</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Knowledge Packs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Pre-packaged knowledge bases for specific domains (e.g. 'GDPR Compliance', 'E-commerce FAQs', 'IT Help Desk')</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1A5276"/>
                <w:sz w:val="20"/>
                <w:szCs w:val="20"/>
              </w:rPr>
              <w:t xml:space="preserve">P2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Prompt Packs</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Curated collections of high-quality system prompts, personas, and goal templates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1A5276"/>
                <w:sz w:val="20"/>
                <w:szCs w:val="20"/>
              </w:rPr>
              <w:t xml:space="preserve">P2</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Tool Connectors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Community-built tool integrations and custom function-call schemas; reviewed before listing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1A5276"/>
                <w:sz w:val="20"/>
                <w:szCs w:val="20"/>
              </w:rPr>
              <w:t xml:space="preserve">P2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Templates</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Full workspace templates: preconfigured agents + workflows + knowledge bases for entire use-case verticals (SaaS, e-commerce, law firm, etc.)</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1A5276"/>
                <w:sz w:val="20"/>
                <w:szCs w:val="20"/>
              </w:rPr>
              <w:t xml:space="preserve">P2</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Publisher Program</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Any workspace can publish assets; publishers earn platform credits or revenue share on paid items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1A5276"/>
                <w:sz w:val="20"/>
                <w:szCs w:val="20"/>
              </w:rPr>
              <w:t xml:space="preserve">P2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Ratings &amp; Reviews</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Star ratings, written reviews, and usage counts on all marketplace items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1A5276"/>
                <w:sz w:val="20"/>
                <w:szCs w:val="20"/>
              </w:rPr>
              <w:t xml:space="preserve">P2</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il"/>
              <w:left w:val="nil"/>
              <w:bottom w:val="nil"/>
              <w:right w:val="nil"/>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VOICE</w:t>
            </w:r>
          </w:p>
        </w:tc>
        <w:tc>
          <w:tcPr>
            <w:tcW w:type="dxa" w:w="7920"/>
            <w:tcBorders>
              <w:top w:val="nil"/>
              <w:left w:val="nil"/>
              <w:bottom w:val="nil"/>
              <w:right w:val="nil"/>
            </w:tcBorders>
            <w:shd w:fill="2D7DD2" w:val="clear"/>
            <w:tcMar>
              <w:top w:type="dxa" w:w="100"/>
              <w:left w:type="dxa" w:w="160"/>
              <w:bottom w:type="dxa" w:w="100"/>
              <w:right w:type="dxa" w:w="160"/>
            </w:tcMar>
            <w:vAlign w:val="center"/>
          </w:tcPr>
          <w:p>
            <w:r>
              <w:rPr>
                <w:rFonts w:ascii="Arial" w:cs="Arial" w:eastAsia="Arial" w:hAnsi="Arial"/>
                <w:b/>
                <w:bCs/>
                <w:color w:val="FFFFFF"/>
                <w:sz w:val="22"/>
                <w:szCs w:val="22"/>
              </w:rPr>
              <w:t xml:space="preserve">Module 12 — Voice AI</w:t>
            </w:r>
          </w:p>
        </w:tc>
      </w:tr>
    </w:tbl>
    <w:p>
      <w:pPr>
        <w:spacing w:before="80"/>
      </w:pPr>
    </w:p>
    <w:p>
      <w:pPr>
        <w:spacing w:after="100" w:before="80"/>
      </w:pPr>
      <w:r>
        <w:rPr>
          <w:rFonts w:ascii="Arial" w:cs="Arial" w:eastAsia="Arial" w:hAnsi="Arial"/>
          <w:color w:val="555555"/>
          <w:sz w:val="22"/>
          <w:szCs w:val="22"/>
        </w:rPr>
        <w:t xml:space="preserve">The Voice AI layer adds speech-based interaction to the platform — both for users controlling the platform and for agents interacting with customers over the phone or via voice interfaces. This enables 24/7 AI-powered voice assistants and phone agents.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1200"/>
        <w:gridCol w:w="1200"/>
      </w:tblGrid>
      <w:tr>
        <w:trPr>
          <w:tblHeader/>
        </w:trPr>
        <w:tc>
          <w:tcPr>
            <w:tcW w:type="dxa" w:w="24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 Sub-module</w:t>
            </w:r>
          </w:p>
        </w:tc>
        <w:tc>
          <w:tcPr>
            <w:tcW w:type="dxa" w:w="456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Voice Chat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Users can speak to any agent using their microphone; sub-300ms STT → LLM → TTS pipeline with natural prosody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Voice Commands</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Platform-level voice commands: 'Create a new agent', 'Show me today's tasks', 'Run the lead qualifier workflow'</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1A5276"/>
                <w:sz w:val="20"/>
                <w:szCs w:val="20"/>
              </w:rPr>
              <w:t xml:space="preserve">P2</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Voice Agents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Agents that communicate with end users via voice; ideal for internal helpdesks and customer service automation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Phone Agents</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AI phone agents via Twilio / Vonage integration; inbound and outbound call handling; call recording and transcription</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Voice Cloning</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Custom branded voice for phone agents; upload voice sample to train a synthetic voice (with legal consent flows)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1A5276"/>
                <w:sz w:val="20"/>
                <w:szCs w:val="20"/>
              </w:rPr>
              <w:t xml:space="preserve">P2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Multilingual Support</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Voice AI in 30+ languages; auto-detect caller language; switch language mid-call</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1A5276"/>
                <w:sz w:val="20"/>
                <w:szCs w:val="20"/>
              </w:rPr>
              <w:t xml:space="preserve">P2</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Call Analytics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Call duration, sentiment analysis, resolution rate, escalation rate; per-agent voice performance dashboard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1A5276"/>
                <w:sz w:val="20"/>
                <w:szCs w:val="20"/>
              </w:rPr>
              <w:t xml:space="preserve">P2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il"/>
              <w:left w:val="nil"/>
              <w:bottom w:val="nil"/>
              <w:right w:val="nil"/>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ANL</w:t>
            </w:r>
          </w:p>
        </w:tc>
        <w:tc>
          <w:tcPr>
            <w:tcW w:type="dxa" w:w="7920"/>
            <w:tcBorders>
              <w:top w:val="nil"/>
              <w:left w:val="nil"/>
              <w:bottom w:val="nil"/>
              <w:right w:val="nil"/>
            </w:tcBorders>
            <w:shd w:fill="2D7DD2" w:val="clear"/>
            <w:tcMar>
              <w:top w:type="dxa" w:w="100"/>
              <w:left w:type="dxa" w:w="160"/>
              <w:bottom w:type="dxa" w:w="100"/>
              <w:right w:type="dxa" w:w="160"/>
            </w:tcMar>
            <w:vAlign w:val="center"/>
          </w:tcPr>
          <w:p>
            <w:r>
              <w:rPr>
                <w:rFonts w:ascii="Arial" w:cs="Arial" w:eastAsia="Arial" w:hAnsi="Arial"/>
                <w:b/>
                <w:bCs/>
                <w:color w:val="FFFFFF"/>
                <w:sz w:val="22"/>
                <w:szCs w:val="22"/>
              </w:rPr>
              <w:t xml:space="preserve">Module 13 — Analytics</w:t>
            </w:r>
          </w:p>
        </w:tc>
      </w:tr>
    </w:tbl>
    <w:p>
      <w:pPr>
        <w:spacing w:before="80"/>
      </w:pPr>
    </w:p>
    <w:p>
      <w:pPr>
        <w:spacing w:after="100" w:before="80"/>
      </w:pPr>
      <w:r>
        <w:rPr>
          <w:rFonts w:ascii="Arial" w:cs="Arial" w:eastAsia="Arial" w:hAnsi="Arial"/>
          <w:color w:val="555555"/>
          <w:sz w:val="22"/>
          <w:szCs w:val="22"/>
        </w:rPr>
        <w:t xml:space="preserve">The Analytics module transforms platform activity into business intelligence. It answers the most important question for any AI investment: is this actually saving time and money? The ROI-first design makes it easy to justify the platform to stakeholders.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1200"/>
        <w:gridCol w:w="1200"/>
      </w:tblGrid>
      <w:tr>
        <w:trPr>
          <w:tblHeader/>
        </w:trPr>
        <w:tc>
          <w:tcPr>
            <w:tcW w:type="dxa" w:w="24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 Sub-module</w:t>
            </w:r>
          </w:p>
        </w:tc>
        <w:tc>
          <w:tcPr>
            <w:tcW w:type="dxa" w:w="456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ROI Dashboard</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Headline view: estimated hours saved, cost saved (vs human labor), tasks automated — with configurable labor cost inputs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Tasks Completed</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Volume of tasks completed over time; filter by agent, workflow, team, or task type; daily/weekly/monthly trends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Agent Performance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Per-agent metrics: task success rate, avg completion time, human escalation rate, user satisfaction score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Cost Savings</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Model the $ value of automated tasks; compare AI cost (token spend) vs estimated human cost of same work</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Token Usage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Track LLM token consumption by agent, workflow, user, and team; cost attribution; anomaly alerts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Success Rate</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 of tasks completed without error or human intervention; trend over time; breakdown by agent and task type</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Error Tracking</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Log and categorize all agent errors; root cause categories (tool failure, LLM hallucination, permission denied, timeout)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Custom Reports</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Build and schedule custom reports; export as PDF or CSV; share report links with stakeholders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1A5276"/>
                <w:sz w:val="20"/>
                <w:szCs w:val="20"/>
              </w:rPr>
              <w:t xml:space="preserve">P2</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Alerts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Threshold-based alerts: 'Error rate &gt; 5%', 'Token spend &gt; $X/day', 'Task backlog &gt; N' — sent via email or Slack</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il"/>
              <w:left w:val="nil"/>
              <w:bottom w:val="nil"/>
              <w:right w:val="nil"/>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SEC</w:t>
            </w:r>
          </w:p>
        </w:tc>
        <w:tc>
          <w:tcPr>
            <w:tcW w:type="dxa" w:w="7920"/>
            <w:tcBorders>
              <w:top w:val="nil"/>
              <w:left w:val="nil"/>
              <w:bottom w:val="nil"/>
              <w:right w:val="nil"/>
            </w:tcBorders>
            <w:shd w:fill="2D7DD2" w:val="clear"/>
            <w:tcMar>
              <w:top w:type="dxa" w:w="100"/>
              <w:left w:type="dxa" w:w="160"/>
              <w:bottom w:type="dxa" w:w="100"/>
              <w:right w:type="dxa" w:w="160"/>
            </w:tcMar>
            <w:vAlign w:val="center"/>
          </w:tcPr>
          <w:p>
            <w:r>
              <w:rPr>
                <w:rFonts w:ascii="Arial" w:cs="Arial" w:eastAsia="Arial" w:hAnsi="Arial"/>
                <w:b/>
                <w:bCs/>
                <w:color w:val="FFFFFF"/>
                <w:sz w:val="22"/>
                <w:szCs w:val="22"/>
              </w:rPr>
              <w:t xml:space="preserve">Module 14 — Security</w:t>
            </w:r>
          </w:p>
        </w:tc>
      </w:tr>
    </w:tbl>
    <w:p>
      <w:pPr>
        <w:spacing w:before="80"/>
      </w:pPr>
    </w:p>
    <w:p>
      <w:pPr>
        <w:spacing w:after="100" w:before="80"/>
      </w:pPr>
      <w:r>
        <w:rPr>
          <w:rFonts w:ascii="Arial" w:cs="Arial" w:eastAsia="Arial" w:hAnsi="Arial"/>
          <w:color w:val="555555"/>
          <w:sz w:val="22"/>
          <w:szCs w:val="22"/>
        </w:rPr>
        <w:t xml:space="preserve">Security is not a module but a foundation — embedded in every layer of the platform. The Security section documents the controls, certifications, and governance features that enterprise customers require before deploying AI in production.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1200"/>
        <w:gridCol w:w="1200"/>
      </w:tblGrid>
      <w:tr>
        <w:trPr>
          <w:tblHeader/>
        </w:trPr>
        <w:tc>
          <w:tcPr>
            <w:tcW w:type="dxa" w:w="24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 Sub-module</w:t>
            </w:r>
          </w:p>
        </w:tc>
        <w:tc>
          <w:tcPr>
            <w:tcW w:type="dxa" w:w="456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Access Control</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Role-Based Access Control (RBAC) at workspace, team, agent, and data levels; principle of least privilege by default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Encryption</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AES-256 encryption at rest for all data; TLS 1.3 in transit; end-to-end encryption for sensitive agent outputs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SSO / SAML 2.0</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Enterprise SSO via Okta, Azure AD, OneLogin, or any SAML 2.0 / OIDC provider; JIT user provisioning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Compliance</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SOC 2 Type II, GDPR, CCPA, HIPAA-ready architecture; data residency options (US, EU, APAC); DPA available</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Audit Logs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Tamper-evident audit log of all system events; exportable to SIEM (Splunk, Datadog); 1-year retention (Enterprise: 7 years)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Data Loss Prevention</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Configurable rules to prevent agents from outputting sensitive data (PII, credit card numbers, SSNs) in unsecured channels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1A5276"/>
                <w:sz w:val="20"/>
                <w:szCs w:val="20"/>
              </w:rPr>
              <w:t xml:space="preserve">P2</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Vulnerability Management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Quarterly penetration testing; bug bounty program; CVE monitoring and patching SLA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Agent Sandboxing</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Each agent execution runs in an isolated container; cannot access filesystem, network, or other agents outside defined permissions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Planned</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il"/>
              <w:left w:val="nil"/>
              <w:bottom w:val="nil"/>
              <w:right w:val="nil"/>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BILL</w:t>
            </w:r>
          </w:p>
        </w:tc>
        <w:tc>
          <w:tcPr>
            <w:tcW w:type="dxa" w:w="7920"/>
            <w:tcBorders>
              <w:top w:val="nil"/>
              <w:left w:val="nil"/>
              <w:bottom w:val="nil"/>
              <w:right w:val="nil"/>
            </w:tcBorders>
            <w:shd w:fill="2D7DD2" w:val="clear"/>
            <w:tcMar>
              <w:top w:type="dxa" w:w="100"/>
              <w:left w:type="dxa" w:w="160"/>
              <w:bottom w:type="dxa" w:w="100"/>
              <w:right w:type="dxa" w:w="160"/>
            </w:tcMar>
            <w:vAlign w:val="center"/>
          </w:tcPr>
          <w:p>
            <w:r>
              <w:rPr>
                <w:rFonts w:ascii="Arial" w:cs="Arial" w:eastAsia="Arial" w:hAnsi="Arial"/>
                <w:b/>
                <w:bCs/>
                <w:color w:val="FFFFFF"/>
                <w:sz w:val="22"/>
                <w:szCs w:val="22"/>
              </w:rPr>
              <w:t xml:space="preserve">Module 15 — Billing</w:t>
            </w:r>
          </w:p>
        </w:tc>
      </w:tr>
    </w:tbl>
    <w:p>
      <w:pPr>
        <w:spacing w:before="80"/>
      </w:pPr>
    </w:p>
    <w:p>
      <w:pPr>
        <w:spacing w:after="100" w:before="80"/>
      </w:pPr>
      <w:r>
        <w:rPr>
          <w:rFonts w:ascii="Arial" w:cs="Arial" w:eastAsia="Arial" w:hAnsi="Arial"/>
          <w:color w:val="555555"/>
          <w:sz w:val="22"/>
          <w:szCs w:val="22"/>
        </w:rPr>
        <w:t xml:space="preserve">The Billing module provides a four-tier subscription model designed to serve the full market — from individual users to enterprise organizations — with usage-based components for token consumption to align costs with value delivered.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rPr>
          <w:tblHeader/>
        </w:trPr>
        <w:tc>
          <w:tcPr>
            <w:tcW w:type="dxa" w:w="15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950"/>
            <w:tcBorders>
              <w:top w:val="single" w:color="CCCCCC" w:sz="4"/>
              <w:left w:val="single" w:color="CCCCCC" w:sz="4"/>
              <w:bottom w:val="single" w:color="CCCCCC" w:sz="4"/>
              <w:right w:val="single" w:color="CCCCCC" w:sz="4"/>
            </w:tcBorders>
            <w:shd w:fill="7F8C8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Free</w:t>
            </w:r>
          </w:p>
          <w:p>
            <w:pPr>
              <w:jc w:val="center"/>
            </w:pPr>
            <w:r>
              <w:rPr>
                <w:rFonts w:ascii="Arial" w:cs="Arial" w:eastAsia="Arial" w:hAnsi="Arial"/>
                <w:color w:val="FFFFFF"/>
                <w:sz w:val="20"/>
                <w:szCs w:val="20"/>
              </w:rPr>
              <w:t xml:space="preserve">$0 / mo</w:t>
            </w:r>
          </w:p>
        </w:tc>
        <w:tc>
          <w:tcPr>
            <w:tcW w:type="dxa" w:w="1950"/>
            <w:tcBorders>
              <w:top w:val="single" w:color="CCCCCC" w:sz="4"/>
              <w:left w:val="single" w:color="CCCCCC" w:sz="4"/>
              <w:bottom w:val="single" w:color="CCCCCC" w:sz="4"/>
              <w:right w:val="single" w:color="CCCCCC" w:sz="4"/>
            </w:tcBorders>
            <w:shd w:fill="2980B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$29 / mo</w:t>
            </w:r>
          </w:p>
        </w:tc>
        <w:tc>
          <w:tcPr>
            <w:tcW w:type="dxa" w:w="1950"/>
            <w:tcBorders>
              <w:top w:val="single" w:color="CCCCCC" w:sz="4"/>
              <w:left w:val="single" w:color="CCCCCC" w:sz="4"/>
              <w:bottom w:val="single" w:color="CCCCCC" w:sz="4"/>
              <w:right w:val="single" w:color="CCCCCC" w:sz="4"/>
            </w:tcBorders>
            <w:shd w:fill="1ABC9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w:t>
            </w:r>
          </w:p>
          <w:p>
            <w:pPr>
              <w:jc w:val="center"/>
            </w:pPr>
            <w:r>
              <w:rPr>
                <w:rFonts w:ascii="Arial" w:cs="Arial" w:eastAsia="Arial" w:hAnsi="Arial"/>
                <w:color w:val="FFFFFF"/>
                <w:sz w:val="20"/>
                <w:szCs w:val="20"/>
              </w:rPr>
              <w:t xml:space="preserve">$99 / mo</w:t>
            </w:r>
          </w:p>
        </w:tc>
        <w:tc>
          <w:tcPr>
            <w:tcW w:type="dxa" w:w="1950"/>
            <w:tcBorders>
              <w:top w:val="single" w:color="CCCCCC" w:sz="4"/>
              <w:left w:val="single" w:color="CCCCCC" w:sz="4"/>
              <w:bottom w:val="single" w:color="CCCCCC" w:sz="4"/>
              <w:right w:val="single" w:color="CCCCCC" w:sz="4"/>
            </w:tcBorders>
            <w:shd w:fill="8E44A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Enterprise</w:t>
            </w:r>
          </w:p>
          <w:p>
            <w:pPr>
              <w:jc w:val="center"/>
            </w:pPr>
            <w:r>
              <w:rPr>
                <w:rFonts w:ascii="Arial" w:cs="Arial" w:eastAsia="Arial" w:hAnsi="Arial"/>
                <w:color w:val="FFFFFF"/>
                <w:sz w:val="20"/>
                <w:szCs w:val="20"/>
              </w:rPr>
              <w:t xml:space="preserve">Custom</w:t>
            </w:r>
          </w:p>
        </w:tc>
      </w:tr>
      <w:tr>
        <w:tc>
          <w:tcPr>
            <w:tcW w:type="dxa" w:w="1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Seats</w:t>
            </w:r>
          </w:p>
        </w:tc>
        <w:tc>
          <w:tcPr>
            <w:tcW w:type="dxa" w:w="1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1 user</w:t>
            </w:r>
          </w:p>
        </w:tc>
        <w:tc>
          <w:tcPr>
            <w:tcW w:type="dxa" w:w="1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5 users</w:t>
            </w:r>
          </w:p>
        </w:tc>
        <w:tc>
          <w:tcPr>
            <w:tcW w:type="dxa" w:w="1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25 users</w:t>
            </w:r>
          </w:p>
        </w:tc>
        <w:tc>
          <w:tcPr>
            <w:tcW w:type="dxa" w:w="1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Unlimited</w:t>
            </w:r>
          </w:p>
        </w:tc>
      </w:tr>
      <w:tr>
        <w:tc>
          <w:tcPr>
            <w:tcW w:type="dxa" w:w="1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Agents</w:t>
            </w:r>
          </w:p>
        </w:tc>
        <w:tc>
          <w:tcPr>
            <w:tcW w:type="dxa" w:w="1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2 agents</w:t>
            </w:r>
          </w:p>
        </w:tc>
        <w:tc>
          <w:tcPr>
            <w:tcW w:type="dxa" w:w="1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10 agents</w:t>
            </w:r>
          </w:p>
        </w:tc>
        <w:tc>
          <w:tcPr>
            <w:tcW w:type="dxa" w:w="1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50 agents</w:t>
            </w:r>
          </w:p>
        </w:tc>
        <w:tc>
          <w:tcPr>
            <w:tcW w:type="dxa" w:w="1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Unlimited</w:t>
            </w:r>
          </w:p>
        </w:tc>
      </w:tr>
      <w:tr>
        <w:tc>
          <w:tcPr>
            <w:tcW w:type="dxa" w:w="1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Tasks / Month</w:t>
            </w:r>
          </w:p>
        </w:tc>
        <w:tc>
          <w:tcPr>
            <w:tcW w:type="dxa" w:w="1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100 tasks/mo</w:t>
            </w:r>
          </w:p>
        </w:tc>
        <w:tc>
          <w:tcPr>
            <w:tcW w:type="dxa" w:w="1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5,000 tasks/mo</w:t>
            </w:r>
          </w:p>
        </w:tc>
        <w:tc>
          <w:tcPr>
            <w:tcW w:type="dxa" w:w="1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Unlimited</w:t>
            </w:r>
          </w:p>
        </w:tc>
        <w:tc>
          <w:tcPr>
            <w:tcW w:type="dxa" w:w="1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Unlimited</w:t>
            </w:r>
          </w:p>
        </w:tc>
      </w:tr>
      <w:tr>
        <w:tc>
          <w:tcPr>
            <w:tcW w:type="dxa" w:w="1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Storage</w:t>
            </w:r>
          </w:p>
        </w:tc>
        <w:tc>
          <w:tcPr>
            <w:tcW w:type="dxa" w:w="1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500 MB</w:t>
            </w:r>
          </w:p>
        </w:tc>
        <w:tc>
          <w:tcPr>
            <w:tcW w:type="dxa" w:w="1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5 GB</w:t>
            </w:r>
          </w:p>
        </w:tc>
        <w:tc>
          <w:tcPr>
            <w:tcW w:type="dxa" w:w="1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50 GB</w:t>
            </w:r>
          </w:p>
        </w:tc>
        <w:tc>
          <w:tcPr>
            <w:tcW w:type="dxa" w:w="1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Custom</w:t>
            </w:r>
          </w:p>
        </w:tc>
      </w:tr>
      <w:tr>
        <w:tc>
          <w:tcPr>
            <w:tcW w:type="dxa" w:w="1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Support</w:t>
            </w:r>
          </w:p>
        </w:tc>
        <w:tc>
          <w:tcPr>
            <w:tcW w:type="dxa" w:w="1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Community</w:t>
            </w:r>
          </w:p>
        </w:tc>
        <w:tc>
          <w:tcPr>
            <w:tcW w:type="dxa" w:w="1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Email</w:t>
            </w:r>
          </w:p>
        </w:tc>
        <w:tc>
          <w:tcPr>
            <w:tcW w:type="dxa" w:w="1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Priority</w:t>
            </w:r>
          </w:p>
        </w:tc>
        <w:tc>
          <w:tcPr>
            <w:tcW w:type="dxa" w:w="1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Dedicated CSM</w:t>
            </w:r>
          </w:p>
        </w:tc>
      </w:tr>
    </w:tbl>
    <w:p>
      <w:pPr>
        <w:spacing w:before="120"/>
      </w:pPr>
    </w:p>
    <w:p>
      <w:pPr>
        <w:pStyle w:val="Heading3"/>
        <w:spacing w:after="120" w:before="240"/>
      </w:pPr>
      <w:r>
        <w:rPr>
          <w:rFonts w:ascii="Arial" w:cs="Arial" w:eastAsia="Arial" w:hAnsi="Arial"/>
          <w:b/>
          <w:bCs/>
          <w:color w:val="1E3A5F"/>
          <w:sz w:val="24"/>
          <w:szCs w:val="24"/>
        </w:rPr>
        <w:t xml:space="preserve">5.15.1 Additional Billing Details</w:t>
      </w:r>
    </w:p>
    <w:p>
      <w:pPr>
        <w:pStyle w:val="ListParagraph"/>
        <w:numPr>
          <w:ilvl w:val="0"/>
          <w:numId w:val="2"/>
        </w:numPr>
        <w:spacing w:after="60" w:before="60"/>
      </w:pPr>
      <w:r>
        <w:rPr>
          <w:rFonts w:ascii="Arial" w:cs="Arial" w:eastAsia="Arial" w:hAnsi="Arial"/>
          <w:color w:val="555555"/>
          <w:sz w:val="22"/>
          <w:szCs w:val="22"/>
        </w:rPr>
        <w:t xml:space="preserve">All paid plans include a 14-day free trial with no credit card required.</w:t>
      </w:r>
    </w:p>
    <w:p>
      <w:pPr>
        <w:pStyle w:val="ListParagraph"/>
        <w:numPr>
          <w:ilvl w:val="0"/>
          <w:numId w:val="2"/>
        </w:numPr>
        <w:spacing w:after="60" w:before="60"/>
      </w:pPr>
      <w:r>
        <w:rPr>
          <w:rFonts w:ascii="Arial" w:cs="Arial" w:eastAsia="Arial" w:hAnsi="Arial"/>
          <w:color w:val="555555"/>
          <w:sz w:val="22"/>
          <w:szCs w:val="22"/>
        </w:rPr>
        <w:t xml:space="preserve">Token usage above plan limits is billed at $0.002 per 1,000 tokens (output) / $0.001 per 1,000 tokens (input).</w:t>
      </w:r>
    </w:p>
    <w:p>
      <w:pPr>
        <w:pStyle w:val="ListParagraph"/>
        <w:numPr>
          <w:ilvl w:val="0"/>
          <w:numId w:val="2"/>
        </w:numPr>
        <w:spacing w:after="60" w:before="60"/>
      </w:pPr>
      <w:r>
        <w:rPr>
          <w:rFonts w:ascii="Arial" w:cs="Arial" w:eastAsia="Arial" w:hAnsi="Arial"/>
          <w:color w:val="555555"/>
          <w:sz w:val="22"/>
          <w:szCs w:val="22"/>
        </w:rPr>
        <w:t xml:space="preserve">Annual billing provides a 20% discount across all paid tiers.</w:t>
      </w:r>
    </w:p>
    <w:p>
      <w:pPr>
        <w:pStyle w:val="ListParagraph"/>
        <w:numPr>
          <w:ilvl w:val="0"/>
          <w:numId w:val="2"/>
        </w:numPr>
        <w:spacing w:after="60" w:before="60"/>
      </w:pPr>
      <w:r>
        <w:rPr>
          <w:rFonts w:ascii="Arial" w:cs="Arial" w:eastAsia="Arial" w:hAnsi="Arial"/>
          <w:color w:val="555555"/>
          <w:sz w:val="22"/>
          <w:szCs w:val="22"/>
        </w:rPr>
        <w:t xml:space="preserve">Enterprise plans include custom SLAs, dedicated infrastructure, and volume discounts.</w:t>
      </w:r>
    </w:p>
    <w:p>
      <w:pPr>
        <w:pStyle w:val="ListParagraph"/>
        <w:numPr>
          <w:ilvl w:val="0"/>
          <w:numId w:val="2"/>
        </w:numPr>
        <w:spacing w:after="60" w:before="60"/>
      </w:pPr>
      <w:r>
        <w:rPr>
          <w:rFonts w:ascii="Arial" w:cs="Arial" w:eastAsia="Arial" w:hAnsi="Arial"/>
          <w:color w:val="555555"/>
          <w:sz w:val="22"/>
          <w:szCs w:val="22"/>
        </w:rPr>
        <w:t xml:space="preserve">Usage-based credits can be purchased in top-up packs ($10 / $50 / $200).</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il"/>
              <w:left w:val="nil"/>
              <w:bottom w:val="nil"/>
              <w:right w:val="nil"/>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AE</w:t>
            </w:r>
          </w:p>
        </w:tc>
        <w:tc>
          <w:tcPr>
            <w:tcW w:type="dxa" w:w="7920"/>
            <w:tcBorders>
              <w:top w:val="nil"/>
              <w:left w:val="nil"/>
              <w:bottom w:val="nil"/>
              <w:right w:val="nil"/>
            </w:tcBorders>
            <w:shd w:fill="2D7DD2" w:val="clear"/>
            <w:tcMar>
              <w:top w:type="dxa" w:w="100"/>
              <w:left w:type="dxa" w:w="160"/>
              <w:bottom w:type="dxa" w:w="100"/>
              <w:right w:type="dxa" w:w="160"/>
            </w:tcMar>
            <w:vAlign w:val="center"/>
          </w:tcPr>
          <w:p>
            <w:r>
              <w:rPr>
                <w:rFonts w:ascii="Arial" w:cs="Arial" w:eastAsia="Arial" w:hAnsi="Arial"/>
                <w:b/>
                <w:bCs/>
                <w:color w:val="FFFFFF"/>
                <w:sz w:val="22"/>
                <w:szCs w:val="22"/>
              </w:rPr>
              <w:t xml:space="preserve">Module 16 — Autonomous Enterprise (Future Vision)</w:t>
            </w:r>
          </w:p>
        </w:tc>
      </w:tr>
    </w:tbl>
    <w:p>
      <w:pPr>
        <w:spacing w:before="80"/>
      </w:pPr>
    </w:p>
    <w:tbl>
      <w:tblPr>
        <w:tblW w:type="dxa" w:w="9360"/>
        <w:tblBorders>
          <w:top w:val="single" w:color="2D7DD2" w:sz="8"/>
          <w:left w:val="single" w:color="2D7DD2" w:sz="8"/>
          <w:bottom w:val="single" w:color="2D7DD2" w:sz="8"/>
          <w:right w:val="single" w:color="2D7DD2" w:sz="8"/>
          <w:insideH w:val="single" w:color="auto" w:sz="4"/>
          <w:insideV w:val="single" w:color="auto" w:sz="4"/>
        </w:tblBorders>
      </w:tblPr>
      <w:tblGrid>
        <w:gridCol w:w="9360"/>
      </w:tblGrid>
      <w:tr>
        <w:tc>
          <w:tcPr>
            <w:tcW w:type="dxa" w:w="9360"/>
            <w:tcBorders>
              <w:top w:val="single" w:color="2D7DD2" w:sz="8"/>
              <w:left w:val="single" w:color="2D7DD2" w:sz="8"/>
              <w:bottom w:val="single" w:color="2D7DD2" w:sz="8"/>
              <w:right w:val="single" w:color="2D7DD2" w:sz="8"/>
            </w:tcBorders>
            <w:shd w:fill="E8F0FE" w:val="clear"/>
            <w:tcMar>
              <w:top w:type="dxa" w:w="120"/>
              <w:left w:type="dxa" w:w="180"/>
              <w:bottom w:type="dxa" w:w="120"/>
              <w:right w:type="dxa" w:w="180"/>
            </w:tcMar>
          </w:tcPr>
          <w:p>
            <w:r>
              <w:rPr>
                <w:rFonts w:ascii="Arial" w:cs="Arial" w:eastAsia="Arial" w:hAnsi="Arial"/>
                <w:b/>
                <w:bCs/>
                <w:color w:val="2D7DD2"/>
                <w:sz w:val="20"/>
                <w:szCs w:val="20"/>
              </w:rPr>
              <w:t xml:space="preserve">⚡ Future Roadmap</w:t>
            </w:r>
          </w:p>
          <w:p>
            <w:pPr>
              <w:spacing w:before="60"/>
            </w:pPr>
            <w:r>
              <w:rPr>
                <w:rFonts w:ascii="Arial" w:cs="Arial" w:eastAsia="Arial" w:hAnsi="Arial"/>
                <w:color w:val="555555"/>
                <w:sz w:val="20"/>
                <w:szCs w:val="20"/>
              </w:rPr>
              <w:t xml:space="preserve">The Autonomous Enterprise module represents the platform's long-term vision: AI agents that don't just assist human departments — they become the default operators of entire business functions. This is the Phase 3 product horizon (24+ months post-launch).</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1200"/>
        <w:gridCol w:w="1200"/>
      </w:tblGrid>
      <w:tr>
        <w:trPr>
          <w:tblHeader/>
        </w:trPr>
        <w:tc>
          <w:tcPr>
            <w:tcW w:type="dxa" w:w="24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 Sub-module</w:t>
            </w:r>
          </w:p>
        </w:tc>
        <w:tc>
          <w:tcPr>
            <w:tcW w:type="dxa" w:w="456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AI CEO</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High-level strategic agent that sets quarterly objectives, monitors all departmental KPIs, identifies risks, and autonomously re-allocates resources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1A5276"/>
                <w:sz w:val="20"/>
                <w:szCs w:val="20"/>
              </w:rPr>
              <w:t xml:space="preserve">P2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Vision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AI HR</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Handles job posting, resume screening, interview scheduling, onboarding workflows, performance review reminders, and policy Q&amp;A</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1A5276"/>
                <w:sz w:val="20"/>
                <w:szCs w:val="20"/>
              </w:rPr>
              <w:t xml:space="preserve">P2</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Vision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AI Finance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Automates invoice processing, expense categorization, cash flow forecasting, vendor payments, and financial reporting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1A5276"/>
                <w:sz w:val="20"/>
                <w:szCs w:val="20"/>
              </w:rPr>
              <w:t xml:space="preserve">P2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Vision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AI Sales</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Full autonomous sales cycle: prospecting, outreach, qualification, proposal generation, follow-up, and CRM update — from first touch to close</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1A5276"/>
                <w:sz w:val="20"/>
                <w:szCs w:val="20"/>
              </w:rPr>
              <w:t xml:space="preserve">P2</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Vision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AI Marketing</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Autonomous content strategy, blog writing, SEO optimization, social scheduling, campaign reporting, and A/B testing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1A5276"/>
                <w:sz w:val="20"/>
                <w:szCs w:val="20"/>
              </w:rPr>
              <w:t xml:space="preserve">P2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Vision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AI Support</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Tier-1 and Tier-2 support resolution without human intervention; creates and maintains its own knowledge base from resolved tickets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1A5276"/>
                <w:sz w:val="20"/>
                <w:szCs w:val="20"/>
              </w:rPr>
              <w:t xml:space="preserve">P2</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Vision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Cross-Functional Coordination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Autonomous agents across departments share context, hand off work, and flag cross-functional dependencies to a coordinating CEO agent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1A5276"/>
                <w:sz w:val="20"/>
                <w:szCs w:val="20"/>
              </w:rPr>
              <w:t xml:space="preserve">P2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Vision</w:t>
            </w:r>
          </w:p>
        </w:tc>
      </w:tr>
    </w:tbl>
    <w:p>
      <w:r>
        <w:br w:type="page"/>
      </w:r>
    </w:p>
    <w:p>
      <w:pPr>
        <w:pStyle w:val="Heading1"/>
        <w:spacing w:after="200" w:before="400"/>
      </w:pPr>
      <w:r>
        <w:rPr>
          <w:rFonts w:ascii="Arial" w:cs="Arial" w:eastAsia="Arial" w:hAnsi="Arial"/>
          <w:b/>
          <w:bCs/>
          <w:color w:val="1E3A5F"/>
          <w:sz w:val="36"/>
          <w:szCs w:val="36"/>
        </w:rPr>
        <w:t xml:space="preserve">6. Non-Functional Requirements</w:t>
      </w:r>
    </w:p>
    <w:p>
      <w:pPr>
        <w:pStyle w:val="Heading3"/>
        <w:spacing w:after="120" w:before="240"/>
      </w:pPr>
      <w:r>
        <w:rPr>
          <w:rFonts w:ascii="Arial" w:cs="Arial" w:eastAsia="Arial" w:hAnsi="Arial"/>
          <w:b/>
          <w:bCs/>
          <w:color w:val="1E3A5F"/>
          <w:sz w:val="24"/>
          <w:szCs w:val="24"/>
        </w:rPr>
        <w:t xml:space="preserve">6.1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1200"/>
        <w:gridCol w:w="1200"/>
      </w:tblGrid>
      <w:tr>
        <w:trPr>
          <w:tblHeader/>
        </w:trPr>
        <w:tc>
          <w:tcPr>
            <w:tcW w:type="dxa" w:w="24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 Sub-module</w:t>
            </w:r>
          </w:p>
        </w:tc>
        <w:tc>
          <w:tcPr>
            <w:tcW w:type="dxa" w:w="456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API Response Time (p95)</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&lt; 200ms for data reads; &lt; 500ms for writes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Required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Agent Task Latency</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&lt; 3 seconds for simple tasks; &lt; 30 seconds for complex multi-tool tasks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Required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Voice STT/TTS Latency</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&lt; 300ms end-to-end for voice chat responses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Required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Workflow Trigger Latency</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&lt; 5 seconds from trigger event to first agent execution</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Required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Knowledge Retrieval</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&lt; 100ms for vector similarity search (p99)</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Required</w:t>
            </w:r>
          </w:p>
        </w:tc>
      </w:tr>
    </w:tbl>
    <w:p>
      <w:pPr>
        <w:spacing w:before="120"/>
      </w:pPr>
    </w:p>
    <w:p>
      <w:pPr>
        <w:pStyle w:val="Heading3"/>
        <w:spacing w:after="120" w:before="240"/>
      </w:pPr>
      <w:r>
        <w:rPr>
          <w:rFonts w:ascii="Arial" w:cs="Arial" w:eastAsia="Arial" w:hAnsi="Arial"/>
          <w:b/>
          <w:bCs/>
          <w:color w:val="1E3A5F"/>
          <w:sz w:val="24"/>
          <w:szCs w:val="24"/>
        </w:rPr>
        <w:t xml:space="preserve">6.2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1200"/>
        <w:gridCol w:w="1200"/>
      </w:tblGrid>
      <w:tr>
        <w:trPr>
          <w:tblHeader/>
        </w:trPr>
        <w:tc>
          <w:tcPr>
            <w:tcW w:type="dxa" w:w="24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 Sub-module</w:t>
            </w:r>
          </w:p>
        </w:tc>
        <w:tc>
          <w:tcPr>
            <w:tcW w:type="dxa" w:w="456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Concurrent Agent Executions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Support 100,000+ concurrent agent tasks across all workspaces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Required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Workspace Scale</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Up to 1,000 agents and 10,000 workflows per workspace (Enterprise)</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Required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Knowledge Base Size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Up to 100GB of raw documents and 500M vectors per workspace (Enterprise)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Required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API Throughput</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Handle 50,000 API requests/second at peak (horizontal scaling)</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Required</w:t>
            </w:r>
          </w:p>
        </w:tc>
      </w:tr>
    </w:tbl>
    <w:p>
      <w:pPr>
        <w:spacing w:before="120"/>
      </w:pPr>
    </w:p>
    <w:p>
      <w:pPr>
        <w:pStyle w:val="Heading3"/>
        <w:spacing w:after="120" w:before="240"/>
      </w:pPr>
      <w:r>
        <w:rPr>
          <w:rFonts w:ascii="Arial" w:cs="Arial" w:eastAsia="Arial" w:hAnsi="Arial"/>
          <w:b/>
          <w:bCs/>
          <w:color w:val="1E3A5F"/>
          <w:sz w:val="24"/>
          <w:szCs w:val="24"/>
        </w:rPr>
        <w:t xml:space="preserve">6.3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1200"/>
        <w:gridCol w:w="1200"/>
      </w:tblGrid>
      <w:tr>
        <w:trPr>
          <w:tblHeader/>
        </w:trPr>
        <w:tc>
          <w:tcPr>
            <w:tcW w:type="dxa" w:w="24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 Sub-module</w:t>
            </w:r>
          </w:p>
        </w:tc>
        <w:tc>
          <w:tcPr>
            <w:tcW w:type="dxa" w:w="456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200"/>
            <w:tcBorders>
              <w:top w:val="single" w:color="2D7DD2" w:sz="6"/>
              <w:left w:val="single" w:color="2D7DD2" w:sz="6"/>
              <w:bottom w:val="single" w:color="2D7DD2" w:sz="6"/>
              <w:right w:val="single" w:color="2D7DD2"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Platform Uptime SLA</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99.9% for Pro; 99.99% for Enterprise (with multi-region failover)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Required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Data Durability</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99.9999999% (11 nines) — S3 + cross-region replication for all user data</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Required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Recovery Time Objective (RTO)</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&lt; 1 hour for full platform recovery from total failure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Required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Recovery Point Objective (RPO)</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color w:val="555555"/>
                <w:sz w:val="20"/>
                <w:szCs w:val="20"/>
              </w:rPr>
              <w:t xml:space="preserve">&lt; 5 minutes — continuous backups for all stateful services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D68910"/>
                <w:sz w:val="20"/>
                <w:szCs w:val="20"/>
              </w:rPr>
              <w:t xml:space="preserve">P1</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Required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Graceful Degradation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555555"/>
                <w:sz w:val="20"/>
                <w:szCs w:val="20"/>
              </w:rPr>
              <w:t xml:space="preserve">If an LLM provider is down, automatically failover to the next configured model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P0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Required</w:t>
            </w:r>
          </w:p>
        </w:tc>
      </w:tr>
    </w:tbl>
    <w:p>
      <w:r>
        <w:br w:type="page"/>
      </w:r>
    </w:p>
    <w:p>
      <w:pPr>
        <w:pStyle w:val="Heading1"/>
        <w:spacing w:after="200" w:before="400"/>
      </w:pPr>
      <w:r>
        <w:rPr>
          <w:rFonts w:ascii="Arial" w:cs="Arial" w:eastAsia="Arial" w:hAnsi="Arial"/>
          <w:b/>
          <w:bCs/>
          <w:color w:val="1E3A5F"/>
          <w:sz w:val="36"/>
          <w:szCs w:val="36"/>
        </w:rPr>
        <w:t xml:space="preserve">7.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57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 / Measurement</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Active Workspaces (Month 6)</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1,000 paid workspaces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Active Workspaces (Month 12)</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5,000 paid workspaces</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Monthly Recurring Revenue (Month 12)</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$2.5M MRR</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Daily Active Users / Workspaces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DAU/MAU ratio &gt; 40%</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Agent Creation to Deployment Time</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&lt; 10 minutes average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Task Automation Success Rate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&gt; 90% without human intervention</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User NPS</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&gt; 60</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Churn Rate (Monthly)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&lt; 2% for paid tiers</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Marketplace Assets Published</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&gt; 500 in Year 1</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API Uptime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&gt; 99.9%</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Support Ticket Resolution (P1 bugs)</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&lt; 4 hours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Onboarding Completion Rate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&gt; 70% of new workspaces deploy 1 agent in first session</w:t>
            </w:r>
          </w:p>
        </w:tc>
      </w:tr>
    </w:tbl>
    <w:p>
      <w:pPr>
        <w:spacing w:before="160"/>
      </w:pPr>
    </w:p>
    <w:p>
      <w:pPr>
        <w:pStyle w:val="Heading1"/>
        <w:spacing w:after="200" w:before="400"/>
      </w:pPr>
      <w:r>
        <w:rPr>
          <w:rFonts w:ascii="Arial" w:cs="Arial" w:eastAsia="Arial" w:hAnsi="Arial"/>
          <w:b/>
          <w:bCs/>
          <w:color w:val="1E3A5F"/>
          <w:sz w:val="36"/>
          <w:szCs w:val="36"/>
        </w:rPr>
        <w:t xml:space="preserve">8. Release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9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Scope &amp; Key Deliverables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Phase 0 — Foundation (Months 1–2)</w:t>
            </w:r>
          </w:p>
        </w:tc>
        <w:tc>
          <w:tcPr>
            <w:tcW w:type="dxa" w:w="6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Authentication, Workspace Management, Agent Builder (core), Knowledge Hub (PDF/DOCX), Vector DB, RAG Engine, Task Engine (Manual + Scheduled), Gmail + Slack integrations, Analytics (ROI, Token Usage), Security (RBAC, Encryption)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Phase 1 — Beta (Months 3–4)</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Workflow Builder, Triggered Tasks, Approval Workflow, Agent Collaboration (basic), Memory System (User + Agent), Website Crawl, Notion + Google Drive sync, HubSpot integration, Zapier bridge, Billing (all 4 tiers)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Phase 2 — GA Launch (Month 5)</w:t>
            </w:r>
          </w:p>
        </w:tc>
        <w:tc>
          <w:tcPr>
            <w:tcW w:type="dxa" w:w="6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Multi-Agent System (CEO → Support chain), Voice Chat + Phone Agents, Marketplace (Agent + Workflow Store), SSO/SAML, Audit Logs, Error Tracking, WhatsApp + Salesforce integrations, Custom API</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Phase 3 — Scale (Months 6–12)</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Prompt/Knowledge Packs, Voice Commands, Stripe integration, Custom Reports, Workflow Versioning, Data Loss Prevention, Agent Version Control, Community Marketplace, Memory Privacy Controls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Phase 4 — Vision (12–24 months)</w:t>
            </w:r>
          </w:p>
        </w:tc>
        <w:tc>
          <w:tcPr>
            <w:tcW w:type="dxa" w:w="6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Autonomous Enterprise suite (AI CEO, HR, Finance, Sales, Marketing, Support), Voice Cloning, Developer Agent, QA Agent, Cross-functional Agent Coordination, Multi-region data residency</w:t>
            </w:r>
          </w:p>
        </w:tc>
      </w:tr>
    </w:tbl>
    <w:p>
      <w:r>
        <w:br w:type="page"/>
      </w:r>
    </w:p>
    <w:p>
      <w:pPr>
        <w:pStyle w:val="Heading1"/>
        <w:spacing w:after="200" w:before="400"/>
      </w:pPr>
      <w:r>
        <w:rPr>
          <w:rFonts w:ascii="Arial" w:cs="Arial" w:eastAsia="Arial" w:hAnsi="Arial"/>
          <w:b/>
          <w:bCs/>
          <w:color w:val="1E3A5F"/>
          <w:sz w:val="36"/>
          <w:szCs w:val="36"/>
        </w:rPr>
        <w:t xml:space="preserve">9. Appendix</w:t>
      </w:r>
    </w:p>
    <w:p>
      <w:pPr>
        <w:pStyle w:val="Heading3"/>
        <w:spacing w:after="120" w:before="240"/>
      </w:pPr>
      <w:r>
        <w:rPr>
          <w:rFonts w:ascii="Arial" w:cs="Arial" w:eastAsia="Arial" w:hAnsi="Arial"/>
          <w:b/>
          <w:bCs/>
          <w:color w:val="1E3A5F"/>
          <w:sz w:val="24"/>
          <w:szCs w:val="24"/>
        </w:rPr>
        <w:t xml:space="preserve">9.1 Priority Scale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2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P0 — Critical</w:t>
            </w:r>
          </w:p>
        </w:tc>
        <w:tc>
          <w:tcPr>
            <w:tcW w:type="dxa" w:w="62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Launch blocker. Must be in MVP. Product cannot ship without this.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P1 — High</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Important for first major release (GA). Should ship within 60 days of launch.</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P2 — Planned</w:t>
            </w:r>
          </w:p>
        </w:tc>
        <w:tc>
          <w:tcPr>
            <w:tcW w:type="dxa" w:w="62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On the 6–12 month roadmap. Documented and scoped, not yet scheduled.</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Vision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12–24 month strategic horizon. Directional, not yet in sprint planning.</w:t>
            </w:r>
          </w:p>
        </w:tc>
      </w:tr>
    </w:tbl>
    <w:p>
      <w:pPr>
        <w:spacing w:before="120"/>
      </w:pPr>
    </w:p>
    <w:p>
      <w:pPr>
        <w:pStyle w:val="Heading3"/>
        <w:spacing w:after="120" w:before="240"/>
      </w:pPr>
      <w:r>
        <w:rPr>
          <w:rFonts w:ascii="Arial" w:cs="Arial" w:eastAsia="Arial" w:hAnsi="Arial"/>
          <w:b/>
          <w:bCs/>
          <w:color w:val="1E3A5F"/>
          <w:sz w:val="24"/>
          <w:szCs w:val="24"/>
        </w:rPr>
        <w:t xml:space="preserve">9.2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2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Agent</w:t>
            </w:r>
          </w:p>
        </w:tc>
        <w:tc>
          <w:tcPr>
            <w:tcW w:type="dxa" w:w="62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An autonomous AI entity configured with a brain model, memory, tools, and goals that executes tasks on behalf of users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RAG</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Retrieval-Augmented Generation — a technique to ground LLM responses in specific documents via semantic search</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Workflow</w:t>
            </w:r>
          </w:p>
        </w:tc>
        <w:tc>
          <w:tcPr>
            <w:tcW w:type="dxa" w:w="62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A visual, multi-step automation pipeline connecting agents, tools, conditions, and triggers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Memory</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Persistent context stored across sessions, enabling agents to 'remember' past interactions and decisions</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Brain Model</w:t>
            </w:r>
          </w:p>
        </w:tc>
        <w:tc>
          <w:tcPr>
            <w:tcW w:type="dxa" w:w="62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The underlying LLM powering an agent (GPT-4o, Claude, Gemini, etc.) with its configuration</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MAS</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Multi-Agent System — a hierarchy of agents that delegate tasks between each other</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Token</w:t>
            </w:r>
          </w:p>
        </w:tc>
        <w:tc>
          <w:tcPr>
            <w:tcW w:type="dxa" w:w="62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The unit of LLM computation; used to track AI consumption and costs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Workspace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 multi-tenant organizational unit; one company = one or more workspaces</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RBAC</w:t>
            </w:r>
          </w:p>
        </w:tc>
        <w:tc>
          <w:tcPr>
            <w:tcW w:type="dxa" w:w="62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Role-Based Access Control — restricting system access based on user roles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STT / TTS</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Speech-To-Text / Text-To-Speech — the tech stack behind the Voice AI module</w:t>
            </w:r>
          </w:p>
        </w:tc>
      </w:tr>
    </w:tbl>
    <w:p>
      <w:pPr>
        <w:spacing w:before="120"/>
      </w:pPr>
    </w:p>
    <w:p>
      <w:pPr>
        <w:pStyle w:val="Heading3"/>
        <w:spacing w:after="120" w:before="240"/>
      </w:pPr>
      <w:r>
        <w:rPr>
          <w:rFonts w:ascii="Arial" w:cs="Arial" w:eastAsia="Arial" w:hAnsi="Arial"/>
          <w:b/>
          <w:bCs/>
          <w:color w:val="1E3A5F"/>
          <w:sz w:val="24"/>
          <w:szCs w:val="24"/>
        </w:rPr>
        <w:t xml:space="preserve">9.3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2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Date | Author | Change Summary</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v1.0.0</w:t>
            </w:r>
          </w:p>
        </w:tc>
        <w:tc>
          <w:tcPr>
            <w:tcW w:type="dxa" w:w="62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June 2026 | Product Team | Initial PRD draft based on platform architecture diagram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7DD2" w:sz="6" w:space="4"/>
      </w:pBdr>
      <w:tabs>
        <w:tab w:val="right" w:pos="9026"/>
      </w:tabs>
      <w:spacing w:after="0" w:before="80"/>
    </w:pPr>
    <w:r>
      <w:rPr>
        <w:rFonts w:ascii="Arial" w:cs="Arial" w:eastAsia="Arial" w:hAnsi="Arial"/>
        <w:color w:val="555555"/>
        <w:sz w:val="18"/>
        <w:szCs w:val="18"/>
      </w:rPr>
      <w:t xml:space="preserve">© 2026 AI Agent Platform. All rights reserved.</w:t>
    </w:r>
    <w:r>
      <w:rPr>
        <w:rFonts w:ascii="Arial" w:cs="Arial" w:eastAsia="Arial" w:hAnsi="Arial"/>
        <w:sz w:val="18"/>
        <w:szCs w:val="18"/>
      </w:rPr>
      <w:t xml:space="preserve">	</w:t>
    </w:r>
    <w:r>
      <w:rPr>
        <w:rFonts w:ascii="Arial" w:cs="Arial" w:eastAsia="Arial" w:hAnsi="Arial"/>
        <w:color w:val="555555"/>
        <w:sz w:val="18"/>
        <w:szCs w:val="18"/>
      </w:rPr>
      <w:t xml:space="preserve">Page </w:t>
    </w:r>
    <w:r>
      <w:rPr>
        <w:rFonts w:ascii="Arial" w:cs="Arial" w:eastAsia="Arial" w:hAnsi="Arial"/>
        <w:color w:val="1E3A5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7DD2" w:sz="6" w:space="4"/>
      </w:pBdr>
      <w:tabs>
        <w:tab w:val="right" w:pos="9026"/>
      </w:tabs>
      <w:spacing w:after="80" w:before="0"/>
    </w:pPr>
    <w:r>
      <w:rPr>
        <w:rFonts w:ascii="Arial" w:cs="Arial" w:eastAsia="Arial" w:hAnsi="Arial"/>
        <w:color w:val="555555"/>
        <w:sz w:val="18"/>
        <w:szCs w:val="18"/>
      </w:rPr>
      <w:t xml:space="preserve">AI Agent Platform — Product Requirements Document</w:t>
    </w:r>
    <w:r>
      <w:rPr>
        <w:rFonts w:ascii="Arial" w:cs="Arial" w:eastAsia="Arial" w:hAnsi="Arial"/>
        <w:sz w:val="18"/>
        <w:szCs w:val="18"/>
      </w:rPr>
      <w:t xml:space="preserve">	</w:t>
    </w:r>
    <w:r>
      <w:rPr>
        <w:rFonts w:ascii="Arial" w:cs="Arial" w:eastAsia="Arial" w:hAnsi="Arial"/>
        <w:b/>
        <w:bCs/>
        <w:color w:val="2D7DD2"/>
        <w:sz w:val="18"/>
        <w:szCs w:val="18"/>
      </w:rPr>
      <w:t xml:space="preserve">CONFIDENTIAL |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D7DD2"/>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E3A5F"/>
      <w:sz w:val="24"/>
      <w:szCs w:val="24"/>
    </w:rPr>
  </w:style>
  <w:style w:type="paragraph" w:styleId="Heading4">
    <w:name w:val="Heading 4"/>
    <w:basedOn w:val="Normal"/>
    <w:next w:val="Normal"/>
    <w:qFormat/>
    <w:pPr>
      <w:spacing w:after="80" w:before="180"/>
      <w:outlineLvl w:val="3"/>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2026-06-15T03:44:23.693Z</dcterms:created>
  <dcterms:modified xsi:type="dcterms:W3CDTF">2026-06-15T03:44:23.693Z</dcterms:modified>
</cp:coreProperties>
</file>

<file path=docProps/custom.xml><?xml version="1.0" encoding="utf-8"?>
<Properties xmlns="http://schemas.openxmlformats.org/officeDocument/2006/custom-properties" xmlns:vt="http://schemas.openxmlformats.org/officeDocument/2006/docPropsVTypes"/>
</file>