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API Documentation</w:t>
      </w:r>
    </w:p>
    <w:p>
      <w:r>
        <w:t>This document outlines the API endpoints, their functionalities, and the required parameters. It also includes examples of how to use the API and error handling strategies. The API documentation is crucial for developers to understand and integrate the API into their projects. The current version is based on the latest API changes and includes all the necessary information. The next update will focus on improving the documentation for better user experience.</w:t>
      </w:r>
    </w:p>
    <w:p>
      <w:pPr>
        <w:pStyle w:val="Heading3"/>
      </w:pPr>
      <w:r>
        <w:t>Provenance &amp; Audit Trail</w:t>
      </w:r>
    </w:p>
    <w:p>
      <w:r>
        <w:rPr>
          <w:color w:val="808080"/>
          <w:sz w:val="18"/>
        </w:rPr>
        <w:t>---</w:t>
        <w:br/>
        <w:t>Generated by: qwen2.5:1.5b-instruct (local, offline)</w:t>
        <w:br/>
        <w:t>Task type: document</w:t>
        <w:br/>
        <w:t>Timestamp: 2026-08-28T10:58:46.304869</w:t>
        <w:br/>
        <w:t>Source document(s): No external source documents used — general model knowledge</w:t>
        <w:br/>
        <w:t>Network status: Verified offline — zero external calls during generation</w:t>
        <w:br/>
        <w:t>System: Sovereign Workbench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