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6F78"/>
          <w:sz w:val="28"/>
        </w:rPr>
        <w:t>GO DIGITAL MARKETING</w:t>
      </w:r>
    </w:p>
    <w:p>
      <w:pPr>
        <w:jc w:val="center"/>
      </w:pPr>
      <w:r>
        <w:rPr>
          <w:rFonts w:ascii="Lato" w:hAnsi="Lato"/>
          <w:b/>
          <w:color w:val="123447"/>
          <w:sz w:val="56"/>
        </w:rPr>
        <w:t>Automobile CRM</w:t>
      </w:r>
    </w:p>
    <w:p>
      <w:pPr>
        <w:jc w:val="center"/>
      </w:pPr>
      <w:r>
        <w:rPr>
          <w:b/>
          <w:color w:val="2F6B8A"/>
          <w:sz w:val="36"/>
        </w:rPr>
        <w:t>Final Technical Product Requirements Document</w:t>
      </w:r>
    </w:p>
    <w:p>
      <w:pPr>
        <w:jc w:val="center"/>
      </w:pPr>
      <w:r>
        <w:rPr>
          <w:color w:val="5C6770"/>
          <w:sz w:val="22"/>
        </w:rPr>
        <w:t>Lead capture • unified communication • test rides • vehicle inventory • booking • billing • delivery • registration/RC • post-sale lifecycle</w:t>
      </w:r>
    </w:p>
    <w:p/>
    <w:tbl>
      <w:tblPr>
        <w:tblStyle w:val="TableGrid"/>
        <w:tblW w:type="auto" w:w="0"/>
        <w:tblLayout w:type="fixed"/>
        <w:tblLook w:firstColumn="1" w:firstRow="1" w:lastColumn="0" w:lastRow="0" w:noHBand="0" w:noVBand="1" w:val="04A0"/>
        <w:jc w:val="center"/>
        <w:tblBorders>
          <w:top w:val="single" w:sz="6" w:space="0" w:color="7B9299"/>
          <w:left w:val="single" w:sz="4" w:space="0" w:color="B7C4CC"/>
          <w:bottom w:val="single" w:sz="6" w:space="0" w:color="7B9299"/>
          <w:right w:val="single" w:sz="4" w:space="0" w:color="B7C4CC"/>
          <w:insideH w:val="single" w:sz="6" w:space="0" w:color="7B9299"/>
          <w:insideV w:val="single" w:sz="6" w:space="0" w:color="7B9299"/>
          <w:start w:val="single" w:sz="6" w:space="0" w:color="7B9299"/>
          <w:end w:val="single" w:sz="6" w:space="0" w:color="7B9299"/>
        </w:tblBorders>
      </w:tblPr>
      <w:tblGrid>
        <w:gridCol w:w="5018"/>
        <w:gridCol w:w="5018"/>
      </w:tblGrid>
      <w:tr>
        <w:trPr>
          <w:tblHeader w:val="true"/>
          <w:tblHeader w:val="true"/>
        </w:trPr>
        <w:tc>
          <w:tcPr>
            <w:tcW w:type="dxa" w:w="2232"/>
            <w:shd w:fill="123447"/>
            <w:vAlign w:val="center"/>
            <w:tcMar>
              <w:top w:w="70" w:type="dxa"/>
              <w:start w:w="90" w:type="dxa"/>
              <w:bottom w:w="70" w:type="dxa"/>
              <w:end w:w="90" w:type="dxa"/>
            </w:tcMar>
          </w:tcPr>
          <w:p>
            <w:pPr>
              <w:spacing w:after="0" w:before="0" w:line="240" w:lineRule="auto"/>
              <w:jc w:val="left"/>
            </w:pPr>
            <w:r>
              <w:rPr>
                <w:rFonts w:ascii="Lato" w:hAnsi="Lato"/>
                <w:b/>
                <w:color w:val="FFFFFF"/>
                <w:sz w:val="16"/>
              </w:rPr>
              <w:t>Document item</w:t>
            </w:r>
          </w:p>
        </w:tc>
        <w:tc>
          <w:tcPr>
            <w:tcW w:type="dxa" w:w="7272"/>
            <w:shd w:fill="123447"/>
            <w:vAlign w:val="center"/>
            <w:tcMar>
              <w:top w:w="70" w:type="dxa"/>
              <w:start w:w="90" w:type="dxa"/>
              <w:bottom w:w="70" w:type="dxa"/>
              <w:end w:w="90" w:type="dxa"/>
            </w:tcMar>
          </w:tcPr>
          <w:p>
            <w:pPr>
              <w:spacing w:after="0" w:before="0" w:line="240" w:lineRule="auto"/>
              <w:jc w:val="left"/>
            </w:pPr>
            <w:r>
              <w:rPr>
                <w:rFonts w:ascii="Lato" w:hAnsi="Lato"/>
                <w:b/>
                <w:color w:val="FFFFFF"/>
                <w:sz w:val="16"/>
              </w:rPr>
              <w:t>Locked decision</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6"/>
              </w:rPr>
              <w:t>Version</w:t>
            </w:r>
          </w:p>
        </w:tc>
        <w:tc>
          <w:tcPr>
            <w:tcW w:type="dxa" w:w="7272"/>
            <w:vAlign w:val="center"/>
            <w:tcMar>
              <w:top w:w="70" w:type="dxa"/>
              <w:start w:w="90" w:type="dxa"/>
              <w:bottom w:w="70" w:type="dxa"/>
              <w:end w:w="90" w:type="dxa"/>
            </w:tcMar>
          </w:tcPr>
          <w:p>
            <w:pPr>
              <w:spacing w:after="0" w:before="0" w:line="240" w:lineRule="auto"/>
            </w:pPr>
            <w:r>
              <w:rPr>
                <w:rFonts w:ascii="Lato" w:hAnsi="Lato"/>
                <w:b w:val="0"/>
                <w:color w:val="123447"/>
                <w:sz w:val="16"/>
              </w:rPr>
              <w:t>4.0 – 10/10 implementation master baseline</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Prepared</w:t>
            </w:r>
          </w:p>
        </w:tc>
        <w:tc>
          <w:tcPr>
            <w:tcW w:type="dxa" w:w="727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July 31, 2026</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6"/>
              </w:rPr>
              <w:t>Product model</w:t>
            </w:r>
          </w:p>
        </w:tc>
        <w:tc>
          <w:tcPr>
            <w:tcW w:type="dxa" w:w="7272"/>
            <w:vAlign w:val="center"/>
            <w:tcMar>
              <w:top w:w="70" w:type="dxa"/>
              <w:start w:w="90" w:type="dxa"/>
              <w:bottom w:w="70" w:type="dxa"/>
              <w:end w:w="90" w:type="dxa"/>
            </w:tcMar>
          </w:tcPr>
          <w:p>
            <w:pPr>
              <w:spacing w:after="0" w:before="0" w:line="240" w:lineRule="auto"/>
            </w:pPr>
            <w:r>
              <w:rPr>
                <w:rFonts w:ascii="Lato" w:hAnsi="Lato"/>
                <w:b w:val="0"/>
                <w:color w:val="123447"/>
                <w:sz w:val="16"/>
              </w:rPr>
              <w:t>Multi-tenant internal CRM operated by Go Digital Marketing for approved Indian automobile dealerships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Initial scale</w:t>
            </w:r>
          </w:p>
        </w:tc>
        <w:tc>
          <w:tcPr>
            <w:tcW w:type="dxa" w:w="727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1,000 registered users; 50–100 concurrent active sessions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6"/>
              </w:rPr>
              <w:t>Growth target</w:t>
            </w:r>
          </w:p>
        </w:tc>
        <w:tc>
          <w:tcPr>
            <w:tcW w:type="dxa" w:w="7272"/>
            <w:vAlign w:val="center"/>
            <w:tcMar>
              <w:top w:w="70" w:type="dxa"/>
              <w:start w:w="90" w:type="dxa"/>
              <w:bottom w:w="70" w:type="dxa"/>
              <w:end w:w="90" w:type="dxa"/>
            </w:tcMar>
          </w:tcPr>
          <w:p>
            <w:pPr>
              <w:spacing w:after="0" w:before="0" w:line="240" w:lineRule="auto"/>
            </w:pPr>
            <w:r>
              <w:rPr>
                <w:rFonts w:ascii="Lato" w:hAnsi="Lato"/>
                <w:b w:val="0"/>
                <w:color w:val="123447"/>
                <w:sz w:val="16"/>
              </w:rPr>
              <w:t>10,000 registered users without rewriting core business logic</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Applications</w:t>
            </w:r>
          </w:p>
        </w:tc>
        <w:tc>
          <w:tcPr>
            <w:tcW w:type="dxa" w:w="727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Next.js web dashboard + NestJS API/worker + React Native/Expo Android app</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6"/>
              </w:rPr>
              <w:t>Web design system</w:t>
            </w:r>
          </w:p>
        </w:tc>
        <w:tc>
          <w:tcPr>
            <w:tcW w:type="dxa" w:w="7272"/>
            <w:vAlign w:val="center"/>
            <w:tcMar>
              <w:top w:w="70" w:type="dxa"/>
              <w:start w:w="90" w:type="dxa"/>
              <w:bottom w:w="70" w:type="dxa"/>
              <w:end w:w="90" w:type="dxa"/>
            </w:tcMar>
          </w:tcPr>
          <w:p>
            <w:pPr>
              <w:spacing w:after="0" w:before="0" w:line="240" w:lineRule="auto"/>
            </w:pPr>
            <w:r>
              <w:rPr>
                <w:rFonts w:ascii="Lato" w:hAnsi="Lato"/>
                <w:b w:val="0"/>
                <w:color w:val="123447"/>
                <w:sz w:val="16"/>
              </w:rPr>
              <w:t>shadcn/ui only, initialized on Base UI; no competing web UI library</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Approval scope</w:t>
            </w:r>
          </w:p>
        </w:tc>
        <w:tc>
          <w:tcPr>
            <w:tcW w:type="dxa" w:w="727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Google Play, Meta/WhatsApp Business Platform, Google Business Profile API, Google Ads lead forms and provider onboarding</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6"/>
              </w:rPr>
              <w:t>Status</w:t>
            </w:r>
          </w:p>
        </w:tc>
        <w:tc>
          <w:tcPr>
            <w:tcW w:type="dxa" w:w="7272"/>
            <w:vAlign w:val="center"/>
            <w:tcMar>
              <w:top w:w="70" w:type="dxa"/>
              <w:start w:w="90" w:type="dxa"/>
              <w:bottom w:w="70" w:type="dxa"/>
              <w:end w:w="90" w:type="dxa"/>
            </w:tcMar>
          </w:tcPr>
          <w:p>
            <w:pPr>
              <w:spacing w:after="0" w:before="0" w:line="240" w:lineRule="auto"/>
            </w:pPr>
            <w:r>
              <w:rPr>
                <w:rFonts w:ascii="Lato" w:hAnsi="Lato"/>
                <w:b w:val="0"/>
                <w:color w:val="123447"/>
                <w:sz w:val="16"/>
              </w:rPr>
              <w:t>Final master PRD for estimation, architecture, UX, sprint planning, pilot onboarding and release approval. Provider policies, quotas, pricing and legal obligations must be re-validated before production launch.</w:t>
            </w:r>
          </w:p>
        </w:tc>
      </w:tr>
    </w:tbl>
    <w:p>
      <w:pPr>
        <w:spacing w:after="0"/>
      </w:pP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AF5EA"/>
            <w:tcMar>
              <w:top w:w="100" w:type="dxa"/>
              <w:start w:w="120" w:type="dxa"/>
              <w:bottom w:w="100" w:type="dxa"/>
              <w:end w:w="120" w:type="dxa"/>
            </w:tcMar>
          </w:tcPr>
          <w:p>
            <w:r>
              <w:rPr>
                <w:b/>
                <w:color w:val="123447"/>
                <w:sz w:val="20"/>
              </w:rPr>
              <w:t>Primary product decision</w:t>
            </w:r>
            <w:r>
              <w:br/>
              <w:t>Office and management roles use the web dashboard. Salesperson, Test Ride Executive and Delivery Executive use the Android mobile app. Customers do not need an app; they communicate through the dealership’s official phone, WhatsApp, email, SMS and secure document links.</w:t>
            </w:r>
          </w:p>
        </w:tc>
        <w:trPr>
          <w:tblHeader/>
        </w:trPr>
      </w:tr>
    </w:tbl>
    <w:p>
      <w:pPr>
        <w:spacing w:after="0"/>
      </w:pPr>
    </w:p>
    <w:p>
      <w:r>
        <w:br w:type="page"/>
      </w:r>
    </w:p>
    <w:p>
      <w:pPr>
        <w:pStyle w:val="Heading1"/>
        <w:keepNext/>
      </w:pPr>
      <w:r>
        <w:t>Document Map</w:t>
      </w:r>
    </w:p>
    <w:p>
      <w:pPr>
        <w:spacing w:after="20"/>
      </w:pPr>
      <w:r>
        <w:t>1. Executive decision and scope</w:t>
      </w:r>
    </w:p>
    <w:p>
      <w:pPr>
        <w:spacing w:after="20"/>
      </w:pPr>
      <w:r>
        <w:t>2. Goals, boundaries and terminology</w:t>
      </w:r>
    </w:p>
    <w:p>
      <w:pPr>
        <w:spacing w:after="20"/>
      </w:pPr>
      <w:r>
        <w:t>3. Organization, roles and permissions</w:t>
      </w:r>
    </w:p>
    <w:p>
      <w:pPr>
        <w:spacing w:after="20"/>
      </w:pPr>
      <w:r>
        <w:t>4. Role-by-role workflows</w:t>
      </w:r>
    </w:p>
    <w:p>
      <w:pPr>
        <w:spacing w:after="20"/>
      </w:pPr>
      <w:r>
        <w:t>5. End-to-end lifecycle and ownership</w:t>
      </w:r>
    </w:p>
    <w:p>
      <w:pPr>
        <w:spacing w:after="20"/>
      </w:pPr>
      <w:r>
        <w:t>6. Lead sources, deduplication and attribution</w:t>
      </w:r>
    </w:p>
    <w:p>
      <w:pPr>
        <w:spacing w:after="20"/>
      </w:pPr>
      <w:r>
        <w:t>7. Lead lifecycle, assignment and SLA</w:t>
      </w:r>
    </w:p>
    <w:p>
      <w:pPr>
        <w:spacing w:after="20"/>
      </w:pPr>
      <w:r>
        <w:t>8. Telephony and call outcomes</w:t>
      </w:r>
    </w:p>
    <w:p>
      <w:pPr>
        <w:spacing w:after="20"/>
      </w:pPr>
      <w:r>
        <w:t>9. Unified inbox and customer timeline</w:t>
      </w:r>
    </w:p>
    <w:p>
      <w:pPr>
        <w:spacing w:after="20"/>
      </w:pPr>
      <w:r>
        <w:t>10. Test ride operations</w:t>
      </w:r>
    </w:p>
    <w:p>
      <w:pPr>
        <w:spacing w:after="20"/>
      </w:pPr>
      <w:r>
        <w:t>11. Vehicle inventory and allocation</w:t>
      </w:r>
    </w:p>
    <w:p>
      <w:pPr>
        <w:spacing w:after="20"/>
      </w:pPr>
      <w:r>
        <w:t>12. Booking, billing, payment and finance tracking</w:t>
      </w:r>
    </w:p>
    <w:p>
      <w:pPr>
        <w:spacing w:after="20"/>
      </w:pPr>
      <w:r>
        <w:t>13. Delivery operations</w:t>
      </w:r>
    </w:p>
    <w:p>
      <w:pPr>
        <w:spacing w:after="20"/>
      </w:pPr>
      <w:r>
        <w:t>14. Registration and RC follow-up</w:t>
      </w:r>
    </w:p>
    <w:p>
      <w:pPr>
        <w:spacing w:after="20"/>
      </w:pPr>
      <w:r>
        <w:t>15. Customer-owned vehicle and post-sale reminders</w:t>
      </w:r>
    </w:p>
    <w:p>
      <w:pPr>
        <w:spacing w:after="20"/>
      </w:pPr>
      <w:r>
        <w:t>16. Documents, consent, privacy and retention</w:t>
      </w:r>
    </w:p>
    <w:p>
      <w:pPr>
        <w:spacing w:after="20"/>
      </w:pPr>
      <w:r>
        <w:t>17. Integration architecture and provider approvals</w:t>
      </w:r>
    </w:p>
    <w:p>
      <w:pPr>
        <w:spacing w:after="20"/>
      </w:pPr>
      <w:r>
        <w:t>18. UI/UX design system – shadcn only</w:t>
      </w:r>
    </w:p>
    <w:p>
      <w:pPr>
        <w:spacing w:after="20"/>
      </w:pPr>
      <w:r>
        <w:t>19. Technical architecture and selected stack</w:t>
      </w:r>
    </w:p>
    <w:p>
      <w:pPr>
        <w:spacing w:after="20"/>
      </w:pPr>
      <w:r>
        <w:t>20. Data model, APIs, events and background jobs</w:t>
      </w:r>
    </w:p>
    <w:p>
      <w:pPr>
        <w:spacing w:after="20"/>
      </w:pPr>
      <w:r>
        <w:t>21. Security, audit, observability and recovery</w:t>
      </w:r>
    </w:p>
    <w:p>
      <w:pPr>
        <w:spacing w:after="20"/>
      </w:pPr>
      <w:r>
        <w:t>22. Performance, offline behavior and rate limits</w:t>
      </w:r>
    </w:p>
    <w:p>
      <w:pPr>
        <w:spacing w:after="20"/>
      </w:pPr>
      <w:r>
        <w:t>23. Environments, deployment, costs and AWS migration</w:t>
      </w:r>
    </w:p>
    <w:p>
      <w:pPr>
        <w:spacing w:after="20"/>
      </w:pPr>
      <w:r>
        <w:t>24. Repository structure</w:t>
      </w:r>
    </w:p>
    <w:p>
      <w:pPr>
        <w:spacing w:after="20"/>
      </w:pPr>
      <w:r>
        <w:t>25. Testing, release gates and acceptance criteria</w:t>
      </w:r>
    </w:p>
    <w:p>
      <w:pPr>
        <w:spacing w:after="20"/>
      </w:pPr>
      <w:r>
        <w:t>26. Delivery phases, risks and definition of done</w:t>
      </w:r>
    </w:p>
    <w:p>
      <w:pPr>
        <w:spacing w:after="20"/>
      </w:pPr>
      <w:r>
        <w:rPr>
          <w:rFonts w:ascii="Lato" w:hAnsi="Lato"/>
          <w:color w:val="123447"/>
          <w:sz w:val="19"/>
        </w:rPr>
        <w:t>27. Configuration, approval limits and governance</w:t>
      </w:r>
    </w:p>
    <w:p>
      <w:r>
        <w:rPr>
          <w:rFonts w:ascii="Lato" w:hAnsi="Lato"/>
          <w:color w:val="123447"/>
          <w:sz w:val="19"/>
        </w:rPr>
        <w:t>28. State machines and transition contracts</w:t>
      </w:r>
    </w:p>
    <w:p>
      <w:r>
        <w:rPr>
          <w:rFonts w:ascii="Lato" w:hAnsi="Lato"/>
          <w:color w:val="123447"/>
          <w:sz w:val="19"/>
        </w:rPr>
        <w:t>29. Logical data model and data dictionary</w:t>
      </w:r>
    </w:p>
    <w:p>
      <w:r>
        <w:rPr>
          <w:rFonts w:ascii="Lato" w:hAnsi="Lato"/>
          <w:color w:val="123447"/>
          <w:sz w:val="19"/>
        </w:rPr>
        <w:t>30. API standards, concurrency and webhook contracts</w:t>
      </w:r>
    </w:p>
    <w:p>
      <w:r>
        <w:rPr>
          <w:rFonts w:ascii="Lato" w:hAnsi="Lato"/>
          <w:color w:val="123447"/>
          <w:sz w:val="19"/>
        </w:rPr>
        <w:t>31. Screen inventory, accessibility and UX contract</w:t>
      </w:r>
    </w:p>
    <w:p>
      <w:r>
        <w:rPr>
          <w:rFonts w:ascii="Lato" w:hAnsi="Lato"/>
          <w:color w:val="123447"/>
          <w:sz w:val="19"/>
        </w:rPr>
        <w:t>32. Data migration and client onboarding</w:t>
      </w:r>
    </w:p>
    <w:p>
      <w:r>
        <w:rPr>
          <w:rFonts w:ascii="Lato" w:hAnsi="Lato"/>
          <w:color w:val="123447"/>
          <w:sz w:val="19"/>
        </w:rPr>
        <w:t>33. Analytics and KPI dictionary</w:t>
      </w:r>
    </w:p>
    <w:p>
      <w:r>
        <w:rPr>
          <w:rFonts w:ascii="Lato" w:hAnsi="Lato"/>
          <w:color w:val="123447"/>
          <w:sz w:val="19"/>
        </w:rPr>
        <w:t>34. Operations, support, threat controls and recovery</w:t>
      </w:r>
    </w:p>
    <w:p>
      <w:r>
        <w:rPr>
          <w:rFonts w:ascii="Lato" w:hAnsi="Lato"/>
          <w:color w:val="123447"/>
          <w:sz w:val="19"/>
        </w:rPr>
        <w:t>35. Traceability, RACI, delivery estimate and sign-off</w:t>
      </w:r>
    </w:p>
    <w:p>
      <w:r>
        <w:rPr>
          <w:rFonts w:ascii="Lato" w:hAnsi="Lato"/>
          <w:color w:val="123447"/>
          <w:sz w:val="19"/>
        </w:rPr>
        <w:t>36. Appendices and official research references</w:t>
      </w:r>
    </w:p>
    <w:p>
      <w:pPr>
        <w:pStyle w:val="Heading1"/>
        <w:keepNext/>
      </w:pPr>
      <w:r>
        <w:rPr>
          <w:rFonts w:ascii="Lato" w:hAnsi="Lato"/>
          <w:b/>
          <w:color w:val="123447"/>
          <w:sz w:val="36"/>
        </w:rPr>
        <w:t>Research Review: Changes from v2.0 and Final Completeness Upgrade</w:t>
      </w:r>
    </w:p>
    <w:tbl>
      <w:tblPr>
        <w:tblStyle w:val="TableGrid"/>
        <w:tblW w:type="auto" w:w="0"/>
        <w:tblLayout w:type="fixed"/>
        <w:tblLook w:firstColumn="1" w:firstRow="1" w:lastColumn="0" w:lastRow="0" w:noHBand="0" w:noVBand="1" w:val="04A0"/>
        <w:jc w:val="center"/>
        <w:tblBorders>
          <w:top w:val="single" w:sz="6" w:space="0" w:color="7B9299"/>
          <w:left w:val="single" w:sz="4" w:space="0" w:color="B7C4CC"/>
          <w:bottom w:val="single" w:sz="6" w:space="0" w:color="7B9299"/>
          <w:right w:val="single" w:sz="4" w:space="0" w:color="B7C4CC"/>
          <w:insideH w:val="single" w:sz="6" w:space="0" w:color="7B9299"/>
          <w:insideV w:val="single" w:sz="6" w:space="0" w:color="7B9299"/>
          <w:start w:val="single" w:sz="6" w:space="0" w:color="7B9299"/>
          <w:end w:val="single" w:sz="6" w:space="0" w:color="7B9299"/>
        </w:tblBorders>
      </w:tblPr>
      <w:tblGrid>
        <w:gridCol w:w="5018"/>
        <w:gridCol w:w="5018"/>
      </w:tblGrid>
      <w:tr>
        <w:trPr>
          <w:tblHeader w:val="true"/>
          <w:tblHeader w:val="true"/>
        </w:trPr>
        <w:tc>
          <w:tcPr>
            <w:tcW w:type="dxa" w:w="2520"/>
            <w:shd w:fill="123447"/>
            <w:vAlign w:val="center"/>
            <w:tcMar>
              <w:top w:w="70" w:type="dxa"/>
              <w:start w:w="90" w:type="dxa"/>
              <w:bottom w:w="70" w:type="dxa"/>
              <w:end w:w="90" w:type="dxa"/>
            </w:tcMar>
          </w:tcPr>
          <w:p>
            <w:pPr>
              <w:spacing w:after="0" w:before="0" w:line="240" w:lineRule="auto"/>
              <w:jc w:val="left"/>
            </w:pPr>
            <w:r>
              <w:rPr>
                <w:rFonts w:ascii="Lato" w:hAnsi="Lato"/>
                <w:b/>
                <w:color w:val="FFFFFF"/>
                <w:sz w:val="16"/>
              </w:rPr>
              <w:t>Finding</w:t>
            </w:r>
          </w:p>
        </w:tc>
        <w:tc>
          <w:tcPr>
            <w:tcW w:type="dxa" w:w="6984"/>
            <w:shd w:fill="123447"/>
            <w:vAlign w:val="center"/>
            <w:tcMar>
              <w:top w:w="70" w:type="dxa"/>
              <w:start w:w="90" w:type="dxa"/>
              <w:bottom w:w="70" w:type="dxa"/>
              <w:end w:w="90" w:type="dxa"/>
            </w:tcMar>
          </w:tcPr>
          <w:p>
            <w:pPr>
              <w:spacing w:after="0" w:before="0" w:line="240" w:lineRule="auto"/>
            </w:pPr>
            <w:r>
              <w:rPr>
                <w:rFonts w:ascii="Lato" w:hAnsi="Lato"/>
                <w:b/>
                <w:color w:val="FFFFFF"/>
                <w:sz w:val="16"/>
              </w:rPr>
              <w:t>Final v4.0 decision</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Role flow coverage</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Added a complete workflow chart, entry condition, actions, handoff and exit condition for every role, including an optional Inventory &amp; Vehicle Allocation Executive.</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Inventory gap</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Added basic vehicle inventory, VIN/engine tracking, demo stock, reservation expiry, allocation, transfer and PDI handoff to the MVP.</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Workflow clarity</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Separated sales relationship ownership, operational process ownership and conversation ownership; added explicit handoff gates.</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UI component rule</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Locked the web app to shadcn/ui only and pinned Base UI for a new project. Custom screens compose project-owned shadcn code; no Material UI, Ant Design, Chakra or Bootstrap.</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React Native exception</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shadcn/ui is web component code and cannot be used directly in React Native. Mobile uses project-owned native primitives with the same design tokens and no third-party full UI kit.</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Google Play</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Production plan targets Android 16/API 36 for submissions on or after August 31, 2026; permission and foreground-service review is mandatory.</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Location tracking</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Tracking is user-started, job-bound and visibly active. No off-duty tracking. Background-location permission is excluded unless a validated device test proves it is necessary and Play review is approved.</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Google Business Profile</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Removed universal hard-coded quota assumptions. The client connection reads actual project quotas; quota 0 triggers access request. Pub/Sub is supported with reconciliation.</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WhatsApp</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Kept client-owned WABA and Cloud API. Multi-client scale uses the Tech Provider/Embedded Signup path. Pricing is not hard-coded because Meta charges and categories change.</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Indian compliance</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Added DPDP Rules 2025 rollout readiness, consent/rights/incident controls and a launch-time TRAI/DLT legal review. Draft 2026 telecom amendments are not treated as final law.</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Automation scope</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MVP includes fixed SLA, reminder, notification and outbox automations. A visual no-code automation builder remains Phase 2.</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Service scope</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MVP creates customer-vehicle and reminder plans; full service-centre/job-card operations remain Phase 2.</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State-machine precision</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Added allowed transition matrices for Lead, Test Ride, Inventory, Booking/Payment, Delivery and Registration/RC, including actor, evidence, side effects and invalid-transition behavior.</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Implementation data contract</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Added a logical ERD, implementation-level data dictionary, required tenant keys, uniqueness constraints, indexing rules, PII classification and retention behavior.</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API consistency</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Added API versioning, error envelope, cursor pagination, idempotency, optimistic concurrency, webhook contracts, deprecation and provider-adapter compliance rules.</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Screen completeness</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Added web/mobile screen inventory, role navigation, shared loading/empty/error/offline states, shadcn component mapping, accessibility and localization requirements.</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Client onboarding</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Added controlled discovery, import mapping, dry run, validation, provider setup, cutover, reconciliation, rollback and hypercare workflow.</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Analytics truth</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Added KPI definitions and formulas so dashboards use one source of truth and never invent campaign ROI or combine incompatible lifecycle denominators.</w:t>
            </w:r>
          </w:p>
        </w:tc>
      </w:tr>
      <w:tr>
        <w:tc>
          <w:tcPr>
            <w:tcW w:type="dxa" w:w="2520"/>
            <w:vAlign w:val="center"/>
            <w:tcMar>
              <w:top w:w="70" w:type="dxa"/>
              <w:start w:w="90" w:type="dxa"/>
              <w:bottom w:w="70" w:type="dxa"/>
              <w:end w:w="90" w:type="dxa"/>
            </w:tcMar>
          </w:tcPr>
          <w:p>
            <w:pPr>
              <w:spacing w:after="0" w:before="0" w:line="240" w:lineRule="auto"/>
            </w:pPr>
            <w:r>
              <w:rPr>
                <w:rFonts w:ascii="Lato" w:hAnsi="Lato"/>
                <w:b w:val="0"/>
                <w:color w:val="123447"/>
                <w:sz w:val="16"/>
              </w:rPr>
              <w:t>Operational readiness</w:t>
            </w:r>
          </w:p>
        </w:tc>
        <w:tc>
          <w:tcPr>
            <w:tcW w:type="dxa" w:w="6984"/>
            <w:vAlign w:val="center"/>
            <w:tcMar>
              <w:top w:w="70" w:type="dxa"/>
              <w:start w:w="90" w:type="dxa"/>
              <w:bottom w:w="70" w:type="dxa"/>
              <w:end w:w="90" w:type="dxa"/>
            </w:tcMar>
          </w:tcPr>
          <w:p>
            <w:pPr>
              <w:spacing w:after="0" w:before="0" w:line="240" w:lineRule="auto"/>
            </w:pPr>
            <w:r>
              <w:rPr>
                <w:rFonts w:ascii="Lato" w:hAnsi="Lato"/>
                <w:b w:val="0"/>
                <w:color w:val="123447"/>
                <w:sz w:val="16"/>
              </w:rPr>
              <w:t>Added severity model, incident process, threat controls, restore targets, lost-device handling, provider outage runbooks and support ownership.</w:t>
            </w:r>
          </w:p>
        </w:tc>
      </w:tr>
      <w:tr>
        <w:tc>
          <w:tcPr>
            <w:tcW w:type="dxa" w:w="2520"/>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Traceability and sign-off</w:t>
            </w:r>
          </w:p>
        </w:tc>
        <w:tc>
          <w:tcPr>
            <w:tcW w:type="dxa" w:w="698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Added goal-to-epic traceability, RACI, realistic one-developer delivery range and formal product/engineering/operations/client approval gates.</w:t>
            </w:r>
          </w:p>
        </w:tc>
      </w:tr>
    </w:tbl>
    <w:p>
      <w:pPr>
        <w:spacing w:after="0"/>
      </w:pPr>
    </w:p>
    <w:p>
      <w:r>
        <w:br w:type="page"/>
      </w:r>
    </w:p>
    <w:p>
      <w:pPr>
        <w:pStyle w:val="Heading1"/>
        <w:keepNext/>
      </w:pPr>
      <w:r>
        <w:t>1. Executive Decision and Product Boundaries</w:t>
      </w:r>
    </w:p>
    <w:p>
      <w:pPr>
        <w:pStyle w:val="Heading2"/>
        <w:keepNext/>
      </w:pPr>
      <w:r>
        <w:t>1.1 Locked architecture</w:t>
      </w:r>
    </w:p>
    <w:p>
      <w:pPr>
        <w:pStyle w:val="ListBullet"/>
        <w:spacing w:after="40"/>
      </w:pPr>
      <w:r>
        <w:t>Build a Next.js web dashboard, a NestJS modular-monolith API plus BullMQ worker, and an Android-first React Native/Expo application.</w:t>
      </w:r>
    </w:p>
    <w:p>
      <w:pPr>
        <w:pStyle w:val="ListBullet"/>
        <w:spacing w:after="40"/>
      </w:pPr>
      <w:r>
        <w:t>Use provider-neutral adapters for telephony, WhatsApp, Meta lead ads, Google Ads lead forms, Google Business Profile, email, SMS, maps and storage.</w:t>
      </w:r>
    </w:p>
    <w:p>
      <w:pPr>
        <w:pStyle w:val="ListBullet"/>
        <w:spacing w:after="40"/>
      </w:pPr>
      <w:r>
        <w:t>Each client dealership owns its connected provider accounts and customer communication consent unless a later reseller agreement is approved.</w:t>
      </w:r>
    </w:p>
    <w:p>
      <w:pPr>
        <w:pStyle w:val="ListBullet"/>
        <w:spacing w:after="40"/>
      </w:pPr>
      <w:r>
        <w:t>Keep PostgreSQL as the source of truth. Redis accelerates queues, locks, rate limits and cache but must never be required to preserve business state.</w:t>
      </w:r>
    </w:p>
    <w:p>
      <w:pPr>
        <w:pStyle w:val="ListBullet"/>
        <w:spacing w:after="40"/>
      </w:pPr>
      <w:r>
        <w:t>Use an event/outbox pattern for lead assignment, notifications, provider calls, status history, audit and retries.</w:t>
      </w:r>
    </w:p>
    <w:p>
      <w:pPr>
        <w:pStyle w:val="ListBullet"/>
        <w:spacing w:after="40"/>
      </w:pPr>
      <w:r>
        <w:t>Preserve a controlled migration path from Vercel/Render/Supabase/Upstash/Tigris to AWS without changing domain contracts.</w:t>
      </w:r>
    </w:p>
    <w:p>
      <w:pPr>
        <w:pStyle w:val="Heading2"/>
        <w:keepNext/>
      </w:pPr>
      <w:r>
        <w:t>1.2 MVP includes</w:t>
      </w:r>
    </w:p>
    <w:p>
      <w:pPr>
        <w:pStyle w:val="ListBullet"/>
        <w:spacing w:after="40"/>
      </w:pPr>
      <w:r>
        <w:t>Client, branch, department, team, user, role and permission management.</w:t>
      </w:r>
    </w:p>
    <w:p>
      <w:pPr>
        <w:pStyle w:val="ListBullet"/>
        <w:spacing w:after="40"/>
      </w:pPr>
      <w:r>
        <w:t>Lead capture from META, WHATSAPP_AD, GOOGLE_ADS, WEBSITE, WALK_IN and OTHER; manual entry/import as creation methods.</w:t>
      </w:r>
    </w:p>
    <w:p>
      <w:pPr>
        <w:pStyle w:val="ListBullet"/>
        <w:spacing w:after="40"/>
      </w:pPr>
      <w:r>
        <w:t>Deduplication, assignment, first-response SLA, follow-ups, accepted/rejected/lost/reopened flow and append-only history.</w:t>
      </w:r>
    </w:p>
    <w:p>
      <w:pPr>
        <w:pStyle w:val="ListBullet"/>
        <w:spacing w:after="40"/>
      </w:pPr>
      <w:r>
        <w:t>Click-to-call/preview dialer, provider call logs and outcomes, WhatsApp inbox and continuous customer timeline.</w:t>
      </w:r>
    </w:p>
    <w:p>
      <w:pPr>
        <w:pStyle w:val="ListBullet"/>
        <w:spacing w:after="40"/>
      </w:pPr>
      <w:r>
        <w:t>Test-ride scheduling, demo-vehicle allocation, job-bound foreground location, checklist and feedback.</w:t>
      </w:r>
    </w:p>
    <w:p>
      <w:pPr>
        <w:pStyle w:val="ListBullet"/>
        <w:spacing w:after="40"/>
      </w:pPr>
      <w:r>
        <w:t>Basic vehicle catalog and inventory: VIN/chassis, engine, model/variant/colour, branch, status, reservation, allocation, transfer and demo stock.</w:t>
      </w:r>
    </w:p>
    <w:p>
      <w:pPr>
        <w:pStyle w:val="ListBullet"/>
        <w:spacing w:after="40"/>
      </w:pPr>
      <w:r>
        <w:t>Booking, discount approval reference, payment-status/finance/invoice/insurance tracking and secure document handling.</w:t>
      </w:r>
    </w:p>
    <w:p>
      <w:pPr>
        <w:pStyle w:val="ListBullet"/>
        <w:spacing w:after="40"/>
      </w:pPr>
      <w:r>
        <w:t>Delivery scheduling, PDI/readiness gate, active tracking, checklist, OTP/signature/photo and completion/delay proof.</w:t>
      </w:r>
    </w:p>
    <w:p>
      <w:pPr>
        <w:pStyle w:val="ListBullet"/>
        <w:spacing w:after="40"/>
      </w:pPr>
      <w:r>
        <w:t>Registration/RTO/RC tracking, secure RC sharing and aging/escalation.</w:t>
      </w:r>
    </w:p>
    <w:p>
      <w:pPr>
        <w:pStyle w:val="ListBullet"/>
        <w:spacing w:after="40"/>
      </w:pPr>
      <w:r>
        <w:t>Customer-owned vehicle profile and configurable service, insurance, PUC, warranty, AMC, exchange and upgrade reminders.</w:t>
      </w:r>
    </w:p>
    <w:p>
      <w:pPr>
        <w:pStyle w:val="ListBullet"/>
        <w:spacing w:after="40"/>
      </w:pPr>
      <w:r>
        <w:t>Operational dashboards, reports, exports, integration health, audit logs, backup/restore and pilot release approvals.</w:t>
      </w:r>
    </w:p>
    <w:p>
      <w:pPr>
        <w:pStyle w:val="Heading2"/>
        <w:keepNext/>
      </w:pPr>
      <w:r>
        <w:t>1.3 MVP excludes</w:t>
      </w:r>
    </w:p>
    <w:p>
      <w:pPr>
        <w:pStyle w:val="ListBullet"/>
        <w:spacing w:after="40"/>
      </w:pPr>
      <w:r>
        <w:t>Customer mobile application, public self-signup, subscription billing and commercial SaaS plans.</w:t>
      </w:r>
    </w:p>
    <w:p>
      <w:pPr>
        <w:pStyle w:val="ListBullet"/>
        <w:spacing w:after="40"/>
      </w:pPr>
      <w:r>
        <w:t>Payment gateway processing, dealership accounting ledger, loan origination, OEM DMS/ERP replacement and unauthorised RTO automation.</w:t>
      </w:r>
    </w:p>
    <w:p>
      <w:pPr>
        <w:pStyle w:val="ListBullet"/>
        <w:spacing w:after="40"/>
      </w:pPr>
      <w:r>
        <w:t>Predictive dialer, personal WhatsApp automation, universal SIM call recording, accessibility-based call capture and unsupported Android permissions.</w:t>
      </w:r>
    </w:p>
    <w:p>
      <w:pPr>
        <w:pStyle w:val="ListBullet"/>
        <w:spacing w:after="40"/>
      </w:pPr>
      <w:r>
        <w:t>Full service-centre job cards, technician/workshop scheduling, parts procurement and OEM warranty adjudication.</w:t>
      </w:r>
    </w:p>
    <w:p>
      <w:pPr>
        <w:pStyle w:val="ListBullet"/>
        <w:spacing w:after="40"/>
      </w:pPr>
      <w:r>
        <w:t>Visual workflow builder, visual automation builder, advanced custom report builder, AI voice agent, AI credit purchase and predictive lead scoring.</w:t>
      </w:r>
    </w:p>
    <w:p>
      <w:pPr>
        <w:spacing w:after="40"/>
        <w:jc w:val="center"/>
      </w:pPr>
      <w:r>
        <w:drawing>
          <wp:inline xmlns:a="http://schemas.openxmlformats.org/drawingml/2006/main" xmlns:pic="http://schemas.openxmlformats.org/drawingml/2006/picture">
            <wp:extent cx="5303520" cy="4611608"/>
            <wp:docPr id="1" name="Picture 1" descr="Figure 1. End-to-end customer lifecycle and primary process gates." title="Figure 1. End-to-end customer lifecycle and primary process gates."/>
            <wp:cNvGraphicFramePr>
              <a:graphicFrameLocks noChangeAspect="1"/>
            </wp:cNvGraphicFramePr>
            <a:graphic>
              <a:graphicData uri="http://schemas.openxmlformats.org/drawingml/2006/picture">
                <pic:pic>
                  <pic:nvPicPr>
                    <pic:cNvPr id="0" name="01_overall_lifecycle.png"/>
                    <pic:cNvPicPr/>
                  </pic:nvPicPr>
                  <pic:blipFill>
                    <a:blip r:embed="rId11"/>
                    <a:stretch>
                      <a:fillRect/>
                    </a:stretch>
                  </pic:blipFill>
                  <pic:spPr>
                    <a:xfrm>
                      <a:off x="0" y="0"/>
                      <a:ext cx="5303520" cy="4611608"/>
                    </a:xfrm>
                    <a:prstGeom prst="rect"/>
                  </pic:spPr>
                </pic:pic>
              </a:graphicData>
            </a:graphic>
          </wp:inline>
        </w:drawing>
      </w:r>
    </w:p>
    <w:p>
      <w:pPr>
        <w:pStyle w:val="Caption"/>
        <w:spacing w:after="160"/>
        <w:jc w:val="center"/>
      </w:pPr>
      <w:r>
        <w:t>Figure 1. End-to-end customer lifecycle and primary process gates.</w:t>
      </w:r>
    </w:p>
    <w:p>
      <w:pPr>
        <w:pStyle w:val="Heading1"/>
        <w:keepNext/>
      </w:pPr>
      <w:r>
        <w:t>2. Product Goals, Non-Goals and Terminology</w:t>
      </w:r>
    </w:p>
    <w:p>
      <w:pPr>
        <w:pStyle w:val="Heading2"/>
        <w:keepNext/>
      </w:pPr>
      <w:r>
        <w:t>2.1 Goals</w:t>
      </w:r>
    </w:p>
    <w:p>
      <w:pPr>
        <w:pStyle w:val="ListBullet"/>
        <w:spacing w:after="40"/>
      </w:pPr>
      <w:r>
        <w:t>Capture every authorised lead without losing attribution or creating unnecessary duplicate contacts.</w:t>
      </w:r>
    </w:p>
    <w:p>
      <w:pPr>
        <w:pStyle w:val="ListBullet"/>
        <w:spacing w:after="40"/>
      </w:pPr>
      <w:r>
        <w:t>Give the sales team one customer timeline across calls, official messaging, notes, tasks, test rides, bookings, delivery and RC events.</w:t>
      </w:r>
    </w:p>
    <w:p>
      <w:pPr>
        <w:pStyle w:val="ListBullet"/>
        <w:spacing w:after="40"/>
      </w:pPr>
      <w:r>
        <w:t>Give managers near-real-time operational visibility without continuous off-duty employee surveillance.</w:t>
      </w:r>
    </w:p>
    <w:p>
      <w:pPr>
        <w:pStyle w:val="ListBullet"/>
        <w:spacing w:after="40"/>
      </w:pPr>
      <w:r>
        <w:t>Prevent a vehicle from being promised twice through reservation, allocation and release controls.</w:t>
      </w:r>
    </w:p>
    <w:p>
      <w:pPr>
        <w:pStyle w:val="ListBullet"/>
        <w:spacing w:after="40"/>
      </w:pPr>
      <w:r>
        <w:t>Track commercial status without representing the CRM as an accounting, banking, insurance, government or RTO system.</w:t>
      </w:r>
    </w:p>
    <w:p>
      <w:pPr>
        <w:pStyle w:val="ListBullet"/>
        <w:spacing w:after="40"/>
      </w:pPr>
      <w:r>
        <w:t>Preserve source, owner, status and correction history for audit, reporting and dispute resolution.</w:t>
      </w:r>
    </w:p>
    <w:p>
      <w:pPr>
        <w:pStyle w:val="ListBullet"/>
        <w:spacing w:after="40"/>
      </w:pPr>
      <w:r>
        <w:t>Launch on low-cost managed infrastructure while meeting tenant-isolation, security, recovery and approval gates.</w:t>
      </w:r>
    </w:p>
    <w:p>
      <w:pPr>
        <w:pStyle w:val="Heading2"/>
        <w:keepNext/>
      </w:pPr>
      <w:r>
        <w:t>2.2 Core terminology</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232"/>
            <w:shd w:fill="123447"/>
            <w:vAlign w:val="center"/>
            <w:tcMar>
              <w:top w:w="70" w:type="dxa"/>
              <w:start w:w="80" w:type="dxa"/>
              <w:bottom w:w="70" w:type="dxa"/>
              <w:end w:w="80" w:type="dxa"/>
            </w:tcMar>
          </w:tcPr>
          <w:p>
            <w:pPr>
              <w:jc w:val="left"/>
            </w:pPr>
            <w:r>
              <w:rPr>
                <w:b/>
                <w:color w:val="FFFFFF"/>
                <w:sz w:val="17"/>
              </w:rPr>
              <w:t>Term</w:t>
            </w:r>
          </w:p>
        </w:tc>
        <w:tc>
          <w:tcPr>
            <w:tcW w:type="dxa" w:w="7416"/>
            <w:shd w:fill="123447"/>
            <w:vAlign w:val="center"/>
            <w:tcMar>
              <w:top w:w="70" w:type="dxa"/>
              <w:start w:w="80" w:type="dxa"/>
              <w:bottom w:w="70" w:type="dxa"/>
              <w:end w:w="80" w:type="dxa"/>
            </w:tcMar>
          </w:tcPr>
          <w:p>
            <w:pPr>
              <w:jc w:val="left"/>
            </w:pPr>
            <w:r>
              <w:rPr>
                <w:b/>
                <w:color w:val="FFFFFF"/>
                <w:sz w:val="17"/>
              </w:rPr>
              <w:t>Definition</w:t>
            </w:r>
          </w:p>
        </w:tc>
      </w:tr>
      <w:tr>
        <w:tc>
          <w:tcPr>
            <w:tcW w:type="dxa" w:w="2232"/>
            <w:vAlign w:val="top"/>
            <w:tcMar>
              <w:top w:w="70" w:type="dxa"/>
              <w:start w:w="80" w:type="dxa"/>
              <w:bottom w:w="70" w:type="dxa"/>
              <w:end w:w="80" w:type="dxa"/>
            </w:tcMar>
          </w:tcPr>
          <w:p>
            <w:pPr>
              <w:spacing w:after="0" w:before="0"/>
            </w:pPr>
            <w:r>
              <w:rPr>
                <w:b/>
                <w:sz w:val="17"/>
              </w:rPr>
              <w:t>Contact</w:t>
            </w:r>
          </w:p>
        </w:tc>
        <w:tc>
          <w:tcPr>
            <w:tcW w:type="dxa" w:w="7416"/>
            <w:vAlign w:val="top"/>
            <w:tcMar>
              <w:top w:w="70" w:type="dxa"/>
              <w:start w:w="80" w:type="dxa"/>
              <w:bottom w:w="70" w:type="dxa"/>
              <w:end w:w="80" w:type="dxa"/>
            </w:tcMar>
          </w:tcPr>
          <w:p>
            <w:pPr>
              <w:spacing w:after="0" w:before="0"/>
            </w:pPr>
            <w:r>
              <w:rPr>
                <w:sz w:val="17"/>
              </w:rPr>
              <w:t>Canonical person record inside one client organization. A contact may have multiple opportunities over time.</w:t>
            </w:r>
          </w:p>
        </w:tc>
      </w:tr>
      <w:tr>
        <w:tc>
          <w:tcPr>
            <w:tcW w:type="dxa" w:w="2232"/>
            <w:vAlign w:val="top"/>
            <w:tcMar>
              <w:top w:w="70" w:type="dxa"/>
              <w:start w:w="80" w:type="dxa"/>
              <w:bottom w:w="70" w:type="dxa"/>
              <w:end w:w="80" w:type="dxa"/>
            </w:tcMar>
            <w:shd w:fill="F4F6F8"/>
          </w:tcPr>
          <w:p>
            <w:pPr>
              <w:spacing w:after="0" w:before="0"/>
            </w:pPr>
            <w:r>
              <w:rPr>
                <w:b/>
                <w:sz w:val="17"/>
              </w:rPr>
              <w:t>Lead / Opportunity</w:t>
            </w:r>
          </w:p>
        </w:tc>
        <w:tc>
          <w:tcPr>
            <w:tcW w:type="dxa" w:w="7416"/>
            <w:vAlign w:val="top"/>
            <w:tcMar>
              <w:top w:w="70" w:type="dxa"/>
              <w:start w:w="80" w:type="dxa"/>
              <w:bottom w:w="70" w:type="dxa"/>
              <w:end w:w="80" w:type="dxa"/>
            </w:tcMar>
            <w:shd w:fill="F4F6F8"/>
          </w:tcPr>
          <w:p>
            <w:pPr>
              <w:spacing w:after="0" w:before="0"/>
            </w:pPr>
            <w:r>
              <w:rPr>
                <w:sz w:val="17"/>
              </w:rPr>
              <w:t>A specific enquiry linked to source, campaign, branch, vehicle interest, stage and owner.</w:t>
            </w:r>
          </w:p>
        </w:tc>
      </w:tr>
      <w:tr>
        <w:tc>
          <w:tcPr>
            <w:tcW w:type="dxa" w:w="2232"/>
            <w:vAlign w:val="top"/>
            <w:tcMar>
              <w:top w:w="70" w:type="dxa"/>
              <w:start w:w="80" w:type="dxa"/>
              <w:bottom w:w="70" w:type="dxa"/>
              <w:end w:w="80" w:type="dxa"/>
            </w:tcMar>
          </w:tcPr>
          <w:p>
            <w:pPr>
              <w:spacing w:after="0" w:before="0"/>
            </w:pPr>
            <w:r>
              <w:rPr>
                <w:b/>
                <w:sz w:val="17"/>
              </w:rPr>
              <w:t>Rejected</w:t>
            </w:r>
          </w:p>
        </w:tc>
        <w:tc>
          <w:tcPr>
            <w:tcW w:type="dxa" w:w="7416"/>
            <w:vAlign w:val="top"/>
            <w:tcMar>
              <w:top w:w="70" w:type="dxa"/>
              <w:start w:w="80" w:type="dxa"/>
              <w:bottom w:w="70" w:type="dxa"/>
              <w:end w:w="80" w:type="dxa"/>
            </w:tcMar>
          </w:tcPr>
          <w:p>
            <w:pPr>
              <w:spacing w:after="0" w:before="0"/>
            </w:pPr>
            <w:r>
              <w:rPr>
                <w:sz w:val="17"/>
              </w:rPr>
              <w:t>Invalid, duplicate, spam or out-of-scope initial enquiry; retained and inactive.</w:t>
            </w:r>
          </w:p>
        </w:tc>
      </w:tr>
      <w:tr>
        <w:tc>
          <w:tcPr>
            <w:tcW w:type="dxa" w:w="2232"/>
            <w:vAlign w:val="top"/>
            <w:tcMar>
              <w:top w:w="70" w:type="dxa"/>
              <w:start w:w="80" w:type="dxa"/>
              <w:bottom w:w="70" w:type="dxa"/>
              <w:end w:w="80" w:type="dxa"/>
            </w:tcMar>
            <w:shd w:fill="F4F6F8"/>
          </w:tcPr>
          <w:p>
            <w:pPr>
              <w:spacing w:after="0" w:before="0"/>
            </w:pPr>
            <w:r>
              <w:rPr>
                <w:b/>
                <w:sz w:val="17"/>
              </w:rPr>
              <w:t>Lost</w:t>
            </w:r>
          </w:p>
        </w:tc>
        <w:tc>
          <w:tcPr>
            <w:tcW w:type="dxa" w:w="7416"/>
            <w:vAlign w:val="top"/>
            <w:tcMar>
              <w:top w:w="70" w:type="dxa"/>
              <w:start w:w="80" w:type="dxa"/>
              <w:bottom w:w="70" w:type="dxa"/>
              <w:end w:w="80" w:type="dxa"/>
            </w:tcMar>
            <w:shd w:fill="F4F6F8"/>
          </w:tcPr>
          <w:p>
            <w:pPr>
              <w:spacing w:after="0" w:before="0"/>
            </w:pPr>
            <w:r>
              <w:rPr>
                <w:sz w:val="17"/>
              </w:rPr>
              <w:t>An accepted opportunity that exits the active sales process later.</w:t>
            </w:r>
          </w:p>
        </w:tc>
      </w:tr>
      <w:tr>
        <w:tc>
          <w:tcPr>
            <w:tcW w:type="dxa" w:w="2232"/>
            <w:vAlign w:val="top"/>
            <w:tcMar>
              <w:top w:w="70" w:type="dxa"/>
              <w:start w:w="80" w:type="dxa"/>
              <w:bottom w:w="70" w:type="dxa"/>
              <w:end w:w="80" w:type="dxa"/>
            </w:tcMar>
          </w:tcPr>
          <w:p>
            <w:pPr>
              <w:spacing w:after="0" w:before="0"/>
            </w:pPr>
            <w:r>
              <w:rPr>
                <w:b/>
                <w:sz w:val="17"/>
              </w:rPr>
              <w:t>Relationship Owner</w:t>
            </w:r>
          </w:p>
        </w:tc>
        <w:tc>
          <w:tcPr>
            <w:tcW w:type="dxa" w:w="7416"/>
            <w:vAlign w:val="top"/>
            <w:tcMar>
              <w:top w:w="70" w:type="dxa"/>
              <w:start w:w="80" w:type="dxa"/>
              <w:bottom w:w="70" w:type="dxa"/>
              <w:end w:w="80" w:type="dxa"/>
            </w:tcMar>
          </w:tcPr>
          <w:p>
            <w:pPr>
              <w:spacing w:after="0" w:before="0"/>
            </w:pPr>
            <w:r>
              <w:rPr>
                <w:sz w:val="17"/>
              </w:rPr>
              <w:t>Salesperson credited with and responsible for the long-term customer relationship.</w:t>
            </w:r>
          </w:p>
        </w:tc>
      </w:tr>
      <w:tr>
        <w:tc>
          <w:tcPr>
            <w:tcW w:type="dxa" w:w="2232"/>
            <w:vAlign w:val="top"/>
            <w:tcMar>
              <w:top w:w="70" w:type="dxa"/>
              <w:start w:w="80" w:type="dxa"/>
              <w:bottom w:w="70" w:type="dxa"/>
              <w:end w:w="80" w:type="dxa"/>
            </w:tcMar>
            <w:shd w:fill="F4F6F8"/>
          </w:tcPr>
          <w:p>
            <w:pPr>
              <w:spacing w:after="0" w:before="0"/>
            </w:pPr>
            <w:r>
              <w:rPr>
                <w:b/>
                <w:sz w:val="17"/>
              </w:rPr>
              <w:t>Current Process Owner</w:t>
            </w:r>
          </w:p>
        </w:tc>
        <w:tc>
          <w:tcPr>
            <w:tcW w:type="dxa" w:w="7416"/>
            <w:vAlign w:val="top"/>
            <w:tcMar>
              <w:top w:w="70" w:type="dxa"/>
              <w:start w:w="80" w:type="dxa"/>
              <w:bottom w:w="70" w:type="dxa"/>
              <w:end w:w="80" w:type="dxa"/>
            </w:tcMar>
            <w:shd w:fill="F4F6F8"/>
          </w:tcPr>
          <w:p>
            <w:pPr>
              <w:spacing w:after="0" w:before="0"/>
            </w:pPr>
            <w:r>
              <w:rPr>
                <w:sz w:val="17"/>
              </w:rPr>
              <w:t>Employee responsible for the active operational work such as test ride, billing, delivery or RC.</w:t>
            </w:r>
          </w:p>
        </w:tc>
      </w:tr>
      <w:tr>
        <w:tc>
          <w:tcPr>
            <w:tcW w:type="dxa" w:w="2232"/>
            <w:vAlign w:val="top"/>
            <w:tcMar>
              <w:top w:w="70" w:type="dxa"/>
              <w:start w:w="80" w:type="dxa"/>
              <w:bottom w:w="70" w:type="dxa"/>
              <w:end w:w="80" w:type="dxa"/>
            </w:tcMar>
          </w:tcPr>
          <w:p>
            <w:pPr>
              <w:spacing w:after="0" w:before="0"/>
            </w:pPr>
            <w:r>
              <w:rPr>
                <w:b/>
                <w:sz w:val="17"/>
              </w:rPr>
              <w:t>Conversation Owner</w:t>
            </w:r>
          </w:p>
        </w:tc>
        <w:tc>
          <w:tcPr>
            <w:tcW w:type="dxa" w:w="7416"/>
            <w:vAlign w:val="top"/>
            <w:tcMar>
              <w:top w:w="70" w:type="dxa"/>
              <w:start w:w="80" w:type="dxa"/>
              <w:bottom w:w="70" w:type="dxa"/>
              <w:end w:w="80" w:type="dxa"/>
            </w:tcMar>
          </w:tcPr>
          <w:p>
            <w:pPr>
              <w:spacing w:after="0" w:before="0"/>
            </w:pPr>
            <w:r>
              <w:rPr>
                <w:sz w:val="17"/>
              </w:rPr>
              <w:t>Person or queue responsible for customer replies in the unified inbox.</w:t>
            </w:r>
          </w:p>
        </w:tc>
      </w:tr>
      <w:tr>
        <w:tc>
          <w:tcPr>
            <w:tcW w:type="dxa" w:w="2232"/>
            <w:vAlign w:val="top"/>
            <w:tcMar>
              <w:top w:w="70" w:type="dxa"/>
              <w:start w:w="80" w:type="dxa"/>
              <w:bottom w:w="70" w:type="dxa"/>
              <w:end w:w="80" w:type="dxa"/>
            </w:tcMar>
            <w:shd w:fill="F4F6F8"/>
          </w:tcPr>
          <w:p>
            <w:pPr>
              <w:spacing w:after="0" w:before="0"/>
            </w:pPr>
            <w:r>
              <w:rPr>
                <w:b/>
                <w:sz w:val="17"/>
              </w:rPr>
              <w:t>Reservation</w:t>
            </w:r>
          </w:p>
        </w:tc>
        <w:tc>
          <w:tcPr>
            <w:tcW w:type="dxa" w:w="7416"/>
            <w:vAlign w:val="top"/>
            <w:tcMar>
              <w:top w:w="70" w:type="dxa"/>
              <w:start w:w="80" w:type="dxa"/>
              <w:bottom w:w="70" w:type="dxa"/>
              <w:end w:w="80" w:type="dxa"/>
            </w:tcMar>
            <w:shd w:fill="F4F6F8"/>
          </w:tcPr>
          <w:p>
            <w:pPr>
              <w:spacing w:after="0" w:before="0"/>
            </w:pPr>
            <w:r>
              <w:rPr>
                <w:sz w:val="17"/>
              </w:rPr>
              <w:t>Temporary hold on an inventory unit with expiry and booking/reference context.</w:t>
            </w:r>
          </w:p>
        </w:tc>
      </w:tr>
      <w:tr>
        <w:tc>
          <w:tcPr>
            <w:tcW w:type="dxa" w:w="2232"/>
            <w:vAlign w:val="top"/>
            <w:tcMar>
              <w:top w:w="70" w:type="dxa"/>
              <w:start w:w="80" w:type="dxa"/>
              <w:bottom w:w="70" w:type="dxa"/>
              <w:end w:w="80" w:type="dxa"/>
            </w:tcMar>
          </w:tcPr>
          <w:p>
            <w:pPr>
              <w:spacing w:after="0" w:before="0"/>
            </w:pPr>
            <w:r>
              <w:rPr>
                <w:b/>
                <w:sz w:val="17"/>
              </w:rPr>
              <w:t>Allocation</w:t>
            </w:r>
          </w:p>
        </w:tc>
        <w:tc>
          <w:tcPr>
            <w:tcW w:type="dxa" w:w="7416"/>
            <w:vAlign w:val="top"/>
            <w:tcMar>
              <w:top w:w="70" w:type="dxa"/>
              <w:start w:w="80" w:type="dxa"/>
              <w:bottom w:w="70" w:type="dxa"/>
              <w:end w:w="80" w:type="dxa"/>
            </w:tcMar>
          </w:tcPr>
          <w:p>
            <w:pPr>
              <w:spacing w:after="0" w:before="0"/>
            </w:pPr>
            <w:r>
              <w:rPr>
                <w:sz w:val="17"/>
              </w:rPr>
              <w:t>Binding association between a specific vehicle/VIN and a confirmed booking, subject to authorised release.</w:t>
            </w:r>
          </w:p>
        </w:tc>
      </w:tr>
      <w:tr>
        <w:tc>
          <w:tcPr>
            <w:tcW w:type="dxa" w:w="2232"/>
            <w:vAlign w:val="top"/>
            <w:tcMar>
              <w:top w:w="70" w:type="dxa"/>
              <w:start w:w="80" w:type="dxa"/>
              <w:bottom w:w="70" w:type="dxa"/>
              <w:end w:w="80" w:type="dxa"/>
            </w:tcMar>
            <w:shd w:fill="F4F6F8"/>
          </w:tcPr>
          <w:p>
            <w:pPr>
              <w:spacing w:after="0" w:before="0"/>
            </w:pPr>
            <w:r>
              <w:rPr>
                <w:b/>
                <w:sz w:val="17"/>
              </w:rPr>
              <w:t>Tenant</w:t>
            </w:r>
          </w:p>
        </w:tc>
        <w:tc>
          <w:tcPr>
            <w:tcW w:type="dxa" w:w="7416"/>
            <w:vAlign w:val="top"/>
            <w:tcMar>
              <w:top w:w="70" w:type="dxa"/>
              <w:start w:w="80" w:type="dxa"/>
              <w:bottom w:w="70" w:type="dxa"/>
              <w:end w:w="80" w:type="dxa"/>
            </w:tcMar>
            <w:shd w:fill="F4F6F8"/>
          </w:tcPr>
          <w:p>
            <w:pPr>
              <w:spacing w:after="0" w:before="0"/>
            </w:pPr>
            <w:r>
              <w:rPr>
                <w:sz w:val="17"/>
              </w:rPr>
              <w:t>Client dealership boundary preventing cross-client data access.</w:t>
            </w:r>
          </w:p>
        </w:tc>
      </w:tr>
      <w:tr>
        <w:tc>
          <w:tcPr>
            <w:tcW w:type="dxa" w:w="2232"/>
            <w:vAlign w:val="top"/>
            <w:tcMar>
              <w:top w:w="70" w:type="dxa"/>
              <w:start w:w="80" w:type="dxa"/>
              <w:bottom w:w="70" w:type="dxa"/>
              <w:end w:w="80" w:type="dxa"/>
            </w:tcMar>
          </w:tcPr>
          <w:p>
            <w:pPr>
              <w:spacing w:after="0" w:before="0"/>
            </w:pPr>
            <w:r>
              <w:rPr>
                <w:b/>
                <w:sz w:val="17"/>
              </w:rPr>
              <w:t>Provider Adapter</w:t>
            </w:r>
          </w:p>
        </w:tc>
        <w:tc>
          <w:tcPr>
            <w:tcW w:type="dxa" w:w="7416"/>
            <w:vAlign w:val="top"/>
            <w:tcMar>
              <w:top w:w="70" w:type="dxa"/>
              <w:start w:w="80" w:type="dxa"/>
              <w:bottom w:w="70" w:type="dxa"/>
              <w:end w:w="80" w:type="dxa"/>
            </w:tcMar>
          </w:tcPr>
          <w:p>
            <w:pPr>
              <w:spacing w:after="0" w:before="0"/>
            </w:pPr>
            <w:r>
              <w:rPr>
                <w:sz w:val="17"/>
              </w:rPr>
              <w:t>Common domain interface that hides vendor-specific API and webhook behavior.</w:t>
            </w:r>
          </w:p>
        </w:tc>
      </w:tr>
      <w:tr>
        <w:tc>
          <w:tcPr>
            <w:tcW w:type="dxa" w:w="2232"/>
            <w:vAlign w:val="top"/>
            <w:tcMar>
              <w:top w:w="70" w:type="dxa"/>
              <w:start w:w="80" w:type="dxa"/>
              <w:bottom w:w="70" w:type="dxa"/>
              <w:end w:w="80" w:type="dxa"/>
            </w:tcMar>
            <w:shd w:fill="F4F6F8"/>
          </w:tcPr>
          <w:p>
            <w:pPr>
              <w:spacing w:after="0" w:before="0"/>
            </w:pPr>
            <w:r>
              <w:rPr>
                <w:b/>
                <w:sz w:val="17"/>
              </w:rPr>
              <w:t>Feature Flag</w:t>
            </w:r>
          </w:p>
        </w:tc>
        <w:tc>
          <w:tcPr>
            <w:tcW w:type="dxa" w:w="7416"/>
            <w:vAlign w:val="top"/>
            <w:tcMar>
              <w:top w:w="70" w:type="dxa"/>
              <w:start w:w="80" w:type="dxa"/>
              <w:bottom w:w="70" w:type="dxa"/>
              <w:end w:w="80" w:type="dxa"/>
            </w:tcMar>
            <w:shd w:fill="F4F6F8"/>
          </w:tcPr>
          <w:p>
            <w:pPr>
              <w:spacing w:after="0" w:before="0"/>
            </w:pPr>
            <w:r>
              <w:rPr>
                <w:sz w:val="17"/>
              </w:rPr>
              <w:t>Per-client switch controlling a module or integration without branching core code.</w:t>
            </w:r>
          </w:p>
        </w:tc>
      </w:tr>
    </w:tbl>
    <w:p>
      <w:pPr>
        <w:spacing w:after="0"/>
      </w:pPr>
    </w:p>
    <w:p>
      <w:pPr>
        <w:pStyle w:val="Heading1"/>
        <w:keepNext/>
      </w:pPr>
      <w:r>
        <w:t>3. Organization, Roles and Permission Model</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509"/>
        <w:gridCol w:w="2509"/>
        <w:gridCol w:w="2509"/>
        <w:gridCol w:w="2509"/>
      </w:tblGrid>
      <w:tr>
        <w:trPr>
          <w:tblHeader w:val="true"/>
        </w:trPr>
        <w:tc>
          <w:tcPr>
            <w:tcW w:type="dxa" w:w="2016"/>
            <w:shd w:fill="123447"/>
            <w:vAlign w:val="center"/>
            <w:tcMar>
              <w:top w:w="70" w:type="dxa"/>
              <w:start w:w="80" w:type="dxa"/>
              <w:bottom w:w="70" w:type="dxa"/>
              <w:end w:w="80" w:type="dxa"/>
            </w:tcMar>
          </w:tcPr>
          <w:p>
            <w:pPr>
              <w:jc w:val="left"/>
            </w:pPr>
            <w:r>
              <w:rPr>
                <w:b/>
                <w:color w:val="FFFFFF"/>
                <w:sz w:val="15"/>
              </w:rPr>
              <w:t>Role</w:t>
            </w:r>
          </w:p>
        </w:tc>
        <w:tc>
          <w:tcPr>
            <w:tcW w:type="dxa" w:w="1008"/>
            <w:shd w:fill="123447"/>
            <w:vAlign w:val="center"/>
            <w:tcMar>
              <w:top w:w="70" w:type="dxa"/>
              <w:start w:w="80" w:type="dxa"/>
              <w:bottom w:w="70" w:type="dxa"/>
              <w:end w:w="80" w:type="dxa"/>
            </w:tcMar>
          </w:tcPr>
          <w:p>
            <w:pPr>
              <w:jc w:val="left"/>
            </w:pPr>
            <w:r>
              <w:rPr>
                <w:b/>
                <w:color w:val="FFFFFF"/>
                <w:sz w:val="15"/>
              </w:rPr>
              <w:t>Application</w:t>
            </w:r>
          </w:p>
        </w:tc>
        <w:tc>
          <w:tcPr>
            <w:tcW w:type="dxa" w:w="1584"/>
            <w:shd w:fill="123447"/>
            <w:vAlign w:val="center"/>
            <w:tcMar>
              <w:top w:w="70" w:type="dxa"/>
              <w:start w:w="80" w:type="dxa"/>
              <w:bottom w:w="70" w:type="dxa"/>
              <w:end w:w="80" w:type="dxa"/>
            </w:tcMar>
          </w:tcPr>
          <w:p>
            <w:pPr>
              <w:jc w:val="left"/>
            </w:pPr>
            <w:r>
              <w:rPr>
                <w:b/>
                <w:color w:val="FFFFFF"/>
                <w:sz w:val="15"/>
              </w:rPr>
              <w:t>Scope</w:t>
            </w:r>
          </w:p>
        </w:tc>
        <w:tc>
          <w:tcPr>
            <w:tcW w:type="dxa" w:w="4680"/>
            <w:shd w:fill="123447"/>
            <w:vAlign w:val="center"/>
            <w:tcMar>
              <w:top w:w="70" w:type="dxa"/>
              <w:start w:w="80" w:type="dxa"/>
              <w:bottom w:w="70" w:type="dxa"/>
              <w:end w:w="80" w:type="dxa"/>
            </w:tcMar>
          </w:tcPr>
          <w:p>
            <w:pPr>
              <w:jc w:val="left"/>
            </w:pPr>
            <w:r>
              <w:rPr>
                <w:b/>
                <w:color w:val="FFFFFF"/>
                <w:sz w:val="15"/>
              </w:rPr>
              <w:t>Primary responsibility</w:t>
            </w:r>
          </w:p>
        </w:tc>
      </w:tr>
      <w:tr>
        <w:tc>
          <w:tcPr>
            <w:tcW w:type="dxa" w:w="2016"/>
            <w:vAlign w:val="top"/>
            <w:tcMar>
              <w:top w:w="70" w:type="dxa"/>
              <w:start w:w="80" w:type="dxa"/>
              <w:bottom w:w="70" w:type="dxa"/>
              <w:end w:w="80" w:type="dxa"/>
            </w:tcMar>
          </w:tcPr>
          <w:p>
            <w:pPr>
              <w:spacing w:after="0" w:before="0"/>
            </w:pPr>
            <w:r>
              <w:rPr>
                <w:b/>
                <w:sz w:val="15"/>
              </w:rPr>
              <w:t>Agency Admin / Super Admin</w:t>
            </w:r>
          </w:p>
        </w:tc>
        <w:tc>
          <w:tcPr>
            <w:tcW w:type="dxa" w:w="1008"/>
            <w:vAlign w:val="top"/>
            <w:tcMar>
              <w:top w:w="70" w:type="dxa"/>
              <w:start w:w="80" w:type="dxa"/>
              <w:bottom w:w="70" w:type="dxa"/>
              <w:end w:w="80" w:type="dxa"/>
            </w:tcMar>
          </w:tcPr>
          <w:p>
            <w:pPr>
              <w:spacing w:after="0" w:before="0"/>
            </w:pPr>
            <w:r>
              <w:rPr>
                <w:sz w:val="15"/>
              </w:rPr>
              <w:t>Web</w:t>
            </w:r>
          </w:p>
        </w:tc>
        <w:tc>
          <w:tcPr>
            <w:tcW w:type="dxa" w:w="1584"/>
            <w:vAlign w:val="top"/>
            <w:tcMar>
              <w:top w:w="70" w:type="dxa"/>
              <w:start w:w="80" w:type="dxa"/>
              <w:bottom w:w="70" w:type="dxa"/>
              <w:end w:w="80" w:type="dxa"/>
            </w:tcMar>
          </w:tcPr>
          <w:p>
            <w:pPr>
              <w:spacing w:after="0" w:before="0"/>
            </w:pPr>
            <w:r>
              <w:rPr>
                <w:sz w:val="15"/>
              </w:rPr>
              <w:t>All clients</w:t>
            </w:r>
          </w:p>
        </w:tc>
        <w:tc>
          <w:tcPr>
            <w:tcW w:type="dxa" w:w="4680"/>
            <w:vAlign w:val="top"/>
            <w:tcMar>
              <w:top w:w="70" w:type="dxa"/>
              <w:start w:w="80" w:type="dxa"/>
              <w:bottom w:w="70" w:type="dxa"/>
              <w:end w:w="80" w:type="dxa"/>
            </w:tcMar>
          </w:tcPr>
          <w:p>
            <w:pPr>
              <w:spacing w:after="0" w:before="0"/>
            </w:pPr>
            <w:r>
              <w:rPr>
                <w:sz w:val="15"/>
              </w:rPr>
              <w:t>Client lifecycle, global defaults, module flags, integration health, audited support and platform governance.</w:t>
            </w:r>
          </w:p>
        </w:tc>
      </w:tr>
      <w:tr>
        <w:tc>
          <w:tcPr>
            <w:tcW w:type="dxa" w:w="2016"/>
            <w:vAlign w:val="top"/>
            <w:tcMar>
              <w:top w:w="70" w:type="dxa"/>
              <w:start w:w="80" w:type="dxa"/>
              <w:bottom w:w="70" w:type="dxa"/>
              <w:end w:w="80" w:type="dxa"/>
            </w:tcMar>
            <w:shd w:fill="F4F6F8"/>
          </w:tcPr>
          <w:p>
            <w:pPr>
              <w:spacing w:after="0" w:before="0"/>
            </w:pPr>
            <w:r>
              <w:rPr>
                <w:b/>
                <w:sz w:val="15"/>
              </w:rPr>
              <w:t>Client Admin</w:t>
            </w:r>
          </w:p>
        </w:tc>
        <w:tc>
          <w:tcPr>
            <w:tcW w:type="dxa" w:w="1008"/>
            <w:vAlign w:val="top"/>
            <w:tcMar>
              <w:top w:w="70" w:type="dxa"/>
              <w:start w:w="80" w:type="dxa"/>
              <w:bottom w:w="70" w:type="dxa"/>
              <w:end w:w="80" w:type="dxa"/>
            </w:tcMar>
            <w:shd w:fill="F4F6F8"/>
          </w:tcPr>
          <w:p>
            <w:pPr>
              <w:spacing w:after="0" w:before="0"/>
            </w:pPr>
            <w:r>
              <w:rPr>
                <w:sz w:val="15"/>
              </w:rPr>
              <w:t>Web</w:t>
            </w:r>
          </w:p>
        </w:tc>
        <w:tc>
          <w:tcPr>
            <w:tcW w:type="dxa" w:w="1584"/>
            <w:vAlign w:val="top"/>
            <w:tcMar>
              <w:top w:w="70" w:type="dxa"/>
              <w:start w:w="80" w:type="dxa"/>
              <w:bottom w:w="70" w:type="dxa"/>
              <w:end w:w="80" w:type="dxa"/>
            </w:tcMar>
            <w:shd w:fill="F4F6F8"/>
          </w:tcPr>
          <w:p>
            <w:pPr>
              <w:spacing w:after="0" w:before="0"/>
            </w:pPr>
            <w:r>
              <w:rPr>
                <w:sz w:val="15"/>
              </w:rPr>
              <w:t>One client</w:t>
            </w:r>
          </w:p>
        </w:tc>
        <w:tc>
          <w:tcPr>
            <w:tcW w:type="dxa" w:w="4680"/>
            <w:vAlign w:val="top"/>
            <w:tcMar>
              <w:top w:w="70" w:type="dxa"/>
              <w:start w:w="80" w:type="dxa"/>
              <w:bottom w:w="70" w:type="dxa"/>
              <w:end w:w="80" w:type="dxa"/>
            </w:tcMar>
            <w:shd w:fill="F4F6F8"/>
          </w:tcPr>
          <w:p>
            <w:pPr>
              <w:spacing w:after="0" w:before="0"/>
            </w:pPr>
            <w:r>
              <w:rPr>
                <w:sz w:val="15"/>
              </w:rPr>
              <w:t>Branches, users, roles, settings, integrations, catalog, stock, retention, reports and onboarding approval.</w:t>
            </w:r>
          </w:p>
        </w:tc>
      </w:tr>
      <w:tr>
        <w:tc>
          <w:tcPr>
            <w:tcW w:type="dxa" w:w="2016"/>
            <w:vAlign w:val="top"/>
            <w:tcMar>
              <w:top w:w="70" w:type="dxa"/>
              <w:start w:w="80" w:type="dxa"/>
              <w:bottom w:w="70" w:type="dxa"/>
              <w:end w:w="80" w:type="dxa"/>
            </w:tcMar>
          </w:tcPr>
          <w:p>
            <w:pPr>
              <w:spacing w:after="0" w:before="0"/>
            </w:pPr>
            <w:r>
              <w:rPr>
                <w:b/>
                <w:sz w:val="15"/>
              </w:rPr>
              <w:t>Manager</w:t>
            </w:r>
          </w:p>
        </w:tc>
        <w:tc>
          <w:tcPr>
            <w:tcW w:type="dxa" w:w="1008"/>
            <w:vAlign w:val="top"/>
            <w:tcMar>
              <w:top w:w="70" w:type="dxa"/>
              <w:start w:w="80" w:type="dxa"/>
              <w:bottom w:w="70" w:type="dxa"/>
              <w:end w:w="80" w:type="dxa"/>
            </w:tcMar>
          </w:tcPr>
          <w:p>
            <w:pPr>
              <w:spacing w:after="0" w:before="0"/>
            </w:pPr>
            <w:r>
              <w:rPr>
                <w:sz w:val="15"/>
              </w:rPr>
              <w:t>Web</w:t>
            </w:r>
          </w:p>
        </w:tc>
        <w:tc>
          <w:tcPr>
            <w:tcW w:type="dxa" w:w="1584"/>
            <w:vAlign w:val="top"/>
            <w:tcMar>
              <w:top w:w="70" w:type="dxa"/>
              <w:start w:w="80" w:type="dxa"/>
              <w:bottom w:w="70" w:type="dxa"/>
              <w:end w:w="80" w:type="dxa"/>
            </w:tcMar>
          </w:tcPr>
          <w:p>
            <w:pPr>
              <w:spacing w:after="0" w:before="0"/>
            </w:pPr>
            <w:r>
              <w:rPr>
                <w:sz w:val="15"/>
              </w:rPr>
              <w:t>Client-wide</w:t>
            </w:r>
          </w:p>
        </w:tc>
        <w:tc>
          <w:tcPr>
            <w:tcW w:type="dxa" w:w="4680"/>
            <w:vAlign w:val="top"/>
            <w:tcMar>
              <w:top w:w="70" w:type="dxa"/>
              <w:start w:w="80" w:type="dxa"/>
              <w:bottom w:w="70" w:type="dxa"/>
              <w:end w:w="80" w:type="dxa"/>
            </w:tcMar>
          </w:tcPr>
          <w:p>
            <w:pPr>
              <w:spacing w:after="0" w:before="0"/>
            </w:pPr>
            <w:r>
              <w:rPr>
                <w:sz w:val="15"/>
              </w:rPr>
              <w:t>End-to-end funnel, exceptions, active-job map, stock/payment/RC aging, approvals and escalations.</w:t>
            </w:r>
          </w:p>
        </w:tc>
      </w:tr>
      <w:tr>
        <w:tc>
          <w:tcPr>
            <w:tcW w:type="dxa" w:w="2016"/>
            <w:vAlign w:val="top"/>
            <w:tcMar>
              <w:top w:w="70" w:type="dxa"/>
              <w:start w:w="80" w:type="dxa"/>
              <w:bottom w:w="70" w:type="dxa"/>
              <w:end w:w="80" w:type="dxa"/>
            </w:tcMar>
            <w:shd w:fill="F4F6F8"/>
          </w:tcPr>
          <w:p>
            <w:pPr>
              <w:spacing w:after="0" w:before="0"/>
            </w:pPr>
            <w:r>
              <w:rPr>
                <w:b/>
                <w:sz w:val="15"/>
              </w:rPr>
              <w:t>Sales Manager</w:t>
            </w:r>
          </w:p>
        </w:tc>
        <w:tc>
          <w:tcPr>
            <w:tcW w:type="dxa" w:w="1008"/>
            <w:vAlign w:val="top"/>
            <w:tcMar>
              <w:top w:w="70" w:type="dxa"/>
              <w:start w:w="80" w:type="dxa"/>
              <w:bottom w:w="70" w:type="dxa"/>
              <w:end w:w="80" w:type="dxa"/>
            </w:tcMar>
            <w:shd w:fill="F4F6F8"/>
          </w:tcPr>
          <w:p>
            <w:pPr>
              <w:spacing w:after="0" w:before="0"/>
            </w:pPr>
            <w:r>
              <w:rPr>
                <w:sz w:val="15"/>
              </w:rPr>
              <w:t>Web</w:t>
            </w:r>
          </w:p>
        </w:tc>
        <w:tc>
          <w:tcPr>
            <w:tcW w:type="dxa" w:w="1584"/>
            <w:vAlign w:val="top"/>
            <w:tcMar>
              <w:top w:w="70" w:type="dxa"/>
              <w:start w:w="80" w:type="dxa"/>
              <w:bottom w:w="70" w:type="dxa"/>
              <w:end w:w="80" w:type="dxa"/>
            </w:tcMar>
            <w:shd w:fill="F4F6F8"/>
          </w:tcPr>
          <w:p>
            <w:pPr>
              <w:spacing w:after="0" w:before="0"/>
            </w:pPr>
            <w:r>
              <w:rPr>
                <w:sz w:val="15"/>
              </w:rPr>
              <w:t>Assigned branches/teams</w:t>
            </w:r>
          </w:p>
        </w:tc>
        <w:tc>
          <w:tcPr>
            <w:tcW w:type="dxa" w:w="4680"/>
            <w:vAlign w:val="top"/>
            <w:tcMar>
              <w:top w:w="70" w:type="dxa"/>
              <w:start w:w="80" w:type="dxa"/>
              <w:bottom w:w="70" w:type="dxa"/>
              <w:end w:w="80" w:type="dxa"/>
            </w:tcMar>
            <w:shd w:fill="F4F6F8"/>
          </w:tcPr>
          <w:p>
            <w:pPr>
              <w:spacing w:after="0" w:before="0"/>
            </w:pPr>
            <w:r>
              <w:rPr>
                <w:sz w:val="15"/>
              </w:rPr>
              <w:t>Assignment, queues, SLA, coaching, discounts/booking exceptions, follow-ups and team reporting.</w:t>
            </w:r>
          </w:p>
        </w:tc>
      </w:tr>
      <w:tr>
        <w:tc>
          <w:tcPr>
            <w:tcW w:type="dxa" w:w="2016"/>
            <w:vAlign w:val="top"/>
            <w:tcMar>
              <w:top w:w="70" w:type="dxa"/>
              <w:start w:w="80" w:type="dxa"/>
              <w:bottom w:w="70" w:type="dxa"/>
              <w:end w:w="80" w:type="dxa"/>
            </w:tcMar>
          </w:tcPr>
          <w:p>
            <w:pPr>
              <w:spacing w:after="0" w:before="0"/>
            </w:pPr>
            <w:r>
              <w:rPr>
                <w:b/>
                <w:sz w:val="15"/>
              </w:rPr>
              <w:t>Telecaller – optional</w:t>
            </w:r>
          </w:p>
        </w:tc>
        <w:tc>
          <w:tcPr>
            <w:tcW w:type="dxa" w:w="1008"/>
            <w:vAlign w:val="top"/>
            <w:tcMar>
              <w:top w:w="70" w:type="dxa"/>
              <w:start w:w="80" w:type="dxa"/>
              <w:bottom w:w="70" w:type="dxa"/>
              <w:end w:w="80" w:type="dxa"/>
            </w:tcMar>
          </w:tcPr>
          <w:p>
            <w:pPr>
              <w:spacing w:after="0" w:before="0"/>
            </w:pPr>
            <w:r>
              <w:rPr>
                <w:sz w:val="15"/>
              </w:rPr>
              <w:t>Web</w:t>
            </w:r>
          </w:p>
        </w:tc>
        <w:tc>
          <w:tcPr>
            <w:tcW w:type="dxa" w:w="1584"/>
            <w:vAlign w:val="top"/>
            <w:tcMar>
              <w:top w:w="70" w:type="dxa"/>
              <w:start w:w="80" w:type="dxa"/>
              <w:bottom w:w="70" w:type="dxa"/>
              <w:end w:w="80" w:type="dxa"/>
            </w:tcMar>
          </w:tcPr>
          <w:p>
            <w:pPr>
              <w:spacing w:after="0" w:before="0"/>
            </w:pPr>
            <w:r>
              <w:rPr>
                <w:sz w:val="15"/>
              </w:rPr>
              <w:t>Assigned queues</w:t>
            </w:r>
          </w:p>
        </w:tc>
        <w:tc>
          <w:tcPr>
            <w:tcW w:type="dxa" w:w="4680"/>
            <w:vAlign w:val="top"/>
            <w:tcMar>
              <w:top w:w="70" w:type="dxa"/>
              <w:start w:w="80" w:type="dxa"/>
              <w:bottom w:w="70" w:type="dxa"/>
              <w:end w:w="80" w:type="dxa"/>
            </w:tcMar>
          </w:tcPr>
          <w:p>
            <w:pPr>
              <w:spacing w:after="0" w:before="0"/>
            </w:pPr>
            <w:r>
              <w:rPr>
                <w:sz w:val="15"/>
              </w:rPr>
              <w:t>First contact, preview dialer, qualification, rejection and handoff.</w:t>
            </w:r>
          </w:p>
        </w:tc>
      </w:tr>
      <w:tr>
        <w:tc>
          <w:tcPr>
            <w:tcW w:type="dxa" w:w="2016"/>
            <w:vAlign w:val="top"/>
            <w:tcMar>
              <w:top w:w="70" w:type="dxa"/>
              <w:start w:w="80" w:type="dxa"/>
              <w:bottom w:w="70" w:type="dxa"/>
              <w:end w:w="80" w:type="dxa"/>
            </w:tcMar>
            <w:shd w:fill="F4F6F8"/>
          </w:tcPr>
          <w:p>
            <w:pPr>
              <w:spacing w:after="0" w:before="0"/>
            </w:pPr>
            <w:r>
              <w:rPr>
                <w:b/>
                <w:sz w:val="15"/>
              </w:rPr>
              <w:t>Salesperson</w:t>
            </w:r>
          </w:p>
        </w:tc>
        <w:tc>
          <w:tcPr>
            <w:tcW w:type="dxa" w:w="1008"/>
            <w:vAlign w:val="top"/>
            <w:tcMar>
              <w:top w:w="70" w:type="dxa"/>
              <w:start w:w="80" w:type="dxa"/>
              <w:bottom w:w="70" w:type="dxa"/>
              <w:end w:w="80" w:type="dxa"/>
            </w:tcMar>
            <w:shd w:fill="F4F6F8"/>
          </w:tcPr>
          <w:p>
            <w:pPr>
              <w:spacing w:after="0" w:before="0"/>
            </w:pPr>
            <w:r>
              <w:rPr>
                <w:sz w:val="15"/>
              </w:rPr>
              <w:t>Android</w:t>
            </w:r>
          </w:p>
        </w:tc>
        <w:tc>
          <w:tcPr>
            <w:tcW w:type="dxa" w:w="1584"/>
            <w:vAlign w:val="top"/>
            <w:tcMar>
              <w:top w:w="70" w:type="dxa"/>
              <w:start w:w="80" w:type="dxa"/>
              <w:bottom w:w="70" w:type="dxa"/>
              <w:end w:w="80" w:type="dxa"/>
            </w:tcMar>
            <w:shd w:fill="F4F6F8"/>
          </w:tcPr>
          <w:p>
            <w:pPr>
              <w:spacing w:after="0" w:before="0"/>
            </w:pPr>
            <w:r>
              <w:rPr>
                <w:sz w:val="15"/>
              </w:rPr>
              <w:t>Assigned leads</w:t>
            </w:r>
          </w:p>
        </w:tc>
        <w:tc>
          <w:tcPr>
            <w:tcW w:type="dxa" w:w="4680"/>
            <w:vAlign w:val="top"/>
            <w:tcMar>
              <w:top w:w="70" w:type="dxa"/>
              <w:start w:w="80" w:type="dxa"/>
              <w:bottom w:w="70" w:type="dxa"/>
              <w:end w:w="80" w:type="dxa"/>
            </w:tcMar>
            <w:shd w:fill="F4F6F8"/>
          </w:tcPr>
          <w:p>
            <w:pPr>
              <w:spacing w:after="0" w:before="0"/>
            </w:pPr>
            <w:r>
              <w:rPr>
                <w:sz w:val="15"/>
              </w:rPr>
              <w:t>Calls/messages, qualification, visits, test rides, negotiation, booking request and relationship ownership.</w:t>
            </w:r>
          </w:p>
        </w:tc>
      </w:tr>
      <w:tr>
        <w:tc>
          <w:tcPr>
            <w:tcW w:type="dxa" w:w="2016"/>
            <w:vAlign w:val="top"/>
            <w:tcMar>
              <w:top w:w="70" w:type="dxa"/>
              <w:start w:w="80" w:type="dxa"/>
              <w:bottom w:w="70" w:type="dxa"/>
              <w:end w:w="80" w:type="dxa"/>
            </w:tcMar>
          </w:tcPr>
          <w:p>
            <w:pPr>
              <w:spacing w:after="0" w:before="0"/>
            </w:pPr>
            <w:r>
              <w:rPr>
                <w:b/>
                <w:sz w:val="15"/>
              </w:rPr>
              <w:t>Test Ride Executive</w:t>
            </w:r>
          </w:p>
        </w:tc>
        <w:tc>
          <w:tcPr>
            <w:tcW w:type="dxa" w:w="1008"/>
            <w:vAlign w:val="top"/>
            <w:tcMar>
              <w:top w:w="70" w:type="dxa"/>
              <w:start w:w="80" w:type="dxa"/>
              <w:bottom w:w="70" w:type="dxa"/>
              <w:end w:w="80" w:type="dxa"/>
            </w:tcMar>
          </w:tcPr>
          <w:p>
            <w:pPr>
              <w:spacing w:after="0" w:before="0"/>
            </w:pPr>
            <w:r>
              <w:rPr>
                <w:sz w:val="15"/>
              </w:rPr>
              <w:t>Android</w:t>
            </w:r>
          </w:p>
        </w:tc>
        <w:tc>
          <w:tcPr>
            <w:tcW w:type="dxa" w:w="1584"/>
            <w:vAlign w:val="top"/>
            <w:tcMar>
              <w:top w:w="70" w:type="dxa"/>
              <w:start w:w="80" w:type="dxa"/>
              <w:bottom w:w="70" w:type="dxa"/>
              <w:end w:w="80" w:type="dxa"/>
            </w:tcMar>
          </w:tcPr>
          <w:p>
            <w:pPr>
              <w:spacing w:after="0" w:before="0"/>
            </w:pPr>
            <w:r>
              <w:rPr>
                <w:sz w:val="15"/>
              </w:rPr>
              <w:t>Assigned rides</w:t>
            </w:r>
          </w:p>
        </w:tc>
        <w:tc>
          <w:tcPr>
            <w:tcW w:type="dxa" w:w="4680"/>
            <w:vAlign w:val="top"/>
            <w:tcMar>
              <w:top w:w="70" w:type="dxa"/>
              <w:start w:w="80" w:type="dxa"/>
              <w:bottom w:w="70" w:type="dxa"/>
              <w:end w:w="80" w:type="dxa"/>
            </w:tcMar>
          </w:tcPr>
          <w:p>
            <w:pPr>
              <w:spacing w:after="0" w:before="0"/>
            </w:pPr>
            <w:r>
              <w:rPr>
                <w:sz w:val="15"/>
              </w:rPr>
              <w:t>Demo vehicle, customer confirmation, active tracking, checklist, feedback and ride outcome.</w:t>
            </w:r>
          </w:p>
        </w:tc>
      </w:tr>
      <w:tr>
        <w:tc>
          <w:tcPr>
            <w:tcW w:type="dxa" w:w="2016"/>
            <w:vAlign w:val="top"/>
            <w:tcMar>
              <w:top w:w="70" w:type="dxa"/>
              <w:start w:w="80" w:type="dxa"/>
              <w:bottom w:w="70" w:type="dxa"/>
              <w:end w:w="80" w:type="dxa"/>
            </w:tcMar>
            <w:shd w:fill="F4F6F8"/>
          </w:tcPr>
          <w:p>
            <w:pPr>
              <w:spacing w:after="0" w:before="0"/>
            </w:pPr>
            <w:r>
              <w:rPr>
                <w:b/>
                <w:sz w:val="15"/>
              </w:rPr>
              <w:t>Inventory &amp; Vehicle Allocation Executive – optional</w:t>
            </w:r>
          </w:p>
        </w:tc>
        <w:tc>
          <w:tcPr>
            <w:tcW w:type="dxa" w:w="1008"/>
            <w:vAlign w:val="top"/>
            <w:tcMar>
              <w:top w:w="70" w:type="dxa"/>
              <w:start w:w="80" w:type="dxa"/>
              <w:bottom w:w="70" w:type="dxa"/>
              <w:end w:w="80" w:type="dxa"/>
            </w:tcMar>
            <w:shd w:fill="F4F6F8"/>
          </w:tcPr>
          <w:p>
            <w:pPr>
              <w:spacing w:after="0" w:before="0"/>
            </w:pPr>
            <w:r>
              <w:rPr>
                <w:sz w:val="15"/>
              </w:rPr>
              <w:t>Web</w:t>
            </w:r>
          </w:p>
        </w:tc>
        <w:tc>
          <w:tcPr>
            <w:tcW w:type="dxa" w:w="1584"/>
            <w:vAlign w:val="top"/>
            <w:tcMar>
              <w:top w:w="70" w:type="dxa"/>
              <w:start w:w="80" w:type="dxa"/>
              <w:bottom w:w="70" w:type="dxa"/>
              <w:end w:w="80" w:type="dxa"/>
            </w:tcMar>
            <w:shd w:fill="F4F6F8"/>
          </w:tcPr>
          <w:p>
            <w:pPr>
              <w:spacing w:after="0" w:before="0"/>
            </w:pPr>
            <w:r>
              <w:rPr>
                <w:sz w:val="15"/>
              </w:rPr>
              <w:t>Assigned branches</w:t>
            </w:r>
          </w:p>
        </w:tc>
        <w:tc>
          <w:tcPr>
            <w:tcW w:type="dxa" w:w="4680"/>
            <w:vAlign w:val="top"/>
            <w:tcMar>
              <w:top w:w="70" w:type="dxa"/>
              <w:start w:w="80" w:type="dxa"/>
              <w:bottom w:w="70" w:type="dxa"/>
              <w:end w:w="80" w:type="dxa"/>
            </w:tcMar>
            <w:shd w:fill="F4F6F8"/>
          </w:tcPr>
          <w:p>
            <w:pPr>
              <w:spacing w:after="0" w:before="0"/>
            </w:pPr>
            <w:r>
              <w:rPr>
                <w:sz w:val="15"/>
              </w:rPr>
              <w:t>Stock intake, VIN verification, reservation, allocation, transfer, block/release and PDI handoff.</w:t>
            </w:r>
          </w:p>
        </w:tc>
      </w:tr>
      <w:tr>
        <w:tc>
          <w:tcPr>
            <w:tcW w:type="dxa" w:w="2016"/>
            <w:vAlign w:val="top"/>
            <w:tcMar>
              <w:top w:w="70" w:type="dxa"/>
              <w:start w:w="80" w:type="dxa"/>
              <w:bottom w:w="70" w:type="dxa"/>
              <w:end w:w="80" w:type="dxa"/>
            </w:tcMar>
          </w:tcPr>
          <w:p>
            <w:pPr>
              <w:spacing w:after="0" w:before="0"/>
            </w:pPr>
            <w:r>
              <w:rPr>
                <w:b/>
                <w:sz w:val="15"/>
              </w:rPr>
              <w:t>Billing &amp; Documentation Executive</w:t>
            </w:r>
          </w:p>
        </w:tc>
        <w:tc>
          <w:tcPr>
            <w:tcW w:type="dxa" w:w="1008"/>
            <w:vAlign w:val="top"/>
            <w:tcMar>
              <w:top w:w="70" w:type="dxa"/>
              <w:start w:w="80" w:type="dxa"/>
              <w:bottom w:w="70" w:type="dxa"/>
              <w:end w:w="80" w:type="dxa"/>
            </w:tcMar>
          </w:tcPr>
          <w:p>
            <w:pPr>
              <w:spacing w:after="0" w:before="0"/>
            </w:pPr>
            <w:r>
              <w:rPr>
                <w:sz w:val="15"/>
              </w:rPr>
              <w:t>Web</w:t>
            </w:r>
          </w:p>
        </w:tc>
        <w:tc>
          <w:tcPr>
            <w:tcW w:type="dxa" w:w="1584"/>
            <w:vAlign w:val="top"/>
            <w:tcMar>
              <w:top w:w="70" w:type="dxa"/>
              <w:start w:w="80" w:type="dxa"/>
              <w:bottom w:w="70" w:type="dxa"/>
              <w:end w:w="80" w:type="dxa"/>
            </w:tcMar>
          </w:tcPr>
          <w:p>
            <w:pPr>
              <w:spacing w:after="0" w:before="0"/>
            </w:pPr>
            <w:r>
              <w:rPr>
                <w:sz w:val="15"/>
              </w:rPr>
              <w:t>Booked cases</w:t>
            </w:r>
          </w:p>
        </w:tc>
        <w:tc>
          <w:tcPr>
            <w:tcW w:type="dxa" w:w="4680"/>
            <w:vAlign w:val="top"/>
            <w:tcMar>
              <w:top w:w="70" w:type="dxa"/>
              <w:start w:w="80" w:type="dxa"/>
              <w:bottom w:w="70" w:type="dxa"/>
              <w:end w:w="80" w:type="dxa"/>
            </w:tcMar>
          </w:tcPr>
          <w:p>
            <w:pPr>
              <w:spacing w:after="0" w:before="0"/>
            </w:pPr>
            <w:r>
              <w:rPr>
                <w:sz w:val="15"/>
              </w:rPr>
              <w:t>Price/payment/finance/invoice/insurance/document verification and delivery readiness.</w:t>
            </w:r>
          </w:p>
        </w:tc>
      </w:tr>
      <w:tr>
        <w:tc>
          <w:tcPr>
            <w:tcW w:type="dxa" w:w="2016"/>
            <w:vAlign w:val="top"/>
            <w:tcMar>
              <w:top w:w="70" w:type="dxa"/>
              <w:start w:w="80" w:type="dxa"/>
              <w:bottom w:w="70" w:type="dxa"/>
              <w:end w:w="80" w:type="dxa"/>
            </w:tcMar>
            <w:shd w:fill="F4F6F8"/>
          </w:tcPr>
          <w:p>
            <w:pPr>
              <w:spacing w:after="0" w:before="0"/>
            </w:pPr>
            <w:r>
              <w:rPr>
                <w:b/>
                <w:sz w:val="15"/>
              </w:rPr>
              <w:t>Delivery Executive</w:t>
            </w:r>
          </w:p>
        </w:tc>
        <w:tc>
          <w:tcPr>
            <w:tcW w:type="dxa" w:w="1008"/>
            <w:vAlign w:val="top"/>
            <w:tcMar>
              <w:top w:w="70" w:type="dxa"/>
              <w:start w:w="80" w:type="dxa"/>
              <w:bottom w:w="70" w:type="dxa"/>
              <w:end w:w="80" w:type="dxa"/>
            </w:tcMar>
            <w:shd w:fill="F4F6F8"/>
          </w:tcPr>
          <w:p>
            <w:pPr>
              <w:spacing w:after="0" w:before="0"/>
            </w:pPr>
            <w:r>
              <w:rPr>
                <w:sz w:val="15"/>
              </w:rPr>
              <w:t>Android</w:t>
            </w:r>
          </w:p>
        </w:tc>
        <w:tc>
          <w:tcPr>
            <w:tcW w:type="dxa" w:w="1584"/>
            <w:vAlign w:val="top"/>
            <w:tcMar>
              <w:top w:w="70" w:type="dxa"/>
              <w:start w:w="80" w:type="dxa"/>
              <w:bottom w:w="70" w:type="dxa"/>
              <w:end w:w="80" w:type="dxa"/>
            </w:tcMar>
            <w:shd w:fill="F4F6F8"/>
          </w:tcPr>
          <w:p>
            <w:pPr>
              <w:spacing w:after="0" w:before="0"/>
            </w:pPr>
            <w:r>
              <w:rPr>
                <w:sz w:val="15"/>
              </w:rPr>
              <w:t>Assigned deliveries</w:t>
            </w:r>
          </w:p>
        </w:tc>
        <w:tc>
          <w:tcPr>
            <w:tcW w:type="dxa" w:w="4680"/>
            <w:vAlign w:val="top"/>
            <w:tcMar>
              <w:top w:w="70" w:type="dxa"/>
              <w:start w:w="80" w:type="dxa"/>
              <w:bottom w:w="70" w:type="dxa"/>
              <w:end w:w="80" w:type="dxa"/>
            </w:tcMar>
            <w:shd w:fill="F4F6F8"/>
          </w:tcPr>
          <w:p>
            <w:pPr>
              <w:spacing w:after="0" w:before="0"/>
            </w:pPr>
            <w:r>
              <w:rPr>
                <w:sz w:val="15"/>
              </w:rPr>
              <w:t>Preparation checklist, active tracking, proof and completion/delay.</w:t>
            </w:r>
          </w:p>
        </w:tc>
      </w:tr>
      <w:tr>
        <w:tc>
          <w:tcPr>
            <w:tcW w:type="dxa" w:w="2016"/>
            <w:vAlign w:val="top"/>
            <w:tcMar>
              <w:top w:w="70" w:type="dxa"/>
              <w:start w:w="80" w:type="dxa"/>
              <w:bottom w:w="70" w:type="dxa"/>
              <w:end w:w="80" w:type="dxa"/>
            </w:tcMar>
          </w:tcPr>
          <w:p>
            <w:pPr>
              <w:spacing w:after="0" w:before="0"/>
            </w:pPr>
            <w:r>
              <w:rPr>
                <w:b/>
                <w:sz w:val="15"/>
              </w:rPr>
              <w:t>RC &amp; Registration Executive</w:t>
            </w:r>
          </w:p>
        </w:tc>
        <w:tc>
          <w:tcPr>
            <w:tcW w:type="dxa" w:w="1008"/>
            <w:vAlign w:val="top"/>
            <w:tcMar>
              <w:top w:w="70" w:type="dxa"/>
              <w:start w:w="80" w:type="dxa"/>
              <w:bottom w:w="70" w:type="dxa"/>
              <w:end w:w="80" w:type="dxa"/>
            </w:tcMar>
          </w:tcPr>
          <w:p>
            <w:pPr>
              <w:spacing w:after="0" w:before="0"/>
            </w:pPr>
            <w:r>
              <w:rPr>
                <w:sz w:val="15"/>
              </w:rPr>
              <w:t>Web</w:t>
            </w:r>
          </w:p>
        </w:tc>
        <w:tc>
          <w:tcPr>
            <w:tcW w:type="dxa" w:w="1584"/>
            <w:vAlign w:val="top"/>
            <w:tcMar>
              <w:top w:w="70" w:type="dxa"/>
              <w:start w:w="80" w:type="dxa"/>
              <w:bottom w:w="70" w:type="dxa"/>
              <w:end w:w="80" w:type="dxa"/>
            </w:tcMar>
          </w:tcPr>
          <w:p>
            <w:pPr>
              <w:spacing w:after="0" w:before="0"/>
            </w:pPr>
            <w:r>
              <w:rPr>
                <w:sz w:val="15"/>
              </w:rPr>
              <w:t>Registration cases</w:t>
            </w:r>
          </w:p>
        </w:tc>
        <w:tc>
          <w:tcPr>
            <w:tcW w:type="dxa" w:w="4680"/>
            <w:vAlign w:val="top"/>
            <w:tcMar>
              <w:top w:w="70" w:type="dxa"/>
              <w:start w:w="80" w:type="dxa"/>
              <w:bottom w:w="70" w:type="dxa"/>
              <w:end w:w="80" w:type="dxa"/>
            </w:tcMar>
          </w:tcPr>
          <w:p>
            <w:pPr>
              <w:spacing w:after="0" w:before="0"/>
            </w:pPr>
            <w:r>
              <w:rPr>
                <w:sz w:val="15"/>
              </w:rPr>
              <w:t>RTO submission, number/RC status, aging, customer updates, secure sharing and closure.</w:t>
            </w:r>
          </w:p>
        </w:tc>
      </w:tr>
    </w:tbl>
    <w:p>
      <w:pPr>
        <w:spacing w:after="0"/>
      </w:pPr>
    </w:p>
    <w:p>
      <w:pPr>
        <w:pStyle w:val="Heading2"/>
        <w:keepNext/>
      </w:pPr>
      <w:r>
        <w:t>3.1 Role simplification</w:t>
      </w:r>
    </w:p>
    <w:p>
      <w:pPr>
        <w:spacing w:after="100"/>
      </w:pPr>
      <w:r>
        <w:t>A small dealership may combine Telecaller with Salesperson, Test Ride Executive with Salesperson, Inventory with Billing, or Billing with RC. Capabilities remain separate in the permission model so the dealership can split responsibilities later without a database migration.</w:t>
      </w:r>
    </w:p>
    <w:p>
      <w:pPr>
        <w:pStyle w:val="Heading2"/>
        <w:keepNext/>
      </w:pPr>
      <w:r>
        <w:t>3.2 Authorization principles</w:t>
      </w:r>
    </w:p>
    <w:p>
      <w:pPr>
        <w:pStyle w:val="ListBullet"/>
        <w:spacing w:after="40"/>
      </w:pPr>
      <w:r>
        <w:t>Default deny: every API request validates tenant, membership, role, branch/team scope, object scope and current membership status.</w:t>
      </w:r>
    </w:p>
    <w:p>
      <w:pPr>
        <w:pStyle w:val="ListBullet"/>
        <w:spacing w:after="40"/>
      </w:pPr>
      <w:r>
        <w:t>Mobile field users see only assigned leads/jobs and the minimum customer/financial information required for the task.</w:t>
      </w:r>
    </w:p>
    <w:p>
      <w:pPr>
        <w:pStyle w:val="ListBullet"/>
        <w:spacing w:after="40"/>
      </w:pPr>
      <w:r>
        <w:t>Billing cannot modify negotiation history; Delivery cannot change payment; RC cannot change booking amount; Inventory cannot confirm payment.</w:t>
      </w:r>
    </w:p>
    <w:p>
      <w:pPr>
        <w:pStyle w:val="ListBullet"/>
        <w:spacing w:after="40"/>
      </w:pPr>
      <w:r>
        <w:t>Manager and Client Admin correction actions require a reason and write old value, new value, actor, timestamp and request correlation ID.</w:t>
      </w:r>
    </w:p>
    <w:p>
      <w:pPr>
        <w:pStyle w:val="ListBullet"/>
        <w:spacing w:after="40"/>
      </w:pPr>
      <w:r>
        <w:t>Agency support access is short-lived, reasoned, visibly indicated, revocable and immutable in audit logs.</w:t>
      </w:r>
    </w:p>
    <w:p>
      <w:pPr>
        <w:pStyle w:val="ListBullet"/>
        <w:spacing w:after="40"/>
      </w:pPr>
      <w:r>
        <w:t>Exports, private documents, recordings and location history require explicit permissions and download/audit events.</w:t>
      </w:r>
    </w:p>
    <w:p>
      <w:pPr>
        <w:pStyle w:val="Heading1"/>
        <w:keepNext/>
      </w:pPr>
      <w:r>
        <w:t>4. Role-by-Role Workflows</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AF5EA"/>
            <w:tcMar>
              <w:top w:w="100" w:type="dxa"/>
              <w:start w:w="120" w:type="dxa"/>
              <w:bottom w:w="100" w:type="dxa"/>
              <w:end w:w="120" w:type="dxa"/>
            </w:tcMar>
          </w:tcPr>
          <w:p>
            <w:r>
              <w:rPr>
                <w:b/>
                <w:color w:val="123447"/>
                <w:sz w:val="20"/>
              </w:rPr>
              <w:t>Workflow standard</w:t>
            </w:r>
            <w:r>
              <w:br/>
              <w:t>Every role flow below defines an entry condition, allowed actions, mandatory evidence, handoff and exit condition. State transitions are validated by the NestJS backend; the UI cannot bypass them.</w:t>
            </w:r>
          </w:p>
        </w:tc>
        <w:trPr>
          <w:tblHeader/>
        </w:trPr>
      </w:tr>
    </w:tbl>
    <w:p>
      <w:pPr>
        <w:spacing w:after="0"/>
      </w:pPr>
    </w:p>
    <w:p>
      <w:r>
        <w:br w:type="page"/>
      </w:r>
    </w:p>
    <w:p>
      <w:pPr>
        <w:pStyle w:val="Heading2"/>
        <w:keepNext/>
      </w:pPr>
      <w:r>
        <w:t>Agency Admin / Super Admin</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Platform monitoring, client lifecycle, safe support</w:t>
              <w:br/>
              <w:t>Exit: Client created/suspended/restored or issue resolved</w:t>
              <w:br/>
              <w:t>Critical control: Support elevation expires automatically and never grants silent access.</w:t>
            </w:r>
          </w:p>
        </w:tc>
        <w:trPr>
          <w:tblHeader/>
        </w:trPr>
      </w:tr>
    </w:tbl>
    <w:p>
      <w:pPr>
        <w:spacing w:after="0"/>
      </w:pPr>
    </w:p>
    <w:p>
      <w:pPr>
        <w:spacing w:after="40"/>
        <w:jc w:val="center"/>
      </w:pPr>
      <w:r>
        <w:drawing>
          <wp:inline xmlns:a="http://schemas.openxmlformats.org/drawingml/2006/main" xmlns:pic="http://schemas.openxmlformats.org/drawingml/2006/picture">
            <wp:extent cx="4800600" cy="5107216"/>
            <wp:docPr id="2" name="Picture 2" descr="Agency Admin / Super Admin end-to-end workflow." title="Agency Admin / Super Admin end-to-end workflow."/>
            <wp:cNvGraphicFramePr>
              <a:graphicFrameLocks noChangeAspect="1"/>
            </wp:cNvGraphicFramePr>
            <a:graphic>
              <a:graphicData uri="http://schemas.openxmlformats.org/drawingml/2006/picture">
                <pic:pic>
                  <pic:nvPicPr>
                    <pic:cNvPr id="0" name="02_agency_admin_super_admin.png"/>
                    <pic:cNvPicPr/>
                  </pic:nvPicPr>
                  <pic:blipFill>
                    <a:blip r:embed="rId12"/>
                    <a:stretch>
                      <a:fillRect/>
                    </a:stretch>
                  </pic:blipFill>
                  <pic:spPr>
                    <a:xfrm>
                      <a:off x="0" y="0"/>
                      <a:ext cx="4800600" cy="5107216"/>
                    </a:xfrm>
                    <a:prstGeom prst="rect"/>
                  </pic:spPr>
                </pic:pic>
              </a:graphicData>
            </a:graphic>
          </wp:inline>
        </w:drawing>
      </w:r>
    </w:p>
    <w:p>
      <w:pPr>
        <w:pStyle w:val="Caption"/>
        <w:spacing w:after="160"/>
        <w:jc w:val="center"/>
      </w:pPr>
      <w:r>
        <w:t>Agency Admin / Super Admin end-to-end workflow.</w:t>
      </w:r>
    </w:p>
    <w:p>
      <w:r>
        <w:br w:type="page"/>
      </w:r>
    </w:p>
    <w:p>
      <w:pPr>
        <w:pStyle w:val="Heading2"/>
        <w:keepNext/>
      </w:pPr>
      <w:r>
        <w:t>Client Admin</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Approved client invitation</w:t>
              <w:br/>
              <w:t>Exit: Client passes onboarding checklist and is activated</w:t>
              <w:br/>
              <w:t>Critical control: Cannot view another client; integration secrets remain backend-only.</w:t>
            </w:r>
          </w:p>
        </w:tc>
        <w:trPr>
          <w:tblHeader/>
        </w:trPr>
      </w:tr>
    </w:tbl>
    <w:p>
      <w:pPr>
        <w:spacing w:after="0"/>
      </w:pPr>
    </w:p>
    <w:p>
      <w:pPr>
        <w:spacing w:after="40"/>
        <w:jc w:val="center"/>
      </w:pPr>
      <w:r>
        <w:drawing>
          <wp:inline xmlns:a="http://schemas.openxmlformats.org/drawingml/2006/main" xmlns:pic="http://schemas.openxmlformats.org/drawingml/2006/picture">
            <wp:extent cx="4800600" cy="6191813"/>
            <wp:docPr id="3" name="Picture 3" descr="Client Admin end-to-end workflow." title="Client Admin end-to-end workflow."/>
            <wp:cNvGraphicFramePr>
              <a:graphicFrameLocks noChangeAspect="1"/>
            </wp:cNvGraphicFramePr>
            <a:graphic>
              <a:graphicData uri="http://schemas.openxmlformats.org/drawingml/2006/picture">
                <pic:pic>
                  <pic:nvPicPr>
                    <pic:cNvPr id="0" name="03_client_admin.png"/>
                    <pic:cNvPicPr/>
                  </pic:nvPicPr>
                  <pic:blipFill>
                    <a:blip r:embed="rId13"/>
                    <a:stretch>
                      <a:fillRect/>
                    </a:stretch>
                  </pic:blipFill>
                  <pic:spPr>
                    <a:xfrm>
                      <a:off x="0" y="0"/>
                      <a:ext cx="4800600" cy="6191813"/>
                    </a:xfrm>
                    <a:prstGeom prst="rect"/>
                  </pic:spPr>
                </pic:pic>
              </a:graphicData>
            </a:graphic>
          </wp:inline>
        </w:drawing>
      </w:r>
    </w:p>
    <w:p>
      <w:pPr>
        <w:pStyle w:val="Caption"/>
        <w:spacing w:after="160"/>
        <w:jc w:val="center"/>
      </w:pPr>
      <w:r>
        <w:t>Client Admin end-to-end workflow.</w:t>
      </w:r>
    </w:p>
    <w:p>
      <w:r>
        <w:br w:type="page"/>
      </w:r>
    </w:p>
    <w:p>
      <w:pPr>
        <w:pStyle w:val="Heading2"/>
        <w:keepNext/>
      </w:pPr>
      <w:r>
        <w:t>Manager</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Client-wide operational access</w:t>
              <w:br/>
              <w:t>Exit: Exceptions resolved or assigned with deadlines</w:t>
              <w:br/>
              <w:t>Critical control: Cannot directly overwrite immutable financial/status history.</w:t>
            </w:r>
          </w:p>
        </w:tc>
        <w:trPr>
          <w:tblHeader/>
        </w:trPr>
      </w:tr>
    </w:tbl>
    <w:p>
      <w:pPr>
        <w:spacing w:after="0"/>
      </w:pPr>
    </w:p>
    <w:p>
      <w:pPr>
        <w:spacing w:after="40"/>
        <w:jc w:val="center"/>
      </w:pPr>
      <w:r>
        <w:drawing>
          <wp:inline xmlns:a="http://schemas.openxmlformats.org/drawingml/2006/main" xmlns:pic="http://schemas.openxmlformats.org/drawingml/2006/picture">
            <wp:extent cx="4800600" cy="4027195"/>
            <wp:docPr id="4" name="Picture 4" descr="Manager end-to-end workflow." title="Manager end-to-end workflow."/>
            <wp:cNvGraphicFramePr>
              <a:graphicFrameLocks noChangeAspect="1"/>
            </wp:cNvGraphicFramePr>
            <a:graphic>
              <a:graphicData uri="http://schemas.openxmlformats.org/drawingml/2006/picture">
                <pic:pic>
                  <pic:nvPicPr>
                    <pic:cNvPr id="0" name="04_manager.png"/>
                    <pic:cNvPicPr/>
                  </pic:nvPicPr>
                  <pic:blipFill>
                    <a:blip r:embed="rId14"/>
                    <a:stretch>
                      <a:fillRect/>
                    </a:stretch>
                  </pic:blipFill>
                  <pic:spPr>
                    <a:xfrm>
                      <a:off x="0" y="0"/>
                      <a:ext cx="4800600" cy="4027195"/>
                    </a:xfrm>
                    <a:prstGeom prst="rect"/>
                  </pic:spPr>
                </pic:pic>
              </a:graphicData>
            </a:graphic>
          </wp:inline>
        </w:drawing>
      </w:r>
    </w:p>
    <w:p>
      <w:pPr>
        <w:pStyle w:val="Caption"/>
        <w:spacing w:after="160"/>
        <w:jc w:val="center"/>
      </w:pPr>
      <w:r>
        <w:t>Manager end-to-end workflow.</w:t>
      </w:r>
    </w:p>
    <w:p>
      <w:r>
        <w:br w:type="page"/>
      </w:r>
    </w:p>
    <w:p>
      <w:pPr>
        <w:pStyle w:val="Heading2"/>
        <w:keepNext/>
      </w:pPr>
      <w:r>
        <w:t>Sales Manager</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Assigned branch/team</w:t>
              <w:br/>
              <w:t>Exit: Queue is assigned and SLA/escalations are controlled</w:t>
              <w:br/>
              <w:t>Critical control: Reassignment, discount and cancellation exceptions require reasons.</w:t>
            </w:r>
          </w:p>
        </w:tc>
        <w:trPr>
          <w:tblHeader/>
        </w:trPr>
      </w:tr>
    </w:tbl>
    <w:p>
      <w:pPr>
        <w:spacing w:after="0"/>
      </w:pPr>
    </w:p>
    <w:p>
      <w:pPr>
        <w:spacing w:after="40"/>
        <w:jc w:val="center"/>
      </w:pPr>
      <w:r>
        <w:drawing>
          <wp:inline xmlns:a="http://schemas.openxmlformats.org/drawingml/2006/main" xmlns:pic="http://schemas.openxmlformats.org/drawingml/2006/picture">
            <wp:extent cx="4800600" cy="5078506"/>
            <wp:docPr id="5" name="Picture 5" descr="Sales Manager end-to-end workflow." title="Sales Manager end-to-end workflow."/>
            <wp:cNvGraphicFramePr>
              <a:graphicFrameLocks noChangeAspect="1"/>
            </wp:cNvGraphicFramePr>
            <a:graphic>
              <a:graphicData uri="http://schemas.openxmlformats.org/drawingml/2006/picture">
                <pic:pic>
                  <pic:nvPicPr>
                    <pic:cNvPr id="0" name="05_sales_manager.png"/>
                    <pic:cNvPicPr/>
                  </pic:nvPicPr>
                  <pic:blipFill>
                    <a:blip r:embed="rId15"/>
                    <a:stretch>
                      <a:fillRect/>
                    </a:stretch>
                  </pic:blipFill>
                  <pic:spPr>
                    <a:xfrm>
                      <a:off x="0" y="0"/>
                      <a:ext cx="4800600" cy="5078506"/>
                    </a:xfrm>
                    <a:prstGeom prst="rect"/>
                  </pic:spPr>
                </pic:pic>
              </a:graphicData>
            </a:graphic>
          </wp:inline>
        </w:drawing>
      </w:r>
    </w:p>
    <w:p>
      <w:pPr>
        <w:pStyle w:val="Caption"/>
        <w:spacing w:after="160"/>
        <w:jc w:val="center"/>
      </w:pPr>
      <w:r>
        <w:t>Sales Manager end-to-end workflow.</w:t>
      </w:r>
    </w:p>
    <w:p>
      <w:r>
        <w:br w:type="page"/>
      </w:r>
    </w:p>
    <w:p>
      <w:pPr>
        <w:pStyle w:val="Heading2"/>
        <w:keepNext/>
      </w:pPr>
      <w:r>
        <w:t>Telecaller (Optional)</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Assigned pending-review queue</w:t>
              <w:br/>
              <w:t>Exit: Lead rejected with reason or accepted and handed off</w:t>
              <w:br/>
              <w:t>Critical control: Cannot create booking or modify inventory allocation.</w:t>
            </w:r>
          </w:p>
        </w:tc>
        <w:trPr>
          <w:tblHeader/>
        </w:trPr>
      </w:tr>
    </w:tbl>
    <w:p>
      <w:pPr>
        <w:spacing w:after="0"/>
      </w:pPr>
    </w:p>
    <w:p>
      <w:pPr>
        <w:spacing w:after="40"/>
        <w:jc w:val="center"/>
      </w:pPr>
      <w:r>
        <w:drawing>
          <wp:inline xmlns:a="http://schemas.openxmlformats.org/drawingml/2006/main" xmlns:pic="http://schemas.openxmlformats.org/drawingml/2006/picture">
            <wp:extent cx="4800600" cy="5109882"/>
            <wp:docPr id="6" name="Picture 6" descr="Telecaller (Optional) end-to-end workflow." title="Telecaller (Optional) end-to-end workflow."/>
            <wp:cNvGraphicFramePr>
              <a:graphicFrameLocks noChangeAspect="1"/>
            </wp:cNvGraphicFramePr>
            <a:graphic>
              <a:graphicData uri="http://schemas.openxmlformats.org/drawingml/2006/picture">
                <pic:pic>
                  <pic:nvPicPr>
                    <pic:cNvPr id="0" name="06_telecaller_optional.png"/>
                    <pic:cNvPicPr/>
                  </pic:nvPicPr>
                  <pic:blipFill>
                    <a:blip r:embed="rId16"/>
                    <a:stretch>
                      <a:fillRect/>
                    </a:stretch>
                  </pic:blipFill>
                  <pic:spPr>
                    <a:xfrm>
                      <a:off x="0" y="0"/>
                      <a:ext cx="4800600" cy="5109882"/>
                    </a:xfrm>
                    <a:prstGeom prst="rect"/>
                  </pic:spPr>
                </pic:pic>
              </a:graphicData>
            </a:graphic>
          </wp:inline>
        </w:drawing>
      </w:r>
    </w:p>
    <w:p>
      <w:pPr>
        <w:pStyle w:val="Caption"/>
        <w:spacing w:after="160"/>
        <w:jc w:val="center"/>
      </w:pPr>
      <w:r>
        <w:t>Telecaller (Optional) end-to-end workflow.</w:t>
      </w:r>
    </w:p>
    <w:p>
      <w:r>
        <w:br w:type="page"/>
      </w:r>
    </w:p>
    <w:p>
      <w:pPr>
        <w:pStyle w:val="Heading2"/>
        <w:keepNext/>
      </w:pPr>
      <w:r>
        <w:t>Salesperson</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Assigned lead/opportunity</w:t>
              <w:br/>
              <w:t>Exit: Booking request, lost outcome or next follow-up created</w:t>
              <w:br/>
              <w:t>Critical control: Remains relationship owner unless an authorised reassignment occurs.</w:t>
            </w:r>
          </w:p>
        </w:tc>
        <w:trPr>
          <w:tblHeader/>
        </w:trPr>
      </w:tr>
    </w:tbl>
    <w:p>
      <w:pPr>
        <w:spacing w:after="0"/>
      </w:pPr>
    </w:p>
    <w:p>
      <w:pPr>
        <w:spacing w:after="40"/>
        <w:jc w:val="center"/>
      </w:pPr>
      <w:r>
        <w:drawing>
          <wp:inline xmlns:a="http://schemas.openxmlformats.org/drawingml/2006/main" xmlns:pic="http://schemas.openxmlformats.org/drawingml/2006/picture">
            <wp:extent cx="4800600" cy="4509292"/>
            <wp:docPr id="7" name="Picture 7" descr="Salesperson end-to-end workflow." title="Salesperson end-to-end workflow."/>
            <wp:cNvGraphicFramePr>
              <a:graphicFrameLocks noChangeAspect="1"/>
            </wp:cNvGraphicFramePr>
            <a:graphic>
              <a:graphicData uri="http://schemas.openxmlformats.org/drawingml/2006/picture">
                <pic:pic>
                  <pic:nvPicPr>
                    <pic:cNvPr id="0" name="07_salesperson.png"/>
                    <pic:cNvPicPr/>
                  </pic:nvPicPr>
                  <pic:blipFill>
                    <a:blip r:embed="rId17"/>
                    <a:stretch>
                      <a:fillRect/>
                    </a:stretch>
                  </pic:blipFill>
                  <pic:spPr>
                    <a:xfrm>
                      <a:off x="0" y="0"/>
                      <a:ext cx="4800600" cy="4509292"/>
                    </a:xfrm>
                    <a:prstGeom prst="rect"/>
                  </pic:spPr>
                </pic:pic>
              </a:graphicData>
            </a:graphic>
          </wp:inline>
        </w:drawing>
      </w:r>
    </w:p>
    <w:p>
      <w:pPr>
        <w:pStyle w:val="Caption"/>
        <w:spacing w:after="160"/>
        <w:jc w:val="center"/>
      </w:pPr>
      <w:r>
        <w:t>Salesperson end-to-end workflow.</w:t>
      </w:r>
    </w:p>
    <w:p>
      <w:r>
        <w:br w:type="page"/>
      </w:r>
    </w:p>
    <w:p>
      <w:pPr>
        <w:pStyle w:val="Heading2"/>
        <w:keepNext/>
      </w:pPr>
      <w:r>
        <w:t>Test Ride Executive</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Assigned confirmed test ride</w:t>
              <w:br/>
              <w:t>Exit: Ride completed/cancelled/no-show; tracking stopped</w:t>
              <w:br/>
              <w:t>Critical control: No location collection outside an active user-started job.</w:t>
            </w:r>
          </w:p>
        </w:tc>
        <w:trPr>
          <w:tblHeader/>
        </w:trPr>
      </w:tr>
    </w:tbl>
    <w:p>
      <w:pPr>
        <w:spacing w:after="0"/>
      </w:pPr>
    </w:p>
    <w:p>
      <w:pPr>
        <w:spacing w:after="40"/>
        <w:jc w:val="center"/>
      </w:pPr>
      <w:r>
        <w:drawing>
          <wp:inline xmlns:a="http://schemas.openxmlformats.org/drawingml/2006/main" xmlns:pic="http://schemas.openxmlformats.org/drawingml/2006/picture">
            <wp:extent cx="4800600" cy="5123368"/>
            <wp:docPr id="8" name="Picture 8" descr="Test Ride Executive end-to-end workflow." title="Test Ride Executive end-to-end workflow."/>
            <wp:cNvGraphicFramePr>
              <a:graphicFrameLocks noChangeAspect="1"/>
            </wp:cNvGraphicFramePr>
            <a:graphic>
              <a:graphicData uri="http://schemas.openxmlformats.org/drawingml/2006/picture">
                <pic:pic>
                  <pic:nvPicPr>
                    <pic:cNvPr id="0" name="08_test_ride_executive.png"/>
                    <pic:cNvPicPr/>
                  </pic:nvPicPr>
                  <pic:blipFill>
                    <a:blip r:embed="rId18"/>
                    <a:stretch>
                      <a:fillRect/>
                    </a:stretch>
                  </pic:blipFill>
                  <pic:spPr>
                    <a:xfrm>
                      <a:off x="0" y="0"/>
                      <a:ext cx="4800600" cy="5123368"/>
                    </a:xfrm>
                    <a:prstGeom prst="rect"/>
                  </pic:spPr>
                </pic:pic>
              </a:graphicData>
            </a:graphic>
          </wp:inline>
        </w:drawing>
      </w:r>
    </w:p>
    <w:p>
      <w:pPr>
        <w:pStyle w:val="Caption"/>
        <w:spacing w:after="160"/>
        <w:jc w:val="center"/>
      </w:pPr>
      <w:r>
        <w:t>Test Ride Executive end-to-end workflow.</w:t>
      </w:r>
    </w:p>
    <w:p>
      <w:r>
        <w:br w:type="page"/>
      </w:r>
    </w:p>
    <w:p>
      <w:pPr>
        <w:pStyle w:val="Heading2"/>
        <w:keepNext/>
      </w:pPr>
      <w:r>
        <w:t>Inventory &amp; Vehicle Allocation Executive (Optional)</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Stock intake or booking allocation request</w:t>
              <w:br/>
              <w:t>Exit: Vehicle allocated/released/transferred with history</w:t>
              <w:br/>
              <w:t>Critical control: Cannot allocate the same active VIN to more than one booking.</w:t>
            </w:r>
          </w:p>
        </w:tc>
        <w:trPr>
          <w:tblHeader/>
        </w:trPr>
      </w:tr>
    </w:tbl>
    <w:p>
      <w:pPr>
        <w:spacing w:after="0"/>
      </w:pPr>
    </w:p>
    <w:p>
      <w:pPr>
        <w:spacing w:after="40"/>
        <w:jc w:val="center"/>
      </w:pPr>
      <w:r>
        <w:drawing>
          <wp:inline xmlns:a="http://schemas.openxmlformats.org/drawingml/2006/main" xmlns:pic="http://schemas.openxmlformats.org/drawingml/2006/picture">
            <wp:extent cx="4800600" cy="5123368"/>
            <wp:docPr id="9" name="Picture 9" descr="Inventory &amp; Vehicle Allocation Executive (Optional) end-to-end workflow." title="Inventory &amp; Vehicle Allocation Executive (Optional) end-to-end workflow."/>
            <wp:cNvGraphicFramePr>
              <a:graphicFrameLocks noChangeAspect="1"/>
            </wp:cNvGraphicFramePr>
            <a:graphic>
              <a:graphicData uri="http://schemas.openxmlformats.org/drawingml/2006/picture">
                <pic:pic>
                  <pic:nvPicPr>
                    <pic:cNvPr id="0" name="09_inventory_vehicle_allocation_executive_optional.png"/>
                    <pic:cNvPicPr/>
                  </pic:nvPicPr>
                  <pic:blipFill>
                    <a:blip r:embed="rId19"/>
                    <a:stretch>
                      <a:fillRect/>
                    </a:stretch>
                  </pic:blipFill>
                  <pic:spPr>
                    <a:xfrm>
                      <a:off x="0" y="0"/>
                      <a:ext cx="4800600" cy="5123368"/>
                    </a:xfrm>
                    <a:prstGeom prst="rect"/>
                  </pic:spPr>
                </pic:pic>
              </a:graphicData>
            </a:graphic>
          </wp:inline>
        </w:drawing>
      </w:r>
    </w:p>
    <w:p>
      <w:pPr>
        <w:pStyle w:val="Caption"/>
        <w:spacing w:after="160"/>
        <w:jc w:val="center"/>
      </w:pPr>
      <w:r>
        <w:t>Inventory &amp; Vehicle Allocation Executive (Optional) end-to-end workflow.</w:t>
      </w:r>
    </w:p>
    <w:p>
      <w:r>
        <w:br w:type="page"/>
      </w:r>
    </w:p>
    <w:p>
      <w:pPr>
        <w:pStyle w:val="Heading2"/>
        <w:keepNext/>
      </w:pPr>
      <w:r>
        <w:t>Billing &amp; Documentation Executive</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Confirmed booking</w:t>
              <w:br/>
              <w:t>Exit: Delivery readiness passed or explicit hold created</w:t>
              <w:br/>
              <w:t>Critical control: Cannot mark paid without payment entry/reference and verifier.</w:t>
            </w:r>
          </w:p>
        </w:tc>
        <w:trPr>
          <w:tblHeader/>
        </w:trPr>
      </w:tr>
    </w:tbl>
    <w:p>
      <w:pPr>
        <w:spacing w:after="0"/>
      </w:pPr>
    </w:p>
    <w:p>
      <w:pPr>
        <w:spacing w:after="40"/>
        <w:jc w:val="center"/>
      </w:pPr>
      <w:r>
        <w:drawing>
          <wp:inline xmlns:a="http://schemas.openxmlformats.org/drawingml/2006/main" xmlns:pic="http://schemas.openxmlformats.org/drawingml/2006/picture">
            <wp:extent cx="4800600" cy="5205196"/>
            <wp:docPr id="10" name="Picture 10" descr="Billing &amp; Documentation Executive end-to-end workflow." title="Billing &amp; Documentation Executive end-to-end workflow."/>
            <wp:cNvGraphicFramePr>
              <a:graphicFrameLocks noChangeAspect="1"/>
            </wp:cNvGraphicFramePr>
            <a:graphic>
              <a:graphicData uri="http://schemas.openxmlformats.org/drawingml/2006/picture">
                <pic:pic>
                  <pic:nvPicPr>
                    <pic:cNvPr id="0" name="10_billing_documentation_executive.png"/>
                    <pic:cNvPicPr/>
                  </pic:nvPicPr>
                  <pic:blipFill>
                    <a:blip r:embed="rId20"/>
                    <a:stretch>
                      <a:fillRect/>
                    </a:stretch>
                  </pic:blipFill>
                  <pic:spPr>
                    <a:xfrm>
                      <a:off x="0" y="0"/>
                      <a:ext cx="4800600" cy="5205196"/>
                    </a:xfrm>
                    <a:prstGeom prst="rect"/>
                  </pic:spPr>
                </pic:pic>
              </a:graphicData>
            </a:graphic>
          </wp:inline>
        </w:drawing>
      </w:r>
    </w:p>
    <w:p>
      <w:pPr>
        <w:pStyle w:val="Caption"/>
        <w:spacing w:after="160"/>
        <w:jc w:val="center"/>
      </w:pPr>
      <w:r>
        <w:t>Billing &amp; Documentation Executive end-to-end workflow.</w:t>
      </w:r>
    </w:p>
    <w:p>
      <w:r>
        <w:br w:type="page"/>
      </w:r>
    </w:p>
    <w:p>
      <w:pPr>
        <w:pStyle w:val="Heading2"/>
        <w:keepNext/>
      </w:pPr>
      <w:r>
        <w:t>Delivery Executive</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Scheduled and assigned delivery</w:t>
              <w:br/>
              <w:t>Exit: Delivered/delayed/failed with proof; tracking stopped</w:t>
              <w:br/>
              <w:t>Critical control: Cannot start when mandatory readiness gate is blocked.</w:t>
            </w:r>
          </w:p>
        </w:tc>
        <w:trPr>
          <w:tblHeader/>
        </w:trPr>
      </w:tr>
    </w:tbl>
    <w:p>
      <w:pPr>
        <w:spacing w:after="0"/>
      </w:pPr>
    </w:p>
    <w:p>
      <w:pPr>
        <w:spacing w:after="40"/>
        <w:jc w:val="center"/>
      </w:pPr>
      <w:r>
        <w:drawing>
          <wp:inline xmlns:a="http://schemas.openxmlformats.org/drawingml/2006/main" xmlns:pic="http://schemas.openxmlformats.org/drawingml/2006/picture">
            <wp:extent cx="4800600" cy="5119728"/>
            <wp:docPr id="11" name="Picture 11" descr="Delivery Executive end-to-end workflow." title="Delivery Executive end-to-end workflow."/>
            <wp:cNvGraphicFramePr>
              <a:graphicFrameLocks noChangeAspect="1"/>
            </wp:cNvGraphicFramePr>
            <a:graphic>
              <a:graphicData uri="http://schemas.openxmlformats.org/drawingml/2006/picture">
                <pic:pic>
                  <pic:nvPicPr>
                    <pic:cNvPr id="0" name="11_delivery_executive.png"/>
                    <pic:cNvPicPr/>
                  </pic:nvPicPr>
                  <pic:blipFill>
                    <a:blip r:embed="rId21"/>
                    <a:stretch>
                      <a:fillRect/>
                    </a:stretch>
                  </pic:blipFill>
                  <pic:spPr>
                    <a:xfrm>
                      <a:off x="0" y="0"/>
                      <a:ext cx="4800600" cy="5119728"/>
                    </a:xfrm>
                    <a:prstGeom prst="rect"/>
                  </pic:spPr>
                </pic:pic>
              </a:graphicData>
            </a:graphic>
          </wp:inline>
        </w:drawing>
      </w:r>
    </w:p>
    <w:p>
      <w:pPr>
        <w:pStyle w:val="Caption"/>
        <w:spacing w:after="160"/>
        <w:jc w:val="center"/>
      </w:pPr>
      <w:r>
        <w:t>Delivery Executive end-to-end workflow.</w:t>
      </w:r>
    </w:p>
    <w:p>
      <w:r>
        <w:br w:type="page"/>
      </w:r>
    </w:p>
    <w:p>
      <w:pPr>
        <w:pStyle w:val="Heading2"/>
        <w:keepNext/>
      </w:pPr>
      <w:r>
        <w:t>RC &amp; Registration Executive</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Role control summary</w:t>
            </w:r>
            <w:r>
              <w:br/>
              <w:t>Entry: Registration documents ready</w:t>
              <w:br/>
              <w:t>Exit: RC shared/collected and case closed</w:t>
              <w:br/>
              <w:t>Critical control: Cannot delete prior RTO/RC events; corrections are append-only.</w:t>
            </w:r>
          </w:p>
        </w:tc>
        <w:trPr>
          <w:tblHeader/>
        </w:trPr>
      </w:tr>
    </w:tbl>
    <w:p>
      <w:pPr>
        <w:spacing w:after="0"/>
      </w:pPr>
    </w:p>
    <w:p>
      <w:pPr>
        <w:spacing w:after="40"/>
        <w:jc w:val="center"/>
      </w:pPr>
      <w:r>
        <w:drawing>
          <wp:inline xmlns:a="http://schemas.openxmlformats.org/drawingml/2006/main" xmlns:pic="http://schemas.openxmlformats.org/drawingml/2006/picture">
            <wp:extent cx="4800600" cy="5125521"/>
            <wp:docPr id="12" name="Picture 12" descr="RC &amp; Registration Executive end-to-end workflow." title="RC &amp; Registration Executive end-to-end workflow."/>
            <wp:cNvGraphicFramePr>
              <a:graphicFrameLocks noChangeAspect="1"/>
            </wp:cNvGraphicFramePr>
            <a:graphic>
              <a:graphicData uri="http://schemas.openxmlformats.org/drawingml/2006/picture">
                <pic:pic>
                  <pic:nvPicPr>
                    <pic:cNvPr id="0" name="12_rc_registration_executive.png"/>
                    <pic:cNvPicPr/>
                  </pic:nvPicPr>
                  <pic:blipFill>
                    <a:blip r:embed="rId22"/>
                    <a:stretch>
                      <a:fillRect/>
                    </a:stretch>
                  </pic:blipFill>
                  <pic:spPr>
                    <a:xfrm>
                      <a:off x="0" y="0"/>
                      <a:ext cx="4800600" cy="5125521"/>
                    </a:xfrm>
                    <a:prstGeom prst="rect"/>
                  </pic:spPr>
                </pic:pic>
              </a:graphicData>
            </a:graphic>
          </wp:inline>
        </w:drawing>
      </w:r>
    </w:p>
    <w:p>
      <w:pPr>
        <w:pStyle w:val="Caption"/>
        <w:spacing w:after="160"/>
        <w:jc w:val="center"/>
      </w:pPr>
      <w:r>
        <w:t>RC &amp; Registration Executive end-to-end workflow.</w:t>
      </w:r>
    </w:p>
    <w:p>
      <w:pPr>
        <w:pStyle w:val="Heading1"/>
        <w:keepNext/>
      </w:pPr>
      <w:r>
        <w:t>5. End-to-End Lifecycle, Handoffs and Ownership</w:t>
      </w:r>
    </w:p>
    <w:p>
      <w:pPr>
        <w:pStyle w:val="Heading2"/>
        <w:keepNext/>
      </w:pPr>
      <w:r>
        <w:t>5.1 Ownership fields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376"/>
            <w:shd w:fill="123447"/>
            <w:vAlign w:val="center"/>
            <w:tcMar>
              <w:top w:w="70" w:type="dxa"/>
              <w:start w:w="80" w:type="dxa"/>
              <w:bottom w:w="70" w:type="dxa"/>
              <w:end w:w="80" w:type="dxa"/>
            </w:tcMar>
          </w:tcPr>
          <w:p>
            <w:pPr>
              <w:jc w:val="left"/>
            </w:pPr>
            <w:r>
              <w:rPr>
                <w:b/>
                <w:color w:val="FFFFFF"/>
                <w:sz w:val="17"/>
              </w:rPr>
              <w:t>Field</w:t>
            </w:r>
          </w:p>
        </w:tc>
        <w:tc>
          <w:tcPr>
            <w:tcW w:type="dxa" w:w="4536"/>
            <w:shd w:fill="123447"/>
            <w:vAlign w:val="center"/>
            <w:tcMar>
              <w:top w:w="70" w:type="dxa"/>
              <w:start w:w="80" w:type="dxa"/>
              <w:bottom w:w="70" w:type="dxa"/>
              <w:end w:w="80" w:type="dxa"/>
            </w:tcMar>
          </w:tcPr>
          <w:p>
            <w:pPr>
              <w:jc w:val="left"/>
            </w:pPr>
            <w:r>
              <w:rPr>
                <w:b/>
                <w:color w:val="FFFFFF"/>
                <w:sz w:val="17"/>
              </w:rPr>
              <w:t>Purpose</w:t>
            </w:r>
          </w:p>
        </w:tc>
        <w:tc>
          <w:tcPr>
            <w:tcW w:type="dxa" w:w="2736"/>
            <w:shd w:fill="123447"/>
            <w:vAlign w:val="center"/>
            <w:tcMar>
              <w:top w:w="70" w:type="dxa"/>
              <w:start w:w="80" w:type="dxa"/>
              <w:bottom w:w="70" w:type="dxa"/>
              <w:end w:w="80" w:type="dxa"/>
            </w:tcMar>
          </w:tcPr>
          <w:p>
            <w:pPr>
              <w:jc w:val="left"/>
            </w:pPr>
            <w:r>
              <w:rPr>
                <w:b/>
                <w:color w:val="FFFFFF"/>
                <w:sz w:val="17"/>
              </w:rPr>
              <w:t>Example</w:t>
            </w:r>
          </w:p>
        </w:tc>
      </w:tr>
      <w:tr>
        <w:tc>
          <w:tcPr>
            <w:tcW w:type="dxa" w:w="2376"/>
            <w:vAlign w:val="top"/>
            <w:tcMar>
              <w:top w:w="70" w:type="dxa"/>
              <w:start w:w="80" w:type="dxa"/>
              <w:bottom w:w="70" w:type="dxa"/>
              <w:end w:w="80" w:type="dxa"/>
            </w:tcMar>
          </w:tcPr>
          <w:p>
            <w:pPr>
              <w:spacing w:after="0" w:before="0"/>
            </w:pPr>
            <w:r>
              <w:rPr>
                <w:b/>
                <w:sz w:val="17"/>
              </w:rPr>
              <w:t>relationship_owner_id</w:t>
            </w:r>
          </w:p>
        </w:tc>
        <w:tc>
          <w:tcPr>
            <w:tcW w:type="dxa" w:w="4536"/>
            <w:vAlign w:val="top"/>
            <w:tcMar>
              <w:top w:w="70" w:type="dxa"/>
              <w:start w:w="80" w:type="dxa"/>
              <w:bottom w:w="70" w:type="dxa"/>
              <w:end w:w="80" w:type="dxa"/>
            </w:tcMar>
          </w:tcPr>
          <w:p>
            <w:pPr>
              <w:spacing w:after="0" w:before="0"/>
            </w:pPr>
            <w:r>
              <w:rPr>
                <w:sz w:val="17"/>
              </w:rPr>
              <w:t>Long-term relationship and sales attribution</w:t>
            </w:r>
          </w:p>
        </w:tc>
        <w:tc>
          <w:tcPr>
            <w:tcW w:type="dxa" w:w="2736"/>
            <w:vAlign w:val="top"/>
            <w:tcMar>
              <w:top w:w="70" w:type="dxa"/>
              <w:start w:w="80" w:type="dxa"/>
              <w:bottom w:w="70" w:type="dxa"/>
              <w:end w:w="80" w:type="dxa"/>
            </w:tcMar>
          </w:tcPr>
          <w:p>
            <w:pPr>
              <w:spacing w:after="0" w:before="0"/>
            </w:pPr>
            <w:r>
              <w:rPr>
                <w:sz w:val="17"/>
              </w:rPr>
              <w:t>Salesperson Ravi</w:t>
            </w:r>
          </w:p>
        </w:tc>
      </w:tr>
      <w:tr>
        <w:tc>
          <w:tcPr>
            <w:tcW w:type="dxa" w:w="2376"/>
            <w:vAlign w:val="top"/>
            <w:tcMar>
              <w:top w:w="70" w:type="dxa"/>
              <w:start w:w="80" w:type="dxa"/>
              <w:bottom w:w="70" w:type="dxa"/>
              <w:end w:w="80" w:type="dxa"/>
            </w:tcMar>
            <w:shd w:fill="F4F6F8"/>
          </w:tcPr>
          <w:p>
            <w:pPr>
              <w:spacing w:after="0" w:before="0"/>
            </w:pPr>
            <w:r>
              <w:rPr>
                <w:b/>
                <w:sz w:val="17"/>
              </w:rPr>
              <w:t>current_process_owner_id</w:t>
            </w:r>
          </w:p>
        </w:tc>
        <w:tc>
          <w:tcPr>
            <w:tcW w:type="dxa" w:w="4536"/>
            <w:vAlign w:val="top"/>
            <w:tcMar>
              <w:top w:w="70" w:type="dxa"/>
              <w:start w:w="80" w:type="dxa"/>
              <w:bottom w:w="70" w:type="dxa"/>
              <w:end w:w="80" w:type="dxa"/>
            </w:tcMar>
            <w:shd w:fill="F4F6F8"/>
          </w:tcPr>
          <w:p>
            <w:pPr>
              <w:spacing w:after="0" w:before="0"/>
            </w:pPr>
            <w:r>
              <w:rPr>
                <w:sz w:val="17"/>
              </w:rPr>
              <w:t>Person responsible for the current operational work</w:t>
            </w:r>
          </w:p>
        </w:tc>
        <w:tc>
          <w:tcPr>
            <w:tcW w:type="dxa" w:w="2736"/>
            <w:vAlign w:val="top"/>
            <w:tcMar>
              <w:top w:w="70" w:type="dxa"/>
              <w:start w:w="80" w:type="dxa"/>
              <w:bottom w:w="70" w:type="dxa"/>
              <w:end w:w="80" w:type="dxa"/>
            </w:tcMar>
            <w:shd w:fill="F4F6F8"/>
          </w:tcPr>
          <w:p>
            <w:pPr>
              <w:spacing w:after="0" w:before="0"/>
            </w:pPr>
            <w:r>
              <w:rPr>
                <w:sz w:val="17"/>
              </w:rPr>
              <w:t>RC Executive Priya</w:t>
            </w:r>
          </w:p>
        </w:tc>
      </w:tr>
      <w:tr>
        <w:tc>
          <w:tcPr>
            <w:tcW w:type="dxa" w:w="2376"/>
            <w:vAlign w:val="top"/>
            <w:tcMar>
              <w:top w:w="70" w:type="dxa"/>
              <w:start w:w="80" w:type="dxa"/>
              <w:bottom w:w="70" w:type="dxa"/>
              <w:end w:w="80" w:type="dxa"/>
            </w:tcMar>
          </w:tcPr>
          <w:p>
            <w:pPr>
              <w:spacing w:after="0" w:before="0"/>
            </w:pPr>
            <w:r>
              <w:rPr>
                <w:b/>
                <w:sz w:val="17"/>
              </w:rPr>
              <w:t>conversation_owner_id</w:t>
            </w:r>
          </w:p>
        </w:tc>
        <w:tc>
          <w:tcPr>
            <w:tcW w:type="dxa" w:w="4536"/>
            <w:vAlign w:val="top"/>
            <w:tcMar>
              <w:top w:w="70" w:type="dxa"/>
              <w:start w:w="80" w:type="dxa"/>
              <w:bottom w:w="70" w:type="dxa"/>
              <w:end w:w="80" w:type="dxa"/>
            </w:tcMar>
          </w:tcPr>
          <w:p>
            <w:pPr>
              <w:spacing w:after="0" w:before="0"/>
            </w:pPr>
            <w:r>
              <w:rPr>
                <w:sz w:val="17"/>
              </w:rPr>
              <w:t>Person/queue responsible for customer replies</w:t>
            </w:r>
          </w:p>
        </w:tc>
        <w:tc>
          <w:tcPr>
            <w:tcW w:type="dxa" w:w="2736"/>
            <w:vAlign w:val="top"/>
            <w:tcMar>
              <w:top w:w="70" w:type="dxa"/>
              <w:start w:w="80" w:type="dxa"/>
              <w:bottom w:w="70" w:type="dxa"/>
              <w:end w:w="80" w:type="dxa"/>
            </w:tcMar>
          </w:tcPr>
          <w:p>
            <w:pPr>
              <w:spacing w:after="0" w:before="0"/>
            </w:pPr>
            <w:r>
              <w:rPr>
                <w:sz w:val="17"/>
              </w:rPr>
              <w:t>Sales Team / Ravi</w:t>
            </w:r>
          </w:p>
        </w:tc>
      </w:tr>
    </w:tbl>
    <w:p>
      <w:pPr>
        <w:spacing w:after="0"/>
      </w:pPr>
    </w:p>
    <w:p>
      <w:pPr>
        <w:pStyle w:val="Heading2"/>
        <w:keepNext/>
      </w:pPr>
      <w:r>
        <w:t>5.2 Handoff rules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007"/>
        <w:gridCol w:w="2007"/>
        <w:gridCol w:w="2007"/>
        <w:gridCol w:w="2007"/>
        <w:gridCol w:w="2007"/>
      </w:tblGrid>
      <w:tr>
        <w:trPr>
          <w:tblHeader w:val="true"/>
        </w:trPr>
        <w:tc>
          <w:tcPr>
            <w:tcW w:type="dxa" w:w="1656"/>
            <w:shd w:fill="123447"/>
            <w:vAlign w:val="center"/>
            <w:tcMar>
              <w:top w:w="70" w:type="dxa"/>
              <w:start w:w="80" w:type="dxa"/>
              <w:bottom w:w="70" w:type="dxa"/>
              <w:end w:w="80" w:type="dxa"/>
            </w:tcMar>
          </w:tcPr>
          <w:p>
            <w:pPr>
              <w:jc w:val="left"/>
            </w:pPr>
            <w:r>
              <w:rPr>
                <w:b/>
                <w:color w:val="FFFFFF"/>
                <w:sz w:val="15"/>
              </w:rPr>
              <w:t>Trigger</w:t>
            </w:r>
          </w:p>
        </w:tc>
        <w:tc>
          <w:tcPr>
            <w:tcW w:type="dxa" w:w="1440"/>
            <w:shd w:fill="123447"/>
            <w:vAlign w:val="center"/>
            <w:tcMar>
              <w:top w:w="70" w:type="dxa"/>
              <w:start w:w="80" w:type="dxa"/>
              <w:bottom w:w="70" w:type="dxa"/>
              <w:end w:w="80" w:type="dxa"/>
            </w:tcMar>
          </w:tcPr>
          <w:p>
            <w:pPr>
              <w:jc w:val="left"/>
            </w:pPr>
            <w:r>
              <w:rPr>
                <w:b/>
                <w:color w:val="FFFFFF"/>
                <w:sz w:val="15"/>
              </w:rPr>
              <w:t>From</w:t>
            </w:r>
          </w:p>
        </w:tc>
        <w:tc>
          <w:tcPr>
            <w:tcW w:type="dxa" w:w="1440"/>
            <w:shd w:fill="123447"/>
            <w:vAlign w:val="center"/>
            <w:tcMar>
              <w:top w:w="70" w:type="dxa"/>
              <w:start w:w="80" w:type="dxa"/>
              <w:bottom w:w="70" w:type="dxa"/>
              <w:end w:w="80" w:type="dxa"/>
            </w:tcMar>
          </w:tcPr>
          <w:p>
            <w:pPr>
              <w:jc w:val="left"/>
            </w:pPr>
            <w:r>
              <w:rPr>
                <w:b/>
                <w:color w:val="FFFFFF"/>
                <w:sz w:val="15"/>
              </w:rPr>
              <w:t>To</w:t>
            </w:r>
          </w:p>
        </w:tc>
        <w:tc>
          <w:tcPr>
            <w:tcW w:type="dxa" w:w="2520"/>
            <w:shd w:fill="123447"/>
            <w:vAlign w:val="center"/>
            <w:tcMar>
              <w:top w:w="70" w:type="dxa"/>
              <w:start w:w="80" w:type="dxa"/>
              <w:bottom w:w="70" w:type="dxa"/>
              <w:end w:w="80" w:type="dxa"/>
            </w:tcMar>
          </w:tcPr>
          <w:p>
            <w:pPr>
              <w:jc w:val="left"/>
            </w:pPr>
            <w:r>
              <w:rPr>
                <w:b/>
                <w:color w:val="FFFFFF"/>
                <w:sz w:val="15"/>
              </w:rPr>
              <w:t>What changes</w:t>
            </w:r>
          </w:p>
        </w:tc>
        <w:tc>
          <w:tcPr>
            <w:tcW w:type="dxa" w:w="2592"/>
            <w:shd w:fill="123447"/>
            <w:vAlign w:val="center"/>
            <w:tcMar>
              <w:top w:w="70" w:type="dxa"/>
              <w:start w:w="80" w:type="dxa"/>
              <w:bottom w:w="70" w:type="dxa"/>
              <w:end w:w="80" w:type="dxa"/>
            </w:tcMar>
          </w:tcPr>
          <w:p>
            <w:pPr>
              <w:jc w:val="left"/>
            </w:pPr>
            <w:r>
              <w:rPr>
                <w:b/>
                <w:color w:val="FFFFFF"/>
                <w:sz w:val="15"/>
              </w:rPr>
              <w:t>What does not change</w:t>
            </w:r>
          </w:p>
        </w:tc>
      </w:tr>
      <w:tr>
        <w:tc>
          <w:tcPr>
            <w:tcW w:type="dxa" w:w="1656"/>
            <w:vAlign w:val="top"/>
            <w:tcMar>
              <w:top w:w="70" w:type="dxa"/>
              <w:start w:w="80" w:type="dxa"/>
              <w:bottom w:w="70" w:type="dxa"/>
              <w:end w:w="80" w:type="dxa"/>
            </w:tcMar>
          </w:tcPr>
          <w:p>
            <w:pPr>
              <w:spacing w:after="0" w:before="0"/>
            </w:pPr>
            <w:r>
              <w:rPr>
                <w:sz w:val="15"/>
              </w:rPr>
              <w:t>Lead accepted</w:t>
            </w:r>
          </w:p>
        </w:tc>
        <w:tc>
          <w:tcPr>
            <w:tcW w:type="dxa" w:w="1440"/>
            <w:vAlign w:val="top"/>
            <w:tcMar>
              <w:top w:w="70" w:type="dxa"/>
              <w:start w:w="80" w:type="dxa"/>
              <w:bottom w:w="70" w:type="dxa"/>
              <w:end w:w="80" w:type="dxa"/>
            </w:tcMar>
          </w:tcPr>
          <w:p>
            <w:pPr>
              <w:spacing w:after="0" w:before="0"/>
            </w:pPr>
            <w:r>
              <w:rPr>
                <w:sz w:val="15"/>
              </w:rPr>
              <w:t>Telecaller</w:t>
            </w:r>
          </w:p>
        </w:tc>
        <w:tc>
          <w:tcPr>
            <w:tcW w:type="dxa" w:w="1440"/>
            <w:vAlign w:val="top"/>
            <w:tcMar>
              <w:top w:w="70" w:type="dxa"/>
              <w:start w:w="80" w:type="dxa"/>
              <w:bottom w:w="70" w:type="dxa"/>
              <w:end w:w="80" w:type="dxa"/>
            </w:tcMar>
          </w:tcPr>
          <w:p>
            <w:pPr>
              <w:spacing w:after="0" w:before="0"/>
            </w:pPr>
            <w:r>
              <w:rPr>
                <w:sz w:val="15"/>
              </w:rPr>
              <w:t>Salesperson</w:t>
            </w:r>
          </w:p>
        </w:tc>
        <w:tc>
          <w:tcPr>
            <w:tcW w:type="dxa" w:w="2520"/>
            <w:vAlign w:val="top"/>
            <w:tcMar>
              <w:top w:w="70" w:type="dxa"/>
              <w:start w:w="80" w:type="dxa"/>
              <w:bottom w:w="70" w:type="dxa"/>
              <w:end w:w="80" w:type="dxa"/>
            </w:tcMar>
          </w:tcPr>
          <w:p>
            <w:pPr>
              <w:spacing w:after="0" w:before="0"/>
            </w:pPr>
            <w:r>
              <w:rPr>
                <w:sz w:val="15"/>
              </w:rPr>
              <w:t>Primary sales work and current process owner</w:t>
            </w:r>
          </w:p>
        </w:tc>
        <w:tc>
          <w:tcPr>
            <w:tcW w:type="dxa" w:w="2592"/>
            <w:vAlign w:val="top"/>
            <w:tcMar>
              <w:top w:w="70" w:type="dxa"/>
              <w:start w:w="80" w:type="dxa"/>
              <w:bottom w:w="70" w:type="dxa"/>
              <w:end w:w="80" w:type="dxa"/>
            </w:tcMar>
          </w:tcPr>
          <w:p>
            <w:pPr>
              <w:spacing w:after="0" w:before="0"/>
            </w:pPr>
            <w:r>
              <w:rPr>
                <w:sz w:val="15"/>
              </w:rPr>
              <w:t>Original source, contact, rejection history</w:t>
            </w:r>
          </w:p>
        </w:tc>
      </w:tr>
      <w:tr>
        <w:tc>
          <w:tcPr>
            <w:tcW w:type="dxa" w:w="1656"/>
            <w:vAlign w:val="top"/>
            <w:tcMar>
              <w:top w:w="70" w:type="dxa"/>
              <w:start w:w="80" w:type="dxa"/>
              <w:bottom w:w="70" w:type="dxa"/>
              <w:end w:w="80" w:type="dxa"/>
            </w:tcMar>
            <w:shd w:fill="F4F6F8"/>
          </w:tcPr>
          <w:p>
            <w:pPr>
              <w:spacing w:after="0" w:before="0"/>
            </w:pPr>
            <w:r>
              <w:rPr>
                <w:sz w:val="15"/>
              </w:rPr>
              <w:t>Test ride assigned</w:t>
            </w:r>
          </w:p>
        </w:tc>
        <w:tc>
          <w:tcPr>
            <w:tcW w:type="dxa" w:w="1440"/>
            <w:vAlign w:val="top"/>
            <w:tcMar>
              <w:top w:w="70" w:type="dxa"/>
              <w:start w:w="80" w:type="dxa"/>
              <w:bottom w:w="70" w:type="dxa"/>
              <w:end w:w="80" w:type="dxa"/>
            </w:tcMar>
            <w:shd w:fill="F4F6F8"/>
          </w:tcPr>
          <w:p>
            <w:pPr>
              <w:spacing w:after="0" w:before="0"/>
            </w:pPr>
            <w:r>
              <w:rPr>
                <w:sz w:val="15"/>
              </w:rPr>
              <w:t>Salesperson</w:t>
            </w:r>
          </w:p>
        </w:tc>
        <w:tc>
          <w:tcPr>
            <w:tcW w:type="dxa" w:w="1440"/>
            <w:vAlign w:val="top"/>
            <w:tcMar>
              <w:top w:w="70" w:type="dxa"/>
              <w:start w:w="80" w:type="dxa"/>
              <w:bottom w:w="70" w:type="dxa"/>
              <w:end w:w="80" w:type="dxa"/>
            </w:tcMar>
            <w:shd w:fill="F4F6F8"/>
          </w:tcPr>
          <w:p>
            <w:pPr>
              <w:spacing w:after="0" w:before="0"/>
            </w:pPr>
            <w:r>
              <w:rPr>
                <w:sz w:val="15"/>
              </w:rPr>
              <w:t>Test Ride Executive</w:t>
            </w:r>
          </w:p>
        </w:tc>
        <w:tc>
          <w:tcPr>
            <w:tcW w:type="dxa" w:w="2520"/>
            <w:vAlign w:val="top"/>
            <w:tcMar>
              <w:top w:w="70" w:type="dxa"/>
              <w:start w:w="80" w:type="dxa"/>
              <w:bottom w:w="70" w:type="dxa"/>
              <w:end w:w="80" w:type="dxa"/>
            </w:tcMar>
            <w:shd w:fill="F4F6F8"/>
          </w:tcPr>
          <w:p>
            <w:pPr>
              <w:spacing w:after="0" w:before="0"/>
            </w:pPr>
            <w:r>
              <w:rPr>
                <w:sz w:val="15"/>
              </w:rPr>
              <w:t>Current process owner for ride</w:t>
            </w:r>
          </w:p>
        </w:tc>
        <w:tc>
          <w:tcPr>
            <w:tcW w:type="dxa" w:w="2592"/>
            <w:vAlign w:val="top"/>
            <w:tcMar>
              <w:top w:w="70" w:type="dxa"/>
              <w:start w:w="80" w:type="dxa"/>
              <w:bottom w:w="70" w:type="dxa"/>
              <w:end w:w="80" w:type="dxa"/>
            </w:tcMar>
            <w:shd w:fill="F4F6F8"/>
          </w:tcPr>
          <w:p>
            <w:pPr>
              <w:spacing w:after="0" w:before="0"/>
            </w:pPr>
            <w:r>
              <w:rPr>
                <w:sz w:val="15"/>
              </w:rPr>
              <w:t>Relationship and conversation owner</w:t>
            </w:r>
          </w:p>
        </w:tc>
      </w:tr>
      <w:tr>
        <w:tc>
          <w:tcPr>
            <w:tcW w:type="dxa" w:w="1656"/>
            <w:vAlign w:val="top"/>
            <w:tcMar>
              <w:top w:w="70" w:type="dxa"/>
              <w:start w:w="80" w:type="dxa"/>
              <w:bottom w:w="70" w:type="dxa"/>
              <w:end w:w="80" w:type="dxa"/>
            </w:tcMar>
          </w:tcPr>
          <w:p>
            <w:pPr>
              <w:spacing w:after="0" w:before="0"/>
            </w:pPr>
            <w:r>
              <w:rPr>
                <w:sz w:val="15"/>
              </w:rPr>
              <w:t>Booking confirmed</w:t>
            </w:r>
          </w:p>
        </w:tc>
        <w:tc>
          <w:tcPr>
            <w:tcW w:type="dxa" w:w="1440"/>
            <w:vAlign w:val="top"/>
            <w:tcMar>
              <w:top w:w="70" w:type="dxa"/>
              <w:start w:w="80" w:type="dxa"/>
              <w:bottom w:w="70" w:type="dxa"/>
              <w:end w:w="80" w:type="dxa"/>
            </w:tcMar>
          </w:tcPr>
          <w:p>
            <w:pPr>
              <w:spacing w:after="0" w:before="0"/>
            </w:pPr>
            <w:r>
              <w:rPr>
                <w:sz w:val="15"/>
              </w:rPr>
              <w:t>Salesperson</w:t>
            </w:r>
          </w:p>
        </w:tc>
        <w:tc>
          <w:tcPr>
            <w:tcW w:type="dxa" w:w="1440"/>
            <w:vAlign w:val="top"/>
            <w:tcMar>
              <w:top w:w="70" w:type="dxa"/>
              <w:start w:w="80" w:type="dxa"/>
              <w:bottom w:w="70" w:type="dxa"/>
              <w:end w:w="80" w:type="dxa"/>
            </w:tcMar>
          </w:tcPr>
          <w:p>
            <w:pPr>
              <w:spacing w:after="0" w:before="0"/>
            </w:pPr>
            <w:r>
              <w:rPr>
                <w:sz w:val="15"/>
              </w:rPr>
              <w:t>Billing / Inventory</w:t>
            </w:r>
          </w:p>
        </w:tc>
        <w:tc>
          <w:tcPr>
            <w:tcW w:type="dxa" w:w="2520"/>
            <w:vAlign w:val="top"/>
            <w:tcMar>
              <w:top w:w="70" w:type="dxa"/>
              <w:start w:w="80" w:type="dxa"/>
              <w:bottom w:w="70" w:type="dxa"/>
              <w:end w:w="80" w:type="dxa"/>
            </w:tcMar>
          </w:tcPr>
          <w:p>
            <w:pPr>
              <w:spacing w:after="0" w:before="0"/>
            </w:pPr>
            <w:r>
              <w:rPr>
                <w:sz w:val="15"/>
              </w:rPr>
              <w:t>Parallel process owners and readiness tasks</w:t>
            </w:r>
          </w:p>
        </w:tc>
        <w:tc>
          <w:tcPr>
            <w:tcW w:type="dxa" w:w="2592"/>
            <w:vAlign w:val="top"/>
            <w:tcMar>
              <w:top w:w="70" w:type="dxa"/>
              <w:start w:w="80" w:type="dxa"/>
              <w:bottom w:w="70" w:type="dxa"/>
              <w:end w:w="80" w:type="dxa"/>
            </w:tcMar>
          </w:tcPr>
          <w:p>
            <w:pPr>
              <w:spacing w:after="0" w:before="0"/>
            </w:pPr>
            <w:r>
              <w:rPr>
                <w:sz w:val="15"/>
              </w:rPr>
              <w:t>Sales relationship owner</w:t>
            </w:r>
          </w:p>
        </w:tc>
      </w:tr>
      <w:tr>
        <w:tc>
          <w:tcPr>
            <w:tcW w:type="dxa" w:w="1656"/>
            <w:vAlign w:val="top"/>
            <w:tcMar>
              <w:top w:w="70" w:type="dxa"/>
              <w:start w:w="80" w:type="dxa"/>
              <w:bottom w:w="70" w:type="dxa"/>
              <w:end w:w="80" w:type="dxa"/>
            </w:tcMar>
            <w:shd w:fill="F4F6F8"/>
          </w:tcPr>
          <w:p>
            <w:pPr>
              <w:spacing w:after="0" w:before="0"/>
            </w:pPr>
            <w:r>
              <w:rPr>
                <w:sz w:val="15"/>
              </w:rPr>
              <w:t>Delivery scheduled</w:t>
            </w:r>
          </w:p>
        </w:tc>
        <w:tc>
          <w:tcPr>
            <w:tcW w:type="dxa" w:w="1440"/>
            <w:vAlign w:val="top"/>
            <w:tcMar>
              <w:top w:w="70" w:type="dxa"/>
              <w:start w:w="80" w:type="dxa"/>
              <w:bottom w:w="70" w:type="dxa"/>
              <w:end w:w="80" w:type="dxa"/>
            </w:tcMar>
            <w:shd w:fill="F4F6F8"/>
          </w:tcPr>
          <w:p>
            <w:pPr>
              <w:spacing w:after="0" w:before="0"/>
            </w:pPr>
            <w:r>
              <w:rPr>
                <w:sz w:val="15"/>
              </w:rPr>
              <w:t>Billing / Inventory</w:t>
            </w:r>
          </w:p>
        </w:tc>
        <w:tc>
          <w:tcPr>
            <w:tcW w:type="dxa" w:w="1440"/>
            <w:vAlign w:val="top"/>
            <w:tcMar>
              <w:top w:w="70" w:type="dxa"/>
              <w:start w:w="80" w:type="dxa"/>
              <w:bottom w:w="70" w:type="dxa"/>
              <w:end w:w="80" w:type="dxa"/>
            </w:tcMar>
            <w:shd w:fill="F4F6F8"/>
          </w:tcPr>
          <w:p>
            <w:pPr>
              <w:spacing w:after="0" w:before="0"/>
            </w:pPr>
            <w:r>
              <w:rPr>
                <w:sz w:val="15"/>
              </w:rPr>
              <w:t>Delivery Executive</w:t>
            </w:r>
          </w:p>
        </w:tc>
        <w:tc>
          <w:tcPr>
            <w:tcW w:type="dxa" w:w="2520"/>
            <w:vAlign w:val="top"/>
            <w:tcMar>
              <w:top w:w="70" w:type="dxa"/>
              <w:start w:w="80" w:type="dxa"/>
              <w:bottom w:w="70" w:type="dxa"/>
              <w:end w:w="80" w:type="dxa"/>
            </w:tcMar>
            <w:shd w:fill="F4F6F8"/>
          </w:tcPr>
          <w:p>
            <w:pPr>
              <w:spacing w:after="0" w:before="0"/>
            </w:pPr>
            <w:r>
              <w:rPr>
                <w:sz w:val="15"/>
              </w:rPr>
              <w:t>Delivery job owner</w:t>
            </w:r>
          </w:p>
        </w:tc>
        <w:tc>
          <w:tcPr>
            <w:tcW w:type="dxa" w:w="2592"/>
            <w:vAlign w:val="top"/>
            <w:tcMar>
              <w:top w:w="70" w:type="dxa"/>
              <w:start w:w="80" w:type="dxa"/>
              <w:bottom w:w="70" w:type="dxa"/>
              <w:end w:w="80" w:type="dxa"/>
            </w:tcMar>
            <w:shd w:fill="F4F6F8"/>
          </w:tcPr>
          <w:p>
            <w:pPr>
              <w:spacing w:after="0" w:before="0"/>
            </w:pPr>
            <w:r>
              <w:rPr>
                <w:sz w:val="15"/>
              </w:rPr>
              <w:t>Payment truth and RC process</w:t>
            </w:r>
          </w:p>
        </w:tc>
      </w:tr>
      <w:tr>
        <w:tc>
          <w:tcPr>
            <w:tcW w:type="dxa" w:w="1656"/>
            <w:vAlign w:val="top"/>
            <w:tcMar>
              <w:top w:w="70" w:type="dxa"/>
              <w:start w:w="80" w:type="dxa"/>
              <w:bottom w:w="70" w:type="dxa"/>
              <w:end w:w="80" w:type="dxa"/>
            </w:tcMar>
          </w:tcPr>
          <w:p>
            <w:pPr>
              <w:spacing w:after="0" w:before="0"/>
            </w:pPr>
            <w:r>
              <w:rPr>
                <w:sz w:val="15"/>
              </w:rPr>
              <w:t>Registration starts</w:t>
            </w:r>
          </w:p>
        </w:tc>
        <w:tc>
          <w:tcPr>
            <w:tcW w:type="dxa" w:w="1440"/>
            <w:vAlign w:val="top"/>
            <w:tcMar>
              <w:top w:w="70" w:type="dxa"/>
              <w:start w:w="80" w:type="dxa"/>
              <w:bottom w:w="70" w:type="dxa"/>
              <w:end w:w="80" w:type="dxa"/>
            </w:tcMar>
          </w:tcPr>
          <w:p>
            <w:pPr>
              <w:spacing w:after="0" w:before="0"/>
            </w:pPr>
            <w:r>
              <w:rPr>
                <w:sz w:val="15"/>
              </w:rPr>
              <w:t>Billing</w:t>
            </w:r>
          </w:p>
        </w:tc>
        <w:tc>
          <w:tcPr>
            <w:tcW w:type="dxa" w:w="1440"/>
            <w:vAlign w:val="top"/>
            <w:tcMar>
              <w:top w:w="70" w:type="dxa"/>
              <w:start w:w="80" w:type="dxa"/>
              <w:bottom w:w="70" w:type="dxa"/>
              <w:end w:w="80" w:type="dxa"/>
            </w:tcMar>
          </w:tcPr>
          <w:p>
            <w:pPr>
              <w:spacing w:after="0" w:before="0"/>
            </w:pPr>
            <w:r>
              <w:rPr>
                <w:sz w:val="15"/>
              </w:rPr>
              <w:t>RC Executive</w:t>
            </w:r>
          </w:p>
        </w:tc>
        <w:tc>
          <w:tcPr>
            <w:tcW w:type="dxa" w:w="2520"/>
            <w:vAlign w:val="top"/>
            <w:tcMar>
              <w:top w:w="70" w:type="dxa"/>
              <w:start w:w="80" w:type="dxa"/>
              <w:bottom w:w="70" w:type="dxa"/>
              <w:end w:w="80" w:type="dxa"/>
            </w:tcMar>
          </w:tcPr>
          <w:p>
            <w:pPr>
              <w:spacing w:after="0" w:before="0"/>
            </w:pPr>
            <w:r>
              <w:rPr>
                <w:sz w:val="15"/>
              </w:rPr>
              <w:t>Registration case owner</w:t>
            </w:r>
          </w:p>
        </w:tc>
        <w:tc>
          <w:tcPr>
            <w:tcW w:type="dxa" w:w="2592"/>
            <w:vAlign w:val="top"/>
            <w:tcMar>
              <w:top w:w="70" w:type="dxa"/>
              <w:start w:w="80" w:type="dxa"/>
              <w:bottom w:w="70" w:type="dxa"/>
              <w:end w:w="80" w:type="dxa"/>
            </w:tcMar>
          </w:tcPr>
          <w:p>
            <w:pPr>
              <w:spacing w:after="0" w:before="0"/>
            </w:pPr>
            <w:r>
              <w:rPr>
                <w:sz w:val="15"/>
              </w:rPr>
              <w:t>Delivery may proceed independently when gate allows</w:t>
            </w:r>
          </w:p>
        </w:tc>
      </w:tr>
      <w:tr>
        <w:tc>
          <w:tcPr>
            <w:tcW w:type="dxa" w:w="1656"/>
            <w:vAlign w:val="top"/>
            <w:tcMar>
              <w:top w:w="70" w:type="dxa"/>
              <w:start w:w="80" w:type="dxa"/>
              <w:bottom w:w="70" w:type="dxa"/>
              <w:end w:w="80" w:type="dxa"/>
            </w:tcMar>
            <w:shd w:fill="F4F6F8"/>
          </w:tcPr>
          <w:p>
            <w:pPr>
              <w:spacing w:after="0" w:before="0"/>
            </w:pPr>
            <w:r>
              <w:rPr>
                <w:sz w:val="15"/>
              </w:rPr>
              <w:t>Post-sale reminder reply</w:t>
            </w:r>
          </w:p>
        </w:tc>
        <w:tc>
          <w:tcPr>
            <w:tcW w:type="dxa" w:w="1440"/>
            <w:vAlign w:val="top"/>
            <w:tcMar>
              <w:top w:w="70" w:type="dxa"/>
              <w:start w:w="80" w:type="dxa"/>
              <w:bottom w:w="70" w:type="dxa"/>
              <w:end w:w="80" w:type="dxa"/>
            </w:tcMar>
            <w:shd w:fill="F4F6F8"/>
          </w:tcPr>
          <w:p>
            <w:pPr>
              <w:spacing w:after="0" w:before="0"/>
            </w:pPr>
            <w:r>
              <w:rPr>
                <w:sz w:val="15"/>
              </w:rPr>
              <w:t>Automation</w:t>
            </w:r>
          </w:p>
        </w:tc>
        <w:tc>
          <w:tcPr>
            <w:tcW w:type="dxa" w:w="1440"/>
            <w:vAlign w:val="top"/>
            <w:tcMar>
              <w:top w:w="70" w:type="dxa"/>
              <w:start w:w="80" w:type="dxa"/>
              <w:bottom w:w="70" w:type="dxa"/>
              <w:end w:w="80" w:type="dxa"/>
            </w:tcMar>
            <w:shd w:fill="F4F6F8"/>
          </w:tcPr>
          <w:p>
            <w:pPr>
              <w:spacing w:after="0" w:before="0"/>
            </w:pPr>
            <w:r>
              <w:rPr>
                <w:sz w:val="15"/>
              </w:rPr>
              <w:t>Configured Sales/Service queue</w:t>
            </w:r>
          </w:p>
        </w:tc>
        <w:tc>
          <w:tcPr>
            <w:tcW w:type="dxa" w:w="2520"/>
            <w:vAlign w:val="top"/>
            <w:tcMar>
              <w:top w:w="70" w:type="dxa"/>
              <w:start w:w="80" w:type="dxa"/>
              <w:bottom w:w="70" w:type="dxa"/>
              <w:end w:w="80" w:type="dxa"/>
            </w:tcMar>
            <w:shd w:fill="F4F6F8"/>
          </w:tcPr>
          <w:p>
            <w:pPr>
              <w:spacing w:after="0" w:before="0"/>
            </w:pPr>
            <w:r>
              <w:rPr>
                <w:sz w:val="15"/>
              </w:rPr>
              <w:t>Conversation routing</w:t>
            </w:r>
          </w:p>
        </w:tc>
        <w:tc>
          <w:tcPr>
            <w:tcW w:type="dxa" w:w="2592"/>
            <w:vAlign w:val="top"/>
            <w:tcMar>
              <w:top w:w="70" w:type="dxa"/>
              <w:start w:w="80" w:type="dxa"/>
              <w:bottom w:w="70" w:type="dxa"/>
              <w:end w:w="80" w:type="dxa"/>
            </w:tcMar>
            <w:shd w:fill="F4F6F8"/>
          </w:tcPr>
          <w:p>
            <w:pPr>
              <w:spacing w:after="0" w:before="0"/>
            </w:pPr>
            <w:r>
              <w:rPr>
                <w:sz w:val="15"/>
              </w:rPr>
              <w:t>Customer vehicle and original booking history</w:t>
            </w:r>
          </w:p>
        </w:tc>
      </w:tr>
    </w:tbl>
    <w:p>
      <w:pPr>
        <w:spacing w:after="0"/>
      </w:pPr>
    </w:p>
    <w:p>
      <w:pPr>
        <w:spacing w:after="40"/>
        <w:jc w:val="center"/>
      </w:pPr>
      <w:r>
        <w:drawing>
          <wp:inline xmlns:a="http://schemas.openxmlformats.org/drawingml/2006/main" xmlns:pic="http://schemas.openxmlformats.org/drawingml/2006/picture">
            <wp:extent cx="5303520" cy="4105168"/>
            <wp:docPr id="13" name="Picture 13" descr="Figure 2. Booking creates parallel stock, billing, delivery and registration tracks." title="Figure 2. Booking creates parallel stock, billing, delivery and registration tracks."/>
            <wp:cNvGraphicFramePr>
              <a:graphicFrameLocks noChangeAspect="1"/>
            </wp:cNvGraphicFramePr>
            <a:graphic>
              <a:graphicData uri="http://schemas.openxmlformats.org/drawingml/2006/picture">
                <pic:pic>
                  <pic:nvPicPr>
                    <pic:cNvPr id="0" name="22_parallel_tracks.png"/>
                    <pic:cNvPicPr/>
                  </pic:nvPicPr>
                  <pic:blipFill>
                    <a:blip r:embed="rId23"/>
                    <a:stretch>
                      <a:fillRect/>
                    </a:stretch>
                  </pic:blipFill>
                  <pic:spPr>
                    <a:xfrm>
                      <a:off x="0" y="0"/>
                      <a:ext cx="5303520" cy="4105168"/>
                    </a:xfrm>
                    <a:prstGeom prst="rect"/>
                  </pic:spPr>
                </pic:pic>
              </a:graphicData>
            </a:graphic>
          </wp:inline>
        </w:drawing>
      </w:r>
    </w:p>
    <w:p>
      <w:pPr>
        <w:pStyle w:val="Caption"/>
        <w:spacing w:after="160"/>
        <w:jc w:val="center"/>
      </w:pPr>
      <w:r>
        <w:t>Figure 2. Booking creates parallel stock, billing, delivery and registration tracks.</w:t>
      </w:r>
    </w:p>
    <w:p>
      <w:pPr>
        <w:pStyle w:val="Heading1"/>
        <w:keepNext/>
      </w:pPr>
      <w:r>
        <w:t>6. Lead Sources, Deduplication and Attribution</w:t>
      </w:r>
    </w:p>
    <w:p>
      <w:pPr>
        <w:pStyle w:val="Heading2"/>
        <w:keepNext/>
      </w:pPr>
      <w:r>
        <w:t>6.1 Final source codes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509"/>
        <w:gridCol w:w="2509"/>
        <w:gridCol w:w="2509"/>
        <w:gridCol w:w="2509"/>
      </w:tblGrid>
      <w:tr>
        <w:trPr>
          <w:tblHeader w:val="true"/>
        </w:trPr>
        <w:tc>
          <w:tcPr>
            <w:tcW w:type="dxa" w:w="1296"/>
            <w:shd w:fill="123447"/>
            <w:vAlign w:val="center"/>
            <w:tcMar>
              <w:top w:w="70" w:type="dxa"/>
              <w:start w:w="80" w:type="dxa"/>
              <w:bottom w:w="70" w:type="dxa"/>
              <w:end w:w="80" w:type="dxa"/>
            </w:tcMar>
          </w:tcPr>
          <w:p>
            <w:pPr>
              <w:jc w:val="left"/>
            </w:pPr>
            <w:r>
              <w:rPr>
                <w:b/>
                <w:color w:val="FFFFFF"/>
                <w:sz w:val="15"/>
              </w:rPr>
              <w:t>Code</w:t>
            </w:r>
          </w:p>
        </w:tc>
        <w:tc>
          <w:tcPr>
            <w:tcW w:type="dxa" w:w="2232"/>
            <w:shd w:fill="123447"/>
            <w:vAlign w:val="center"/>
            <w:tcMar>
              <w:top w:w="70" w:type="dxa"/>
              <w:start w:w="80" w:type="dxa"/>
              <w:bottom w:w="70" w:type="dxa"/>
              <w:end w:w="80" w:type="dxa"/>
            </w:tcMar>
          </w:tcPr>
          <w:p>
            <w:pPr>
              <w:jc w:val="left"/>
            </w:pPr>
            <w:r>
              <w:rPr>
                <w:b/>
                <w:color w:val="FFFFFF"/>
                <w:sz w:val="15"/>
              </w:rPr>
              <w:t>Visible source</w:t>
            </w:r>
          </w:p>
        </w:tc>
        <w:tc>
          <w:tcPr>
            <w:tcW w:type="dxa" w:w="2016"/>
            <w:shd w:fill="123447"/>
            <w:vAlign w:val="center"/>
            <w:tcMar>
              <w:top w:w="70" w:type="dxa"/>
              <w:start w:w="80" w:type="dxa"/>
              <w:bottom w:w="70" w:type="dxa"/>
              <w:end w:w="80" w:type="dxa"/>
            </w:tcMar>
          </w:tcPr>
          <w:p>
            <w:pPr>
              <w:jc w:val="left"/>
            </w:pPr>
            <w:r>
              <w:rPr>
                <w:b/>
                <w:color w:val="FFFFFF"/>
                <w:sz w:val="15"/>
              </w:rPr>
              <w:t>Creation method</w:t>
            </w:r>
          </w:p>
        </w:tc>
        <w:tc>
          <w:tcPr>
            <w:tcW w:type="dxa" w:w="4104"/>
            <w:shd w:fill="123447"/>
            <w:vAlign w:val="center"/>
            <w:tcMar>
              <w:top w:w="70" w:type="dxa"/>
              <w:start w:w="80" w:type="dxa"/>
              <w:bottom w:w="70" w:type="dxa"/>
              <w:end w:w="80" w:type="dxa"/>
            </w:tcMar>
          </w:tcPr>
          <w:p>
            <w:pPr>
              <w:jc w:val="left"/>
            </w:pPr>
            <w:r>
              <w:rPr>
                <w:b/>
                <w:color w:val="FFFFFF"/>
                <w:sz w:val="15"/>
              </w:rPr>
              <w:t>Attribution rule</w:t>
            </w:r>
          </w:p>
        </w:tc>
      </w:tr>
      <w:tr>
        <w:tc>
          <w:tcPr>
            <w:tcW w:type="dxa" w:w="1296"/>
            <w:vAlign w:val="top"/>
            <w:tcMar>
              <w:top w:w="70" w:type="dxa"/>
              <w:start w:w="80" w:type="dxa"/>
              <w:bottom w:w="70" w:type="dxa"/>
              <w:end w:w="80" w:type="dxa"/>
            </w:tcMar>
          </w:tcPr>
          <w:p>
            <w:pPr>
              <w:spacing w:after="0" w:before="0"/>
            </w:pPr>
            <w:r>
              <w:rPr>
                <w:sz w:val="15"/>
              </w:rPr>
              <w:t>META</w:t>
            </w:r>
          </w:p>
        </w:tc>
        <w:tc>
          <w:tcPr>
            <w:tcW w:type="dxa" w:w="2232"/>
            <w:vAlign w:val="top"/>
            <w:tcMar>
              <w:top w:w="70" w:type="dxa"/>
              <w:start w:w="80" w:type="dxa"/>
              <w:bottom w:w="70" w:type="dxa"/>
              <w:end w:w="80" w:type="dxa"/>
            </w:tcMar>
          </w:tcPr>
          <w:p>
            <w:pPr>
              <w:spacing w:after="0" w:before="0"/>
            </w:pPr>
            <w:r>
              <w:rPr>
                <w:sz w:val="15"/>
              </w:rPr>
              <w:t>Facebook/Instagram instant form</w:t>
            </w:r>
          </w:p>
        </w:tc>
        <w:tc>
          <w:tcPr>
            <w:tcW w:type="dxa" w:w="2016"/>
            <w:vAlign w:val="top"/>
            <w:tcMar>
              <w:top w:w="70" w:type="dxa"/>
              <w:start w:w="80" w:type="dxa"/>
              <w:bottom w:w="70" w:type="dxa"/>
              <w:end w:w="80" w:type="dxa"/>
            </w:tcMar>
          </w:tcPr>
          <w:p>
            <w:pPr>
              <w:spacing w:after="0" w:before="0"/>
            </w:pPr>
            <w:r>
              <w:rPr>
                <w:sz w:val="15"/>
              </w:rPr>
              <w:t>Automatic webhook</w:t>
            </w:r>
          </w:p>
        </w:tc>
        <w:tc>
          <w:tcPr>
            <w:tcW w:type="dxa" w:w="4104"/>
            <w:vAlign w:val="top"/>
            <w:tcMar>
              <w:top w:w="70" w:type="dxa"/>
              <w:start w:w="80" w:type="dxa"/>
              <w:bottom w:w="70" w:type="dxa"/>
              <w:end w:w="80" w:type="dxa"/>
            </w:tcMar>
          </w:tcPr>
          <w:p>
            <w:pPr>
              <w:spacing w:after="0" w:before="0"/>
            </w:pPr>
            <w:r>
              <w:rPr>
                <w:sz w:val="15"/>
              </w:rPr>
              <w:t>Store campaign, ad set, ad, form and external lead ID when supplied.</w:t>
            </w:r>
          </w:p>
        </w:tc>
      </w:tr>
      <w:tr>
        <w:tc>
          <w:tcPr>
            <w:tcW w:type="dxa" w:w="1296"/>
            <w:vAlign w:val="top"/>
            <w:tcMar>
              <w:top w:w="70" w:type="dxa"/>
              <w:start w:w="80" w:type="dxa"/>
              <w:bottom w:w="70" w:type="dxa"/>
              <w:end w:w="80" w:type="dxa"/>
            </w:tcMar>
            <w:shd w:fill="F4F6F8"/>
          </w:tcPr>
          <w:p>
            <w:pPr>
              <w:spacing w:after="0" w:before="0"/>
            </w:pPr>
            <w:r>
              <w:rPr>
                <w:sz w:val="15"/>
              </w:rPr>
              <w:t>WHATSAPP_AD</w:t>
            </w:r>
          </w:p>
        </w:tc>
        <w:tc>
          <w:tcPr>
            <w:tcW w:type="dxa" w:w="2232"/>
            <w:vAlign w:val="top"/>
            <w:tcMar>
              <w:top w:w="70" w:type="dxa"/>
              <w:start w:w="80" w:type="dxa"/>
              <w:bottom w:w="70" w:type="dxa"/>
              <w:end w:w="80" w:type="dxa"/>
            </w:tcMar>
            <w:shd w:fill="F4F6F8"/>
          </w:tcPr>
          <w:p>
            <w:pPr>
              <w:spacing w:after="0" w:before="0"/>
            </w:pPr>
            <w:r>
              <w:rPr>
                <w:sz w:val="15"/>
              </w:rPr>
              <w:t>Click-to-WhatsApp advertisement</w:t>
            </w:r>
          </w:p>
        </w:tc>
        <w:tc>
          <w:tcPr>
            <w:tcW w:type="dxa" w:w="2016"/>
            <w:vAlign w:val="top"/>
            <w:tcMar>
              <w:top w:w="70" w:type="dxa"/>
              <w:start w:w="80" w:type="dxa"/>
              <w:bottom w:w="70" w:type="dxa"/>
              <w:end w:w="80" w:type="dxa"/>
            </w:tcMar>
            <w:shd w:fill="F4F6F8"/>
          </w:tcPr>
          <w:p>
            <w:pPr>
              <w:spacing w:after="0" w:before="0"/>
            </w:pPr>
            <w:r>
              <w:rPr>
                <w:sz w:val="15"/>
              </w:rPr>
              <w:t>First inbound customer message</w:t>
            </w:r>
          </w:p>
        </w:tc>
        <w:tc>
          <w:tcPr>
            <w:tcW w:type="dxa" w:w="4104"/>
            <w:vAlign w:val="top"/>
            <w:tcMar>
              <w:top w:w="70" w:type="dxa"/>
              <w:start w:w="80" w:type="dxa"/>
              <w:bottom w:w="70" w:type="dxa"/>
              <w:end w:w="80" w:type="dxa"/>
            </w:tcMar>
            <w:shd w:fill="F4F6F8"/>
          </w:tcPr>
          <w:p>
            <w:pPr>
              <w:spacing w:after="0" w:before="0"/>
            </w:pPr>
            <w:r>
              <w:rPr>
                <w:sz w:val="15"/>
              </w:rPr>
              <w:t>Create/link lead only after message/referral webhook; do not treat a click alone as a CRM lead.</w:t>
            </w:r>
          </w:p>
        </w:tc>
      </w:tr>
      <w:tr>
        <w:tc>
          <w:tcPr>
            <w:tcW w:type="dxa" w:w="1296"/>
            <w:vAlign w:val="top"/>
            <w:tcMar>
              <w:top w:w="70" w:type="dxa"/>
              <w:start w:w="80" w:type="dxa"/>
              <w:bottom w:w="70" w:type="dxa"/>
              <w:end w:w="80" w:type="dxa"/>
            </w:tcMar>
          </w:tcPr>
          <w:p>
            <w:pPr>
              <w:spacing w:after="0" w:before="0"/>
            </w:pPr>
            <w:r>
              <w:rPr>
                <w:sz w:val="15"/>
              </w:rPr>
              <w:t>GOOGLE_ADS</w:t>
            </w:r>
          </w:p>
        </w:tc>
        <w:tc>
          <w:tcPr>
            <w:tcW w:type="dxa" w:w="2232"/>
            <w:vAlign w:val="top"/>
            <w:tcMar>
              <w:top w:w="70" w:type="dxa"/>
              <w:start w:w="80" w:type="dxa"/>
              <w:bottom w:w="70" w:type="dxa"/>
              <w:end w:w="80" w:type="dxa"/>
            </w:tcMar>
          </w:tcPr>
          <w:p>
            <w:pPr>
              <w:spacing w:after="0" w:before="0"/>
            </w:pPr>
            <w:r>
              <w:rPr>
                <w:sz w:val="15"/>
              </w:rPr>
              <w:t>Google lead form, website form or tracked call</w:t>
            </w:r>
          </w:p>
        </w:tc>
        <w:tc>
          <w:tcPr>
            <w:tcW w:type="dxa" w:w="2016"/>
            <w:vAlign w:val="top"/>
            <w:tcMar>
              <w:top w:w="70" w:type="dxa"/>
              <w:start w:w="80" w:type="dxa"/>
              <w:bottom w:w="70" w:type="dxa"/>
              <w:end w:w="80" w:type="dxa"/>
            </w:tcMar>
          </w:tcPr>
          <w:p>
            <w:pPr>
              <w:spacing w:after="0" w:before="0"/>
            </w:pPr>
            <w:r>
              <w:rPr>
                <w:sz w:val="15"/>
              </w:rPr>
              <w:t>Webhook/form/telephony/manual</w:t>
            </w:r>
          </w:p>
        </w:tc>
        <w:tc>
          <w:tcPr>
            <w:tcW w:type="dxa" w:w="4104"/>
            <w:vAlign w:val="top"/>
            <w:tcMar>
              <w:top w:w="70" w:type="dxa"/>
              <w:start w:w="80" w:type="dxa"/>
              <w:bottom w:w="70" w:type="dxa"/>
              <w:end w:w="80" w:type="dxa"/>
            </w:tcMar>
          </w:tcPr>
          <w:p>
            <w:pPr>
              <w:spacing w:after="0" w:before="0"/>
            </w:pPr>
            <w:r>
              <w:rPr>
                <w:sz w:val="15"/>
              </w:rPr>
              <w:t>Store GCLID/UTM/campaign where available; never invent campaign attribution.</w:t>
            </w:r>
          </w:p>
        </w:tc>
      </w:tr>
      <w:tr>
        <w:tc>
          <w:tcPr>
            <w:tcW w:type="dxa" w:w="1296"/>
            <w:vAlign w:val="top"/>
            <w:tcMar>
              <w:top w:w="70" w:type="dxa"/>
              <w:start w:w="80" w:type="dxa"/>
              <w:bottom w:w="70" w:type="dxa"/>
              <w:end w:w="80" w:type="dxa"/>
            </w:tcMar>
            <w:shd w:fill="F4F6F8"/>
          </w:tcPr>
          <w:p>
            <w:pPr>
              <w:spacing w:after="0" w:before="0"/>
            </w:pPr>
            <w:r>
              <w:rPr>
                <w:sz w:val="15"/>
              </w:rPr>
              <w:t>WEBSITE</w:t>
            </w:r>
          </w:p>
        </w:tc>
        <w:tc>
          <w:tcPr>
            <w:tcW w:type="dxa" w:w="2232"/>
            <w:vAlign w:val="top"/>
            <w:tcMar>
              <w:top w:w="70" w:type="dxa"/>
              <w:start w:w="80" w:type="dxa"/>
              <w:bottom w:w="70" w:type="dxa"/>
              <w:end w:w="80" w:type="dxa"/>
            </w:tcMar>
            <w:shd w:fill="F4F6F8"/>
          </w:tcPr>
          <w:p>
            <w:pPr>
              <w:spacing w:after="0" w:before="0"/>
            </w:pPr>
            <w:r>
              <w:rPr>
                <w:sz w:val="15"/>
              </w:rPr>
              <w:t>Organic/direct form or website call</w:t>
            </w:r>
          </w:p>
        </w:tc>
        <w:tc>
          <w:tcPr>
            <w:tcW w:type="dxa" w:w="2016"/>
            <w:vAlign w:val="top"/>
            <w:tcMar>
              <w:top w:w="70" w:type="dxa"/>
              <w:start w:w="80" w:type="dxa"/>
              <w:bottom w:w="70" w:type="dxa"/>
              <w:end w:w="80" w:type="dxa"/>
            </w:tcMar>
            <w:shd w:fill="F4F6F8"/>
          </w:tcPr>
          <w:p>
            <w:pPr>
              <w:spacing w:after="0" w:before="0"/>
            </w:pPr>
            <w:r>
              <w:rPr>
                <w:sz w:val="15"/>
              </w:rPr>
              <w:t>Form webhook/manual call</w:t>
            </w:r>
          </w:p>
        </w:tc>
        <w:tc>
          <w:tcPr>
            <w:tcW w:type="dxa" w:w="4104"/>
            <w:vAlign w:val="top"/>
            <w:tcMar>
              <w:top w:w="70" w:type="dxa"/>
              <w:start w:w="80" w:type="dxa"/>
              <w:bottom w:w="70" w:type="dxa"/>
              <w:end w:w="80" w:type="dxa"/>
            </w:tcMar>
            <w:shd w:fill="F4F6F8"/>
          </w:tcPr>
          <w:p>
            <w:pPr>
              <w:spacing w:after="0" w:before="0"/>
            </w:pPr>
            <w:r>
              <w:rPr>
                <w:sz w:val="15"/>
              </w:rPr>
              <w:t>Store page URL and UTM; calls need tracking numbers for automatic source detail.</w:t>
            </w:r>
          </w:p>
        </w:tc>
      </w:tr>
      <w:tr>
        <w:tc>
          <w:tcPr>
            <w:tcW w:type="dxa" w:w="1296"/>
            <w:vAlign w:val="top"/>
            <w:tcMar>
              <w:top w:w="70" w:type="dxa"/>
              <w:start w:w="80" w:type="dxa"/>
              <w:bottom w:w="70" w:type="dxa"/>
              <w:end w:w="80" w:type="dxa"/>
            </w:tcMar>
          </w:tcPr>
          <w:p>
            <w:pPr>
              <w:spacing w:after="0" w:before="0"/>
            </w:pPr>
            <w:r>
              <w:rPr>
                <w:sz w:val="15"/>
              </w:rPr>
              <w:t>WALK_IN</w:t>
            </w:r>
          </w:p>
        </w:tc>
        <w:tc>
          <w:tcPr>
            <w:tcW w:type="dxa" w:w="2232"/>
            <w:vAlign w:val="top"/>
            <w:tcMar>
              <w:top w:w="70" w:type="dxa"/>
              <w:start w:w="80" w:type="dxa"/>
              <w:bottom w:w="70" w:type="dxa"/>
              <w:end w:w="80" w:type="dxa"/>
            </w:tcMar>
          </w:tcPr>
          <w:p>
            <w:pPr>
              <w:spacing w:after="0" w:before="0"/>
            </w:pPr>
            <w:r>
              <w:rPr>
                <w:sz w:val="15"/>
              </w:rPr>
              <w:t>Showroom visitor</w:t>
            </w:r>
          </w:p>
        </w:tc>
        <w:tc>
          <w:tcPr>
            <w:tcW w:type="dxa" w:w="2016"/>
            <w:vAlign w:val="top"/>
            <w:tcMar>
              <w:top w:w="70" w:type="dxa"/>
              <w:start w:w="80" w:type="dxa"/>
              <w:bottom w:w="70" w:type="dxa"/>
              <w:end w:w="80" w:type="dxa"/>
            </w:tcMar>
          </w:tcPr>
          <w:p>
            <w:pPr>
              <w:spacing w:after="0" w:before="0"/>
            </w:pPr>
            <w:r>
              <w:rPr>
                <w:sz w:val="15"/>
              </w:rPr>
              <w:t>Manual</w:t>
            </w:r>
          </w:p>
        </w:tc>
        <w:tc>
          <w:tcPr>
            <w:tcW w:type="dxa" w:w="4104"/>
            <w:vAlign w:val="top"/>
            <w:tcMar>
              <w:top w:w="70" w:type="dxa"/>
              <w:start w:w="80" w:type="dxa"/>
              <w:bottom w:w="70" w:type="dxa"/>
              <w:end w:w="80" w:type="dxa"/>
            </w:tcMar>
          </w:tcPr>
          <w:p>
            <w:pPr>
              <w:spacing w:after="0" w:before="0"/>
            </w:pPr>
            <w:r>
              <w:rPr>
                <w:sz w:val="15"/>
              </w:rPr>
              <w:t>Record branch, vehicle interest and “heard about us” when known.</w:t>
            </w:r>
          </w:p>
        </w:tc>
      </w:tr>
      <w:tr>
        <w:tc>
          <w:tcPr>
            <w:tcW w:type="dxa" w:w="1296"/>
            <w:vAlign w:val="top"/>
            <w:tcMar>
              <w:top w:w="70" w:type="dxa"/>
              <w:start w:w="80" w:type="dxa"/>
              <w:bottom w:w="70" w:type="dxa"/>
              <w:end w:w="80" w:type="dxa"/>
            </w:tcMar>
            <w:shd w:fill="F4F6F8"/>
          </w:tcPr>
          <w:p>
            <w:pPr>
              <w:spacing w:after="0" w:before="0"/>
            </w:pPr>
            <w:r>
              <w:rPr>
                <w:sz w:val="15"/>
              </w:rPr>
              <w:t>OTHER</w:t>
            </w:r>
          </w:p>
        </w:tc>
        <w:tc>
          <w:tcPr>
            <w:tcW w:type="dxa" w:w="2232"/>
            <w:vAlign w:val="top"/>
            <w:tcMar>
              <w:top w:w="70" w:type="dxa"/>
              <w:start w:w="80" w:type="dxa"/>
              <w:bottom w:w="70" w:type="dxa"/>
              <w:end w:w="80" w:type="dxa"/>
            </w:tcMar>
            <w:shd w:fill="F4F6F8"/>
          </w:tcPr>
          <w:p>
            <w:pPr>
              <w:spacing w:after="0" w:before="0"/>
            </w:pPr>
            <w:r>
              <w:rPr>
                <w:sz w:val="15"/>
              </w:rPr>
              <w:t>Referral, event, OEM, marketplace, roadshow, partner</w:t>
            </w:r>
          </w:p>
        </w:tc>
        <w:tc>
          <w:tcPr>
            <w:tcW w:type="dxa" w:w="2016"/>
            <w:vAlign w:val="top"/>
            <w:tcMar>
              <w:top w:w="70" w:type="dxa"/>
              <w:start w:w="80" w:type="dxa"/>
              <w:bottom w:w="70" w:type="dxa"/>
              <w:end w:w="80" w:type="dxa"/>
            </w:tcMar>
            <w:shd w:fill="F4F6F8"/>
          </w:tcPr>
          <w:p>
            <w:pPr>
              <w:spacing w:after="0" w:before="0"/>
            </w:pPr>
            <w:r>
              <w:rPr>
                <w:sz w:val="15"/>
              </w:rPr>
              <w:t>Manual/import</w:t>
            </w:r>
          </w:p>
        </w:tc>
        <w:tc>
          <w:tcPr>
            <w:tcW w:type="dxa" w:w="4104"/>
            <w:vAlign w:val="top"/>
            <w:tcMar>
              <w:top w:w="70" w:type="dxa"/>
              <w:start w:w="80" w:type="dxa"/>
              <w:bottom w:w="70" w:type="dxa"/>
              <w:end w:w="80" w:type="dxa"/>
            </w:tcMar>
            <w:shd w:fill="F4F6F8"/>
          </w:tcPr>
          <w:p>
            <w:pPr>
              <w:spacing w:after="0" w:before="0"/>
            </w:pPr>
            <w:r>
              <w:rPr>
                <w:sz w:val="15"/>
              </w:rPr>
              <w:t>Keep source_code=OTHER and an editable source_name.</w:t>
            </w:r>
          </w:p>
        </w:tc>
      </w:tr>
    </w:tbl>
    <w:p>
      <w:pPr>
        <w:spacing w:after="0"/>
      </w:pPr>
    </w:p>
    <w:p>
      <w:pPr>
        <w:pStyle w:val="Heading2"/>
        <w:keepNext/>
      </w:pPr>
      <w:r>
        <w:t>6.2 Deduplication</w:t>
      </w:r>
    </w:p>
    <w:p>
      <w:pPr>
        <w:pStyle w:val="ListBullet"/>
        <w:spacing w:after="40"/>
      </w:pPr>
      <w:r>
        <w:t>Normalize Indian phone numbers to E.164 and store a keyed lookup hash. Phone numbers are not globally unique across tenants.</w:t>
      </w:r>
    </w:p>
    <w:p>
      <w:pPr>
        <w:pStyle w:val="ListBullet"/>
        <w:spacing w:after="40"/>
      </w:pPr>
      <w:r>
        <w:t>Within a client, search contacts by normalised phone, alternate phone and email before creating a new contact.</w:t>
      </w:r>
    </w:p>
    <w:p>
      <w:pPr>
        <w:pStyle w:val="ListBullet"/>
        <w:spacing w:after="40"/>
      </w:pPr>
      <w:r>
        <w:t>A duplicate contact can still receive a new opportunity for a different campaign, vehicle or time period.</w:t>
      </w:r>
    </w:p>
    <w:p>
      <w:pPr>
        <w:pStyle w:val="ListBullet"/>
        <w:spacing w:after="40"/>
      </w:pPr>
      <w:r>
        <w:t>Provider external event IDs are unique per tenant/provider and enforce idempotent ingestion.</w:t>
      </w:r>
    </w:p>
    <w:p>
      <w:pPr>
        <w:pStyle w:val="ListBullet"/>
        <w:spacing w:after="40"/>
      </w:pPr>
      <w:r>
        <w:t>Potential duplicates appear in a merge/review queue. Automated destructive merge is not permitted in MVP.</w:t>
      </w:r>
    </w:p>
    <w:p>
      <w:pPr>
        <w:pStyle w:val="ListBullet"/>
        <w:spacing w:after="40"/>
      </w:pPr>
      <w:r>
        <w:t>When a lead is rejected as Duplicate, link it to the canonical contact/opportunity and preserve source-quality reporting.</w:t>
      </w:r>
    </w:p>
    <w:p>
      <w:pPr>
        <w:pStyle w:val="Heading2"/>
        <w:keepNext/>
      </w:pPr>
      <w:r>
        <w:t>6.3 Public website endpoint</w:t>
      </w:r>
    </w:p>
    <w:p>
      <w:pPr>
        <w:spacing w:after="100"/>
      </w:pPr>
      <w:r>
        <w:t>POST /v1/public/lead-forms/{clientFormKey}</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Input minimum</w:t>
            </w:r>
            <w:r>
              <w:br/>
              <w:t>name, phone, vehicle/model interest, branch or branch resolver, consent evidence, page URL and UTM/GCLID fields. The endpoint validates, rate-limits, bot-checks when enabled, deduplicates and commits the lead plus outbox event atomically.</w:t>
            </w:r>
          </w:p>
        </w:tc>
        <w:trPr>
          <w:tblHeader/>
        </w:trPr>
      </w:tr>
    </w:tbl>
    <w:p>
      <w:pPr>
        <w:spacing w:after="0"/>
      </w:pPr>
    </w:p>
    <w:p>
      <w:pPr>
        <w:pStyle w:val="Heading1"/>
        <w:keepNext/>
      </w:pPr>
      <w:r>
        <w:t>7. Lead Lifecycle, Assignment and SLA</w:t>
      </w:r>
    </w:p>
    <w:p>
      <w:pPr>
        <w:spacing w:after="40"/>
        <w:jc w:val="center"/>
      </w:pPr>
      <w:r>
        <w:drawing>
          <wp:inline xmlns:a="http://schemas.openxmlformats.org/drawingml/2006/main" xmlns:pic="http://schemas.openxmlformats.org/drawingml/2006/picture">
            <wp:extent cx="5303520" cy="8093725"/>
            <wp:docPr id="14" name="Picture 14" descr="Figure 3. Lead state model. Rejected and Lost are inactive states, not deletion." title="Figure 3. Lead state model. Rejected and Lost are inactive states, not deletion."/>
            <wp:cNvGraphicFramePr>
              <a:graphicFrameLocks noChangeAspect="1"/>
            </wp:cNvGraphicFramePr>
            <a:graphic>
              <a:graphicData uri="http://schemas.openxmlformats.org/drawingml/2006/picture">
                <pic:pic>
                  <pic:nvPicPr>
                    <pic:cNvPr id="0" name="20_lead_state.png"/>
                    <pic:cNvPicPr/>
                  </pic:nvPicPr>
                  <pic:blipFill>
                    <a:blip r:embed="rId24"/>
                    <a:stretch>
                      <a:fillRect/>
                    </a:stretch>
                  </pic:blipFill>
                  <pic:spPr>
                    <a:xfrm>
                      <a:off x="0" y="0"/>
                      <a:ext cx="5303520" cy="8093725"/>
                    </a:xfrm>
                    <a:prstGeom prst="rect"/>
                  </pic:spPr>
                </pic:pic>
              </a:graphicData>
            </a:graphic>
          </wp:inline>
        </w:drawing>
      </w:r>
    </w:p>
    <w:p>
      <w:pPr>
        <w:pStyle w:val="Caption"/>
        <w:spacing w:after="160"/>
        <w:jc w:val="center"/>
      </w:pPr>
      <w:r>
        <w:t>Figure 3. Lead state model. Rejected and Lost are inactive states, not deletion.</w:t>
      </w:r>
    </w:p>
    <w:p>
      <w:pPr>
        <w:pStyle w:val="Heading2"/>
        <w:keepNext/>
      </w:pPr>
      <w:r>
        <w:t>7.1 Rejected versus Lost</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1440"/>
            <w:shd w:fill="123447"/>
            <w:vAlign w:val="center"/>
            <w:tcMar>
              <w:top w:w="70" w:type="dxa"/>
              <w:start w:w="80" w:type="dxa"/>
              <w:bottom w:w="70" w:type="dxa"/>
              <w:end w:w="80" w:type="dxa"/>
            </w:tcMar>
          </w:tcPr>
          <w:p>
            <w:pPr>
              <w:jc w:val="left"/>
            </w:pPr>
            <w:r>
              <w:rPr>
                <w:b/>
                <w:color w:val="FFFFFF"/>
                <w:sz w:val="16"/>
              </w:rPr>
              <w:t>State</w:t>
            </w:r>
          </w:p>
        </w:tc>
        <w:tc>
          <w:tcPr>
            <w:tcW w:type="dxa" w:w="3240"/>
            <w:shd w:fill="123447"/>
            <w:vAlign w:val="center"/>
            <w:tcMar>
              <w:top w:w="70" w:type="dxa"/>
              <w:start w:w="80" w:type="dxa"/>
              <w:bottom w:w="70" w:type="dxa"/>
              <w:end w:w="80" w:type="dxa"/>
            </w:tcMar>
          </w:tcPr>
          <w:p>
            <w:pPr>
              <w:jc w:val="left"/>
            </w:pPr>
            <w:r>
              <w:rPr>
                <w:b/>
                <w:color w:val="FFFFFF"/>
                <w:sz w:val="16"/>
              </w:rPr>
              <w:t>Use</w:t>
            </w:r>
          </w:p>
        </w:tc>
        <w:tc>
          <w:tcPr>
            <w:tcW w:type="dxa" w:w="4968"/>
            <w:shd w:fill="123447"/>
            <w:vAlign w:val="center"/>
            <w:tcMar>
              <w:top w:w="70" w:type="dxa"/>
              <w:start w:w="80" w:type="dxa"/>
              <w:bottom w:w="70" w:type="dxa"/>
              <w:end w:w="80" w:type="dxa"/>
            </w:tcMar>
          </w:tcPr>
          <w:p>
            <w:pPr>
              <w:jc w:val="left"/>
            </w:pPr>
            <w:r>
              <w:rPr>
                <w:b/>
                <w:color w:val="FFFFFF"/>
                <w:sz w:val="16"/>
              </w:rPr>
              <w:t>Mandatory reason examples</w:t>
            </w:r>
          </w:p>
        </w:tc>
      </w:tr>
      <w:tr>
        <w:tc>
          <w:tcPr>
            <w:tcW w:type="dxa" w:w="1440"/>
            <w:vAlign w:val="top"/>
            <w:tcMar>
              <w:top w:w="70" w:type="dxa"/>
              <w:start w:w="80" w:type="dxa"/>
              <w:bottom w:w="70" w:type="dxa"/>
              <w:end w:w="80" w:type="dxa"/>
            </w:tcMar>
          </w:tcPr>
          <w:p>
            <w:pPr>
              <w:spacing w:after="0" w:before="0"/>
            </w:pPr>
            <w:r>
              <w:rPr>
                <w:b/>
                <w:sz w:val="16"/>
              </w:rPr>
              <w:t>REJECTED</w:t>
            </w:r>
          </w:p>
        </w:tc>
        <w:tc>
          <w:tcPr>
            <w:tcW w:type="dxa" w:w="3240"/>
            <w:vAlign w:val="top"/>
            <w:tcMar>
              <w:top w:w="70" w:type="dxa"/>
              <w:start w:w="80" w:type="dxa"/>
              <w:bottom w:w="70" w:type="dxa"/>
              <w:end w:w="80" w:type="dxa"/>
            </w:tcMar>
          </w:tcPr>
          <w:p>
            <w:pPr>
              <w:spacing w:after="0" w:before="0"/>
            </w:pPr>
            <w:r>
              <w:rPr>
                <w:sz w:val="16"/>
              </w:rPr>
              <w:t>Before the enquiry meaningfully enters sales</w:t>
            </w:r>
          </w:p>
        </w:tc>
        <w:tc>
          <w:tcPr>
            <w:tcW w:type="dxa" w:w="4968"/>
            <w:vAlign w:val="top"/>
            <w:tcMar>
              <w:top w:w="70" w:type="dxa"/>
              <w:start w:w="80" w:type="dxa"/>
              <w:bottom w:w="70" w:type="dxa"/>
              <w:end w:w="80" w:type="dxa"/>
            </w:tcMar>
          </w:tcPr>
          <w:p>
            <w:pPr>
              <w:spacing w:after="0" w:before="0"/>
            </w:pPr>
            <w:r>
              <w:rPr>
                <w:sz w:val="16"/>
              </w:rPr>
              <w:t>Invalid number, duplicate, spam, wrong enquiry, outside service area, already purchased, not interested at first contact.</w:t>
            </w:r>
          </w:p>
        </w:tc>
      </w:tr>
      <w:tr>
        <w:tc>
          <w:tcPr>
            <w:tcW w:type="dxa" w:w="1440"/>
            <w:vAlign w:val="top"/>
            <w:tcMar>
              <w:top w:w="70" w:type="dxa"/>
              <w:start w:w="80" w:type="dxa"/>
              <w:bottom w:w="70" w:type="dxa"/>
              <w:end w:w="80" w:type="dxa"/>
            </w:tcMar>
            <w:shd w:fill="F4F6F8"/>
          </w:tcPr>
          <w:p>
            <w:pPr>
              <w:spacing w:after="0" w:before="0"/>
            </w:pPr>
            <w:r>
              <w:rPr>
                <w:b/>
                <w:sz w:val="16"/>
              </w:rPr>
              <w:t>LOST</w:t>
            </w:r>
          </w:p>
        </w:tc>
        <w:tc>
          <w:tcPr>
            <w:tcW w:type="dxa" w:w="3240"/>
            <w:vAlign w:val="top"/>
            <w:tcMar>
              <w:top w:w="70" w:type="dxa"/>
              <w:start w:w="80" w:type="dxa"/>
              <w:bottom w:w="70" w:type="dxa"/>
              <w:end w:w="80" w:type="dxa"/>
            </w:tcMar>
            <w:shd w:fill="F4F6F8"/>
          </w:tcPr>
          <w:p>
            <w:pPr>
              <w:spacing w:after="0" w:before="0"/>
            </w:pPr>
            <w:r>
              <w:rPr>
                <w:sz w:val="16"/>
              </w:rPr>
              <w:t>After the lead was accepted into sales</w:t>
            </w:r>
          </w:p>
        </w:tc>
        <w:tc>
          <w:tcPr>
            <w:tcW w:type="dxa" w:w="4968"/>
            <w:vAlign w:val="top"/>
            <w:tcMar>
              <w:top w:w="70" w:type="dxa"/>
              <w:start w:w="80" w:type="dxa"/>
              <w:bottom w:w="70" w:type="dxa"/>
              <w:end w:w="80" w:type="dxa"/>
            </w:tcMar>
            <w:shd w:fill="F4F6F8"/>
          </w:tcPr>
          <w:p>
            <w:pPr>
              <w:spacing w:after="0" w:before="0"/>
            </w:pPr>
            <w:r>
              <w:rPr>
                <w:sz w:val="16"/>
              </w:rPr>
              <w:t>Price, finance rejected, model unavailable, competitor purchase, postponed, no response, family decision, other.</w:t>
            </w:r>
          </w:p>
        </w:tc>
      </w:tr>
    </w:tbl>
    <w:p>
      <w:pPr>
        <w:spacing w:after="0"/>
      </w:pPr>
    </w:p>
    <w:p>
      <w:pPr>
        <w:pStyle w:val="Heading2"/>
        <w:keepNext/>
      </w:pPr>
      <w:r>
        <w:t>7.2 Assignment rules</w:t>
      </w:r>
    </w:p>
    <w:p>
      <w:pPr>
        <w:pStyle w:val="ListBullet"/>
        <w:spacing w:after="40"/>
      </w:pPr>
      <w:r>
        <w:t>New leads enter a configurable queue by client, branch, vehicle category, source, language and working hours.</w:t>
      </w:r>
    </w:p>
    <w:p>
      <w:pPr>
        <w:pStyle w:val="ListBullet"/>
        <w:spacing w:after="40"/>
      </w:pPr>
      <w:r>
        <w:t>Auto-assignment options: round robin, weighted capacity, source/team routing or named owner. Manual assignment remains available to authorised managers.</w:t>
      </w:r>
    </w:p>
    <w:p>
      <w:pPr>
        <w:pStyle w:val="ListBullet"/>
        <w:spacing w:after="40"/>
      </w:pPr>
      <w:r>
        <w:t>Assignment is atomic and writes an append-only assignment event. Reassignment requires a reason.</w:t>
      </w:r>
    </w:p>
    <w:p>
      <w:pPr>
        <w:pStyle w:val="ListBullet"/>
        <w:spacing w:after="40"/>
      </w:pPr>
      <w:r>
        <w:t>First-response SLA begins at durable lead creation; outside-hours policy may pause or use next-business-hour logic.</w:t>
      </w:r>
    </w:p>
    <w:p>
      <w:pPr>
        <w:pStyle w:val="ListBullet"/>
        <w:spacing w:after="40"/>
      </w:pPr>
      <w:r>
        <w:t>SLA warning and breach events notify Salesperson, Sales Manager and then Manager according to escalation configuration.</w:t>
      </w:r>
    </w:p>
    <w:p>
      <w:pPr>
        <w:pStyle w:val="ListBullet"/>
        <w:spacing w:after="40"/>
      </w:pPr>
      <w:r>
        <w:t>An accepted lead freezes sales attribution to the Relationship Owner unless an authorised reassignment explicitly transfers attribution.</w:t>
      </w:r>
    </w:p>
    <w:p>
      <w:pPr>
        <w:pStyle w:val="Heading2"/>
        <w:keepNext/>
      </w:pPr>
      <w:r>
        <w:t>7.3 Follow-up controls</w:t>
      </w:r>
    </w:p>
    <w:p>
      <w:pPr>
        <w:pStyle w:val="ListBullet"/>
        <w:spacing w:after="40"/>
      </w:pPr>
      <w:r>
        <w:t>Every active opportunity must have a next action unless it is in a manager-approved waiting state.</w:t>
      </w:r>
    </w:p>
    <w:p>
      <w:pPr>
        <w:pStyle w:val="ListBullet"/>
        <w:spacing w:after="40"/>
      </w:pPr>
      <w:r>
        <w:t>Follow-ups have due time, channel, priority, outcome, notes and owner. Overdue tasks are visible in dashboard and mobile home.</w:t>
      </w:r>
    </w:p>
    <w:p>
      <w:pPr>
        <w:pStyle w:val="ListBullet"/>
        <w:spacing w:after="40"/>
      </w:pPr>
      <w:r>
        <w:t>Completed calls require an outcome or supervisor exception. No-answer/busy outcomes may create configured retry follow-ups.</w:t>
      </w:r>
    </w:p>
    <w:p>
      <w:pPr>
        <w:pStyle w:val="ListBullet"/>
        <w:spacing w:after="40"/>
      </w:pPr>
      <w:r>
        <w:t>Reopening Rejected/Lost requires a reason and creates a new status event without overwriting original source/history.</w:t>
      </w:r>
    </w:p>
    <w:p>
      <w:pPr>
        <w:pStyle w:val="Heading1"/>
        <w:keepNext/>
      </w:pPr>
      <w:r>
        <w:t>8. Calling, Dialer and Telephony Integration</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MVP dialer</w:t>
            </w:r>
            <w:r>
              <w:br/>
              <w:t>Click-to-Call + Preview Dialer. A controlled Power Dialer may be added later. Predictive dialing and unsupported call recording are excluded.</w:t>
            </w:r>
          </w:p>
        </w:tc>
        <w:trPr>
          <w:tblHeader/>
        </w:trPr>
      </w:tr>
    </w:tbl>
    <w:p>
      <w:pPr>
        <w:spacing w:after="0"/>
      </w:pP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376"/>
            <w:shd w:fill="123447"/>
            <w:vAlign w:val="center"/>
            <w:tcMar>
              <w:top w:w="70" w:type="dxa"/>
              <w:start w:w="80" w:type="dxa"/>
              <w:bottom w:w="70" w:type="dxa"/>
              <w:end w:w="80" w:type="dxa"/>
            </w:tcMar>
          </w:tcPr>
          <w:p>
            <w:pPr>
              <w:jc w:val="left"/>
            </w:pPr>
            <w:r>
              <w:rPr>
                <w:b/>
                <w:color w:val="FFFFFF"/>
                <w:sz w:val="16"/>
              </w:rPr>
              <w:t>Mode</w:t>
            </w:r>
          </w:p>
        </w:tc>
        <w:tc>
          <w:tcPr>
            <w:tcW w:type="dxa" w:w="4608"/>
            <w:shd w:fill="123447"/>
            <w:vAlign w:val="center"/>
            <w:tcMar>
              <w:top w:w="70" w:type="dxa"/>
              <w:start w:w="80" w:type="dxa"/>
              <w:bottom w:w="70" w:type="dxa"/>
              <w:end w:w="80" w:type="dxa"/>
            </w:tcMar>
          </w:tcPr>
          <w:p>
            <w:pPr>
              <w:jc w:val="left"/>
            </w:pPr>
            <w:r>
              <w:rPr>
                <w:b/>
                <w:color w:val="FFFFFF"/>
                <w:sz w:val="16"/>
              </w:rPr>
              <w:t>CRM behavior</w:t>
            </w:r>
          </w:p>
        </w:tc>
        <w:tc>
          <w:tcPr>
            <w:tcW w:type="dxa" w:w="2664"/>
            <w:shd w:fill="123447"/>
            <w:vAlign w:val="center"/>
            <w:tcMar>
              <w:top w:w="70" w:type="dxa"/>
              <w:start w:w="80" w:type="dxa"/>
              <w:bottom w:w="70" w:type="dxa"/>
              <w:end w:w="80" w:type="dxa"/>
            </w:tcMar>
          </w:tcPr>
          <w:p>
            <w:pPr>
              <w:jc w:val="left"/>
            </w:pPr>
            <w:r>
              <w:rPr>
                <w:b/>
                <w:color w:val="FFFFFF"/>
                <w:sz w:val="16"/>
              </w:rPr>
              <w:t>Limit</w:t>
            </w:r>
          </w:p>
        </w:tc>
      </w:tr>
      <w:tr>
        <w:tc>
          <w:tcPr>
            <w:tcW w:type="dxa" w:w="2376"/>
            <w:vAlign w:val="top"/>
            <w:tcMar>
              <w:top w:w="70" w:type="dxa"/>
              <w:start w:w="80" w:type="dxa"/>
              <w:bottom w:w="70" w:type="dxa"/>
              <w:end w:w="80" w:type="dxa"/>
            </w:tcMar>
          </w:tcPr>
          <w:p>
            <w:pPr>
              <w:spacing w:after="0" w:before="0"/>
            </w:pPr>
            <w:r>
              <w:rPr>
                <w:sz w:val="16"/>
              </w:rPr>
              <w:t>Cloud telephony API</w:t>
            </w:r>
          </w:p>
        </w:tc>
        <w:tc>
          <w:tcPr>
            <w:tcW w:type="dxa" w:w="4608"/>
            <w:vAlign w:val="top"/>
            <w:tcMar>
              <w:top w:w="70" w:type="dxa"/>
              <w:start w:w="80" w:type="dxa"/>
              <w:bottom w:w="70" w:type="dxa"/>
              <w:end w:w="80" w:type="dxa"/>
            </w:tcMar>
          </w:tcPr>
          <w:p>
            <w:pPr>
              <w:spacing w:after="0" w:before="0"/>
            </w:pPr>
            <w:r>
              <w:rPr>
                <w:sz w:val="16"/>
              </w:rPr>
              <w:t>Automatic provider call ID, status, duration, agent, virtual number and recording reference where enabled</w:t>
            </w:r>
          </w:p>
        </w:tc>
        <w:tc>
          <w:tcPr>
            <w:tcW w:type="dxa" w:w="2664"/>
            <w:vAlign w:val="top"/>
            <w:tcMar>
              <w:top w:w="70" w:type="dxa"/>
              <w:start w:w="80" w:type="dxa"/>
              <w:bottom w:w="70" w:type="dxa"/>
              <w:end w:w="80" w:type="dxa"/>
            </w:tcMar>
          </w:tcPr>
          <w:p>
            <w:pPr>
              <w:spacing w:after="0" w:before="0"/>
            </w:pPr>
            <w:r>
              <w:rPr>
                <w:sz w:val="16"/>
              </w:rPr>
              <w:t>Client/provider account, consent and legal controls required.</w:t>
            </w:r>
          </w:p>
        </w:tc>
      </w:tr>
      <w:tr>
        <w:tc>
          <w:tcPr>
            <w:tcW w:type="dxa" w:w="2376"/>
            <w:vAlign w:val="top"/>
            <w:tcMar>
              <w:top w:w="70" w:type="dxa"/>
              <w:start w:w="80" w:type="dxa"/>
              <w:bottom w:w="70" w:type="dxa"/>
              <w:end w:w="80" w:type="dxa"/>
            </w:tcMar>
            <w:shd w:fill="F4F6F8"/>
          </w:tcPr>
          <w:p>
            <w:pPr>
              <w:spacing w:after="0" w:before="0"/>
            </w:pPr>
            <w:r>
              <w:rPr>
                <w:sz w:val="16"/>
              </w:rPr>
              <w:t>Provider browser/mobile voice SDK</w:t>
            </w:r>
          </w:p>
        </w:tc>
        <w:tc>
          <w:tcPr>
            <w:tcW w:type="dxa" w:w="4608"/>
            <w:vAlign w:val="top"/>
            <w:tcMar>
              <w:top w:w="70" w:type="dxa"/>
              <w:start w:w="80" w:type="dxa"/>
              <w:bottom w:w="70" w:type="dxa"/>
              <w:end w:w="80" w:type="dxa"/>
            </w:tcMar>
            <w:shd w:fill="F4F6F8"/>
          </w:tcPr>
          <w:p>
            <w:pPr>
              <w:spacing w:after="0" w:before="0"/>
            </w:pPr>
            <w:r>
              <w:rPr>
                <w:sz w:val="16"/>
              </w:rPr>
              <w:t>In-app voice when a selected provider officially supports it</w:t>
            </w:r>
          </w:p>
        </w:tc>
        <w:tc>
          <w:tcPr>
            <w:tcW w:type="dxa" w:w="2664"/>
            <w:vAlign w:val="top"/>
            <w:tcMar>
              <w:top w:w="70" w:type="dxa"/>
              <w:start w:w="80" w:type="dxa"/>
              <w:bottom w:w="70" w:type="dxa"/>
              <w:end w:w="80" w:type="dxa"/>
            </w:tcMar>
            <w:shd w:fill="F4F6F8"/>
          </w:tcPr>
          <w:p>
            <w:pPr>
              <w:spacing w:after="0" w:before="0"/>
            </w:pPr>
            <w:r>
              <w:rPr>
                <w:sz w:val="16"/>
              </w:rPr>
              <w:t>Adds microphone permission and provider-specific testing.</w:t>
            </w:r>
          </w:p>
        </w:tc>
      </w:tr>
      <w:tr>
        <w:tc>
          <w:tcPr>
            <w:tcW w:type="dxa" w:w="2376"/>
            <w:vAlign w:val="top"/>
            <w:tcMar>
              <w:top w:w="70" w:type="dxa"/>
              <w:start w:w="80" w:type="dxa"/>
              <w:bottom w:w="70" w:type="dxa"/>
              <w:end w:w="80" w:type="dxa"/>
            </w:tcMar>
          </w:tcPr>
          <w:p>
            <w:pPr>
              <w:spacing w:after="0" w:before="0"/>
            </w:pPr>
            <w:r>
              <w:rPr>
                <w:sz w:val="16"/>
              </w:rPr>
              <w:t>Android tel: fallback</w:t>
            </w:r>
          </w:p>
        </w:tc>
        <w:tc>
          <w:tcPr>
            <w:tcW w:type="dxa" w:w="4608"/>
            <w:vAlign w:val="top"/>
            <w:tcMar>
              <w:top w:w="70" w:type="dxa"/>
              <w:start w:w="80" w:type="dxa"/>
              <w:bottom w:w="70" w:type="dxa"/>
              <w:end w:w="80" w:type="dxa"/>
            </w:tcMar>
          </w:tcPr>
          <w:p>
            <w:pPr>
              <w:spacing w:after="0" w:before="0"/>
            </w:pPr>
            <w:r>
              <w:rPr>
                <w:sz w:val="16"/>
              </w:rPr>
              <w:t>Launch normal dialer; user records outcome</w:t>
            </w:r>
          </w:p>
        </w:tc>
        <w:tc>
          <w:tcPr>
            <w:tcW w:type="dxa" w:w="2664"/>
            <w:vAlign w:val="top"/>
            <w:tcMar>
              <w:top w:w="70" w:type="dxa"/>
              <w:start w:w="80" w:type="dxa"/>
              <w:bottom w:w="70" w:type="dxa"/>
              <w:end w:w="80" w:type="dxa"/>
            </w:tcMar>
          </w:tcPr>
          <w:p>
            <w:pPr>
              <w:spacing w:after="0" w:before="0"/>
            </w:pPr>
            <w:r>
              <w:rPr>
                <w:sz w:val="16"/>
              </w:rPr>
              <w:t>Exact duration, answered status and recording are not guaranteed.</w:t>
            </w:r>
          </w:p>
        </w:tc>
      </w:tr>
    </w:tbl>
    <w:p>
      <w:pPr>
        <w:spacing w:after="0"/>
      </w:pPr>
    </w:p>
    <w:p>
      <w:pPr>
        <w:pStyle w:val="Heading2"/>
        <w:keepNext/>
      </w:pPr>
      <w:r>
        <w:t>8.1 Provider adapter contract</w:t>
      </w:r>
    </w:p>
    <w:p>
      <w:pPr>
        <w:spacing w:after="100"/>
      </w:pPr>
      <w:r>
        <w:t>The provider interface supports startCall, verifyWebhook, parseCallEvent, getRecording, syncCalls, normalizeStatus and healthCheck. Provider-specific payloads never leak into lead/business modules.</w:t>
      </w:r>
    </w:p>
    <w:p>
      <w:pPr>
        <w:pStyle w:val="Heading2"/>
        <w:keepNext/>
      </w:pPr>
      <w:r>
        <w:t>8.2 Call evidence and outcomes</w:t>
      </w:r>
    </w:p>
    <w:p>
      <w:pPr>
        <w:pStyle w:val="ListBullet"/>
        <w:spacing w:after="40"/>
      </w:pPr>
      <w:r>
        <w:t>Store provider call ID, client, virtual number, caller/callee, user, lead, timestamps, duration, status and recording reference.</w:t>
      </w:r>
    </w:p>
    <w:p>
      <w:pPr>
        <w:pStyle w:val="ListBullet"/>
        <w:spacing w:after="40"/>
      </w:pPr>
      <w:r>
        <w:t>Outcomes: interested, callback, test ride, showroom visit, no answer, busy, wrong number, not interested, already purchased and other.</w:t>
      </w:r>
    </w:p>
    <w:p>
      <w:pPr>
        <w:pStyle w:val="ListBullet"/>
        <w:spacing w:after="40"/>
      </w:pPr>
      <w:r>
        <w:t>Provider webhooks are authoritative; reconciliation jobs repair missing or out-of-order events.</w:t>
      </w:r>
    </w:p>
    <w:p>
      <w:pPr>
        <w:pStyle w:val="ListBullet"/>
        <w:spacing w:after="40"/>
      </w:pPr>
      <w:r>
        <w:t>Recordings remain private, are retrieved through authorised backend flow and follow client-configured retention.</w:t>
      </w:r>
    </w:p>
    <w:p>
      <w:pPr>
        <w:pStyle w:val="ListBullet"/>
        <w:spacing w:after="40"/>
      </w:pPr>
      <w:r>
        <w:t>Do not request READ_CALL_LOG, READ_SMS, READ_CONTACTS or accessibility privileges for core MVP.</w:t>
      </w:r>
    </w:p>
    <w:p>
      <w:pPr>
        <w:pStyle w:val="Heading1"/>
        <w:keepNext/>
      </w:pPr>
      <w:r>
        <w:t>9. Unified Inbox and Customer Communication Timeline</w:t>
      </w:r>
    </w:p>
    <w:p>
      <w:pPr>
        <w:pStyle w:val="Heading2"/>
        <w:keepNext/>
      </w:pPr>
      <w:r>
        <w:t>9.1 Supported timeline channels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520"/>
            <w:shd w:fill="123447"/>
            <w:vAlign w:val="center"/>
            <w:tcMar>
              <w:top w:w="70" w:type="dxa"/>
              <w:start w:w="80" w:type="dxa"/>
              <w:bottom w:w="70" w:type="dxa"/>
              <w:end w:w="80" w:type="dxa"/>
            </w:tcMar>
          </w:tcPr>
          <w:p>
            <w:pPr>
              <w:jc w:val="left"/>
            </w:pPr>
            <w:r>
              <w:rPr>
                <w:b/>
                <w:color w:val="FFFFFF"/>
                <w:sz w:val="16"/>
              </w:rPr>
              <w:t>Channel</w:t>
            </w:r>
          </w:p>
        </w:tc>
        <w:tc>
          <w:tcPr>
            <w:tcW w:type="dxa" w:w="7128"/>
            <w:shd w:fill="123447"/>
            <w:vAlign w:val="center"/>
            <w:tcMar>
              <w:top w:w="70" w:type="dxa"/>
              <w:start w:w="80" w:type="dxa"/>
              <w:bottom w:w="70" w:type="dxa"/>
              <w:end w:w="80" w:type="dxa"/>
            </w:tcMar>
          </w:tcPr>
          <w:p>
            <w:pPr>
              <w:jc w:val="left"/>
            </w:pPr>
            <w:r>
              <w:rPr>
                <w:b/>
                <w:color w:val="FFFFFF"/>
                <w:sz w:val="16"/>
              </w:rPr>
              <w:t>MVP timeline content</w:t>
            </w:r>
          </w:p>
        </w:tc>
      </w:tr>
      <w:tr>
        <w:tc>
          <w:tcPr>
            <w:tcW w:type="dxa" w:w="2520"/>
            <w:vAlign w:val="top"/>
            <w:tcMar>
              <w:top w:w="70" w:type="dxa"/>
              <w:start w:w="80" w:type="dxa"/>
              <w:bottom w:w="70" w:type="dxa"/>
              <w:end w:w="80" w:type="dxa"/>
            </w:tcMar>
          </w:tcPr>
          <w:p>
            <w:pPr>
              <w:spacing w:after="0" w:before="0"/>
            </w:pPr>
            <w:r>
              <w:rPr>
                <w:sz w:val="16"/>
              </w:rPr>
              <w:t>WhatsApp Business Platform</w:t>
            </w:r>
          </w:p>
        </w:tc>
        <w:tc>
          <w:tcPr>
            <w:tcW w:type="dxa" w:w="7128"/>
            <w:vAlign w:val="top"/>
            <w:tcMar>
              <w:top w:w="70" w:type="dxa"/>
              <w:start w:w="80" w:type="dxa"/>
              <w:bottom w:w="70" w:type="dxa"/>
              <w:end w:w="80" w:type="dxa"/>
            </w:tcMar>
          </w:tcPr>
          <w:p>
            <w:pPr>
              <w:spacing w:after="0" w:before="0"/>
            </w:pPr>
            <w:r>
              <w:rPr>
                <w:sz w:val="16"/>
              </w:rPr>
              <w:t>Inbound/outbound message, template, media, referral context and sent/delivered/read/failed status.</w:t>
            </w:r>
          </w:p>
        </w:tc>
      </w:tr>
      <w:tr>
        <w:tc>
          <w:tcPr>
            <w:tcW w:type="dxa" w:w="2520"/>
            <w:vAlign w:val="top"/>
            <w:tcMar>
              <w:top w:w="70" w:type="dxa"/>
              <w:start w:w="80" w:type="dxa"/>
              <w:bottom w:w="70" w:type="dxa"/>
              <w:end w:w="80" w:type="dxa"/>
            </w:tcMar>
            <w:shd w:fill="F4F6F8"/>
          </w:tcPr>
          <w:p>
            <w:pPr>
              <w:spacing w:after="0" w:before="0"/>
            </w:pPr>
            <w:r>
              <w:rPr>
                <w:sz w:val="16"/>
              </w:rPr>
              <w:t>Instagram professional messaging</w:t>
            </w:r>
          </w:p>
        </w:tc>
        <w:tc>
          <w:tcPr>
            <w:tcW w:type="dxa" w:w="7128"/>
            <w:vAlign w:val="top"/>
            <w:tcMar>
              <w:top w:w="70" w:type="dxa"/>
              <w:start w:w="80" w:type="dxa"/>
              <w:bottom w:w="70" w:type="dxa"/>
              <w:end w:w="80" w:type="dxa"/>
            </w:tcMar>
            <w:shd w:fill="F4F6F8"/>
          </w:tcPr>
          <w:p>
            <w:pPr>
              <w:spacing w:after="0" w:before="0"/>
            </w:pPr>
            <w:r>
              <w:rPr>
                <w:sz w:val="16"/>
              </w:rPr>
              <w:t>Inbound/outbound only after official permissions and client connection are approved.</w:t>
            </w:r>
          </w:p>
        </w:tc>
      </w:tr>
      <w:tr>
        <w:tc>
          <w:tcPr>
            <w:tcW w:type="dxa" w:w="2520"/>
            <w:vAlign w:val="top"/>
            <w:tcMar>
              <w:top w:w="70" w:type="dxa"/>
              <w:start w:w="80" w:type="dxa"/>
              <w:bottom w:w="70" w:type="dxa"/>
              <w:end w:w="80" w:type="dxa"/>
            </w:tcMar>
          </w:tcPr>
          <w:p>
            <w:pPr>
              <w:spacing w:after="0" w:before="0"/>
            </w:pPr>
            <w:r>
              <w:rPr>
                <w:sz w:val="16"/>
              </w:rPr>
              <w:t>Facebook Messenger</w:t>
            </w:r>
          </w:p>
        </w:tc>
        <w:tc>
          <w:tcPr>
            <w:tcW w:type="dxa" w:w="7128"/>
            <w:vAlign w:val="top"/>
            <w:tcMar>
              <w:top w:w="70" w:type="dxa"/>
              <w:start w:w="80" w:type="dxa"/>
              <w:bottom w:w="70" w:type="dxa"/>
              <w:end w:w="80" w:type="dxa"/>
            </w:tcMar>
          </w:tcPr>
          <w:p>
            <w:pPr>
              <w:spacing w:after="0" w:before="0"/>
            </w:pPr>
            <w:r>
              <w:rPr>
                <w:sz w:val="16"/>
              </w:rPr>
              <w:t>Inbound/outbound only after official Page permissions are approved.</w:t>
            </w:r>
          </w:p>
        </w:tc>
      </w:tr>
      <w:tr>
        <w:tc>
          <w:tcPr>
            <w:tcW w:type="dxa" w:w="2520"/>
            <w:vAlign w:val="top"/>
            <w:tcMar>
              <w:top w:w="70" w:type="dxa"/>
              <w:start w:w="80" w:type="dxa"/>
              <w:bottom w:w="70" w:type="dxa"/>
              <w:end w:w="80" w:type="dxa"/>
            </w:tcMar>
            <w:shd w:fill="F4F6F8"/>
          </w:tcPr>
          <w:p>
            <w:pPr>
              <w:spacing w:after="0" w:before="0"/>
            </w:pPr>
            <w:r>
              <w:rPr>
                <w:sz w:val="16"/>
              </w:rPr>
              <w:t>Calls</w:t>
            </w:r>
          </w:p>
        </w:tc>
        <w:tc>
          <w:tcPr>
            <w:tcW w:type="dxa" w:w="7128"/>
            <w:vAlign w:val="top"/>
            <w:tcMar>
              <w:top w:w="70" w:type="dxa"/>
              <w:start w:w="80" w:type="dxa"/>
              <w:bottom w:w="70" w:type="dxa"/>
              <w:end w:w="80" w:type="dxa"/>
            </w:tcMar>
            <w:shd w:fill="F4F6F8"/>
          </w:tcPr>
          <w:p>
            <w:pPr>
              <w:spacing w:after="0" w:before="0"/>
            </w:pPr>
            <w:r>
              <w:rPr>
                <w:sz w:val="16"/>
              </w:rPr>
              <w:t>Provider status, recording reference, call outcome and follow-up.</w:t>
            </w:r>
          </w:p>
        </w:tc>
      </w:tr>
      <w:tr>
        <w:tc>
          <w:tcPr>
            <w:tcW w:type="dxa" w:w="2520"/>
            <w:vAlign w:val="top"/>
            <w:tcMar>
              <w:top w:w="70" w:type="dxa"/>
              <w:start w:w="80" w:type="dxa"/>
              <w:bottom w:w="70" w:type="dxa"/>
              <w:end w:w="80" w:type="dxa"/>
            </w:tcMar>
          </w:tcPr>
          <w:p>
            <w:pPr>
              <w:spacing w:after="0" w:before="0"/>
            </w:pPr>
            <w:r>
              <w:rPr>
                <w:sz w:val="16"/>
              </w:rPr>
              <w:t>Email/SMS</w:t>
            </w:r>
          </w:p>
        </w:tc>
        <w:tc>
          <w:tcPr>
            <w:tcW w:type="dxa" w:w="7128"/>
            <w:vAlign w:val="top"/>
            <w:tcMar>
              <w:top w:w="70" w:type="dxa"/>
              <w:start w:w="80" w:type="dxa"/>
              <w:bottom w:w="70" w:type="dxa"/>
              <w:end w:w="80" w:type="dxa"/>
            </w:tcMar>
          </w:tcPr>
          <w:p>
            <w:pPr>
              <w:spacing w:after="0" w:before="0"/>
            </w:pPr>
            <w:r>
              <w:rPr>
                <w:sz w:val="16"/>
              </w:rPr>
              <w:t>Notification send/delivery and inbound reply only where provider supports it.</w:t>
            </w:r>
          </w:p>
        </w:tc>
      </w:tr>
      <w:tr>
        <w:tc>
          <w:tcPr>
            <w:tcW w:type="dxa" w:w="2520"/>
            <w:vAlign w:val="top"/>
            <w:tcMar>
              <w:top w:w="70" w:type="dxa"/>
              <w:start w:w="80" w:type="dxa"/>
              <w:bottom w:w="70" w:type="dxa"/>
              <w:end w:w="80" w:type="dxa"/>
            </w:tcMar>
            <w:shd w:fill="F4F6F8"/>
          </w:tcPr>
          <w:p>
            <w:pPr>
              <w:spacing w:after="0" w:before="0"/>
            </w:pPr>
            <w:r>
              <w:rPr>
                <w:sz w:val="16"/>
              </w:rPr>
              <w:t>Internal events</w:t>
            </w:r>
          </w:p>
        </w:tc>
        <w:tc>
          <w:tcPr>
            <w:tcW w:type="dxa" w:w="7128"/>
            <w:vAlign w:val="top"/>
            <w:tcMar>
              <w:top w:w="70" w:type="dxa"/>
              <w:start w:w="80" w:type="dxa"/>
              <w:bottom w:w="70" w:type="dxa"/>
              <w:end w:w="80" w:type="dxa"/>
            </w:tcMar>
            <w:shd w:fill="F4F6F8"/>
          </w:tcPr>
          <w:p>
            <w:pPr>
              <w:spacing w:after="0" w:before="0"/>
            </w:pPr>
            <w:r>
              <w:rPr>
                <w:sz w:val="16"/>
              </w:rPr>
              <w:t>Notes, tasks, assignment, status, stock, payment, delivery, RC, audit and system automation.</w:t>
            </w:r>
          </w:p>
        </w:tc>
      </w:tr>
    </w:tbl>
    <w:p>
      <w:pPr>
        <w:spacing w:after="0"/>
      </w:pPr>
    </w:p>
    <w:p>
      <w:pPr>
        <w:pStyle w:val="Heading2"/>
        <w:keepNext/>
      </w:pPr>
      <w:r>
        <w:t>9.2 Ownership and routing</w:t>
      </w:r>
    </w:p>
    <w:p>
      <w:pPr>
        <w:pStyle w:val="ListBullet"/>
        <w:spacing w:after="40"/>
      </w:pPr>
      <w:r>
        <w:t>Sales remains the default customer-facing conversation owner throughout the journey.</w:t>
      </w:r>
    </w:p>
    <w:p>
      <w:pPr>
        <w:pStyle w:val="ListBullet"/>
        <w:spacing w:after="40"/>
      </w:pPr>
      <w:r>
        <w:t>Billing, Delivery and RC users update operational modules; automated updates and customer replies still appear in the same customer timeline.</w:t>
      </w:r>
    </w:p>
    <w:p>
      <w:pPr>
        <w:pStyle w:val="ListBullet"/>
        <w:spacing w:after="40"/>
      </w:pPr>
      <w:r>
        <w:t>Intent routing may assign a message to Billing, Delivery or RC queue while keeping Sales visibility.</w:t>
      </w:r>
    </w:p>
    <w:p>
      <w:pPr>
        <w:pStyle w:val="ListBullet"/>
        <w:spacing w:after="40"/>
      </w:pPr>
      <w:r>
        <w:t>Outside the WhatsApp service window, the sender must select an approved template. Marketing and operational consent remain separate.</w:t>
      </w:r>
    </w:p>
    <w:p>
      <w:pPr>
        <w:pStyle w:val="ListBullet"/>
        <w:spacing w:after="40"/>
      </w:pPr>
      <w:r>
        <w:t>Every outbound message records tenant, number, category/template, actor/automation, consent reference, provider ID and delivery status.</w:t>
      </w:r>
    </w:p>
    <w:p>
      <w:pPr>
        <w:pStyle w:val="Heading1"/>
        <w:keepNext/>
      </w:pPr>
      <w:r>
        <w:t>10. Test Ride Operations and Active Location</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1800"/>
            <w:shd w:fill="123447"/>
            <w:vAlign w:val="center"/>
            <w:tcMar>
              <w:top w:w="70" w:type="dxa"/>
              <w:start w:w="80" w:type="dxa"/>
              <w:bottom w:w="70" w:type="dxa"/>
              <w:end w:w="80" w:type="dxa"/>
            </w:tcMar>
          </w:tcPr>
          <w:p>
            <w:pPr>
              <w:jc w:val="left"/>
            </w:pPr>
            <w:r>
              <w:rPr>
                <w:b/>
                <w:color w:val="FFFFFF"/>
                <w:sz w:val="16"/>
              </w:rPr>
              <w:t>State</w:t>
            </w:r>
          </w:p>
        </w:tc>
        <w:tc>
          <w:tcPr>
            <w:tcW w:type="dxa" w:w="3960"/>
            <w:shd w:fill="123447"/>
            <w:vAlign w:val="center"/>
            <w:tcMar>
              <w:top w:w="70" w:type="dxa"/>
              <w:start w:w="80" w:type="dxa"/>
              <w:bottom w:w="70" w:type="dxa"/>
              <w:end w:w="80" w:type="dxa"/>
            </w:tcMar>
          </w:tcPr>
          <w:p>
            <w:pPr>
              <w:jc w:val="left"/>
            </w:pPr>
            <w:r>
              <w:rPr>
                <w:b/>
                <w:color w:val="FFFFFF"/>
                <w:sz w:val="16"/>
              </w:rPr>
              <w:t>Entry requirement</w:t>
            </w:r>
          </w:p>
        </w:tc>
        <w:tc>
          <w:tcPr>
            <w:tcW w:type="dxa" w:w="3888"/>
            <w:shd w:fill="123447"/>
            <w:vAlign w:val="center"/>
            <w:tcMar>
              <w:top w:w="70" w:type="dxa"/>
              <w:start w:w="80" w:type="dxa"/>
              <w:bottom w:w="70" w:type="dxa"/>
              <w:end w:w="80" w:type="dxa"/>
            </w:tcMar>
          </w:tcPr>
          <w:p>
            <w:pPr>
              <w:jc w:val="left"/>
            </w:pPr>
            <w:r>
              <w:rPr>
                <w:b/>
                <w:color w:val="FFFFFF"/>
                <w:sz w:val="16"/>
              </w:rPr>
              <w:t>Exit evidence</w:t>
            </w:r>
          </w:p>
        </w:tc>
      </w:tr>
      <w:tr>
        <w:tc>
          <w:tcPr>
            <w:tcW w:type="dxa" w:w="1800"/>
            <w:vAlign w:val="top"/>
            <w:tcMar>
              <w:top w:w="70" w:type="dxa"/>
              <w:start w:w="80" w:type="dxa"/>
              <w:bottom w:w="70" w:type="dxa"/>
              <w:end w:w="80" w:type="dxa"/>
            </w:tcMar>
          </w:tcPr>
          <w:p>
            <w:pPr>
              <w:spacing w:after="0" w:before="0"/>
            </w:pPr>
            <w:r>
              <w:rPr>
                <w:sz w:val="16"/>
              </w:rPr>
              <w:t>REQUESTED</w:t>
            </w:r>
          </w:p>
        </w:tc>
        <w:tc>
          <w:tcPr>
            <w:tcW w:type="dxa" w:w="3960"/>
            <w:vAlign w:val="top"/>
            <w:tcMar>
              <w:top w:w="70" w:type="dxa"/>
              <w:start w:w="80" w:type="dxa"/>
              <w:bottom w:w="70" w:type="dxa"/>
              <w:end w:w="80" w:type="dxa"/>
            </w:tcMar>
          </w:tcPr>
          <w:p>
            <w:pPr>
              <w:spacing w:after="0" w:before="0"/>
            </w:pPr>
            <w:r>
              <w:rPr>
                <w:sz w:val="16"/>
              </w:rPr>
              <w:t>Customer interest and preferred model/time/location</w:t>
            </w:r>
          </w:p>
        </w:tc>
        <w:tc>
          <w:tcPr>
            <w:tcW w:type="dxa" w:w="3888"/>
            <w:vAlign w:val="top"/>
            <w:tcMar>
              <w:top w:w="70" w:type="dxa"/>
              <w:start w:w="80" w:type="dxa"/>
              <w:bottom w:w="70" w:type="dxa"/>
              <w:end w:w="80" w:type="dxa"/>
            </w:tcMar>
          </w:tcPr>
          <w:p>
            <w:pPr>
              <w:spacing w:after="0" w:before="0"/>
            </w:pPr>
            <w:r>
              <w:rPr>
                <w:sz w:val="16"/>
              </w:rPr>
              <w:t>Booked or cancelled reason</w:t>
            </w:r>
          </w:p>
        </w:tc>
      </w:tr>
      <w:tr>
        <w:tc>
          <w:tcPr>
            <w:tcW w:type="dxa" w:w="1800"/>
            <w:vAlign w:val="top"/>
            <w:tcMar>
              <w:top w:w="70" w:type="dxa"/>
              <w:start w:w="80" w:type="dxa"/>
              <w:bottom w:w="70" w:type="dxa"/>
              <w:end w:w="80" w:type="dxa"/>
            </w:tcMar>
            <w:shd w:fill="F4F6F8"/>
          </w:tcPr>
          <w:p>
            <w:pPr>
              <w:spacing w:after="0" w:before="0"/>
            </w:pPr>
            <w:r>
              <w:rPr>
                <w:sz w:val="16"/>
              </w:rPr>
              <w:t>BOOKED</w:t>
            </w:r>
          </w:p>
        </w:tc>
        <w:tc>
          <w:tcPr>
            <w:tcW w:type="dxa" w:w="3960"/>
            <w:vAlign w:val="top"/>
            <w:tcMar>
              <w:top w:w="70" w:type="dxa"/>
              <w:start w:w="80" w:type="dxa"/>
              <w:bottom w:w="70" w:type="dxa"/>
              <w:end w:w="80" w:type="dxa"/>
            </w:tcMar>
            <w:shd w:fill="F4F6F8"/>
          </w:tcPr>
          <w:p>
            <w:pPr>
              <w:spacing w:after="0" w:before="0"/>
            </w:pPr>
            <w:r>
              <w:rPr>
                <w:sz w:val="16"/>
              </w:rPr>
              <w:t>Branch, demo vehicle or vehicle class, date/time</w:t>
            </w:r>
          </w:p>
        </w:tc>
        <w:tc>
          <w:tcPr>
            <w:tcW w:type="dxa" w:w="3888"/>
            <w:vAlign w:val="top"/>
            <w:tcMar>
              <w:top w:w="70" w:type="dxa"/>
              <w:start w:w="80" w:type="dxa"/>
              <w:bottom w:w="70" w:type="dxa"/>
              <w:end w:w="80" w:type="dxa"/>
            </w:tcMar>
            <w:shd w:fill="F4F6F8"/>
          </w:tcPr>
          <w:p>
            <w:pPr>
              <w:spacing w:after="0" w:before="0"/>
            </w:pPr>
            <w:r>
              <w:rPr>
                <w:sz w:val="16"/>
              </w:rPr>
              <w:t>Customer confirmation</w:t>
            </w:r>
          </w:p>
        </w:tc>
      </w:tr>
      <w:tr>
        <w:tc>
          <w:tcPr>
            <w:tcW w:type="dxa" w:w="1800"/>
            <w:vAlign w:val="top"/>
            <w:tcMar>
              <w:top w:w="70" w:type="dxa"/>
              <w:start w:w="80" w:type="dxa"/>
              <w:bottom w:w="70" w:type="dxa"/>
              <w:end w:w="80" w:type="dxa"/>
            </w:tcMar>
          </w:tcPr>
          <w:p>
            <w:pPr>
              <w:spacing w:after="0" w:before="0"/>
            </w:pPr>
            <w:r>
              <w:rPr>
                <w:sz w:val="16"/>
              </w:rPr>
              <w:t>EXECUTIVE ASSIGNED</w:t>
            </w:r>
          </w:p>
        </w:tc>
        <w:tc>
          <w:tcPr>
            <w:tcW w:type="dxa" w:w="3960"/>
            <w:vAlign w:val="top"/>
            <w:tcMar>
              <w:top w:w="70" w:type="dxa"/>
              <w:start w:w="80" w:type="dxa"/>
              <w:bottom w:w="70" w:type="dxa"/>
              <w:end w:w="80" w:type="dxa"/>
            </w:tcMar>
          </w:tcPr>
          <w:p>
            <w:pPr>
              <w:spacing w:after="0" w:before="0"/>
            </w:pPr>
            <w:r>
              <w:rPr>
                <w:sz w:val="16"/>
              </w:rPr>
              <w:t>Eligible executive and vehicle availability</w:t>
            </w:r>
          </w:p>
        </w:tc>
        <w:tc>
          <w:tcPr>
            <w:tcW w:type="dxa" w:w="3888"/>
            <w:vAlign w:val="top"/>
            <w:tcMar>
              <w:top w:w="70" w:type="dxa"/>
              <w:start w:w="80" w:type="dxa"/>
              <w:bottom w:w="70" w:type="dxa"/>
              <w:end w:w="80" w:type="dxa"/>
            </w:tcMar>
          </w:tcPr>
          <w:p>
            <w:pPr>
              <w:spacing w:after="0" w:before="0"/>
            </w:pPr>
            <w:r>
              <w:rPr>
                <w:sz w:val="16"/>
              </w:rPr>
              <w:t>Acceptance / manager override</w:t>
            </w:r>
          </w:p>
        </w:tc>
      </w:tr>
      <w:tr>
        <w:tc>
          <w:tcPr>
            <w:tcW w:type="dxa" w:w="1800"/>
            <w:vAlign w:val="top"/>
            <w:tcMar>
              <w:top w:w="70" w:type="dxa"/>
              <w:start w:w="80" w:type="dxa"/>
              <w:bottom w:w="70" w:type="dxa"/>
              <w:end w:w="80" w:type="dxa"/>
            </w:tcMar>
            <w:shd w:fill="F4F6F8"/>
          </w:tcPr>
          <w:p>
            <w:pPr>
              <w:spacing w:after="0" w:before="0"/>
            </w:pPr>
            <w:r>
              <w:rPr>
                <w:sz w:val="16"/>
              </w:rPr>
              <w:t>ACTIVE</w:t>
            </w:r>
          </w:p>
        </w:tc>
        <w:tc>
          <w:tcPr>
            <w:tcW w:type="dxa" w:w="3960"/>
            <w:vAlign w:val="top"/>
            <w:tcMar>
              <w:top w:w="70" w:type="dxa"/>
              <w:start w:w="80" w:type="dxa"/>
              <w:bottom w:w="70" w:type="dxa"/>
              <w:end w:w="80" w:type="dxa"/>
            </w:tcMar>
            <w:shd w:fill="F4F6F8"/>
          </w:tcPr>
          <w:p>
            <w:pPr>
              <w:spacing w:after="0" w:before="0"/>
            </w:pPr>
            <w:r>
              <w:rPr>
                <w:sz w:val="16"/>
              </w:rPr>
              <w:t>Explicit Start action, permission and foreground notification</w:t>
            </w:r>
          </w:p>
        </w:tc>
        <w:tc>
          <w:tcPr>
            <w:tcW w:type="dxa" w:w="3888"/>
            <w:vAlign w:val="top"/>
            <w:tcMar>
              <w:top w:w="70" w:type="dxa"/>
              <w:start w:w="80" w:type="dxa"/>
              <w:bottom w:w="70" w:type="dxa"/>
              <w:end w:w="80" w:type="dxa"/>
            </w:tcMar>
            <w:shd w:fill="F4F6F8"/>
          </w:tcPr>
          <w:p>
            <w:pPr>
              <w:spacing w:after="0" w:before="0"/>
            </w:pPr>
            <w:r>
              <w:rPr>
                <w:sz w:val="16"/>
              </w:rPr>
              <w:t>Stop/completion/cancel/timeout</w:t>
            </w:r>
          </w:p>
        </w:tc>
      </w:tr>
      <w:tr>
        <w:tc>
          <w:tcPr>
            <w:tcW w:type="dxa" w:w="1800"/>
            <w:vAlign w:val="top"/>
            <w:tcMar>
              <w:top w:w="70" w:type="dxa"/>
              <w:start w:w="80" w:type="dxa"/>
              <w:bottom w:w="70" w:type="dxa"/>
              <w:end w:w="80" w:type="dxa"/>
            </w:tcMar>
          </w:tcPr>
          <w:p>
            <w:pPr>
              <w:spacing w:after="0" w:before="0"/>
            </w:pPr>
            <w:r>
              <w:rPr>
                <w:sz w:val="16"/>
              </w:rPr>
              <w:t>COMPLETED</w:t>
            </w:r>
          </w:p>
        </w:tc>
        <w:tc>
          <w:tcPr>
            <w:tcW w:type="dxa" w:w="3960"/>
            <w:vAlign w:val="top"/>
            <w:tcMar>
              <w:top w:w="70" w:type="dxa"/>
              <w:start w:w="80" w:type="dxa"/>
              <w:bottom w:w="70" w:type="dxa"/>
              <w:end w:w="80" w:type="dxa"/>
            </w:tcMar>
          </w:tcPr>
          <w:p>
            <w:pPr>
              <w:spacing w:after="0" w:before="0"/>
            </w:pPr>
            <w:r>
              <w:rPr>
                <w:sz w:val="16"/>
              </w:rPr>
              <w:t>Kilometres, checklist and feedback</w:t>
            </w:r>
          </w:p>
        </w:tc>
        <w:tc>
          <w:tcPr>
            <w:tcW w:type="dxa" w:w="3888"/>
            <w:vAlign w:val="top"/>
            <w:tcMar>
              <w:top w:w="70" w:type="dxa"/>
              <w:start w:w="80" w:type="dxa"/>
              <w:bottom w:w="70" w:type="dxa"/>
              <w:end w:w="80" w:type="dxa"/>
            </w:tcMar>
          </w:tcPr>
          <w:p>
            <w:pPr>
              <w:spacing w:after="0" w:before="0"/>
            </w:pPr>
            <w:r>
              <w:rPr>
                <w:sz w:val="16"/>
              </w:rPr>
              <w:t>Salesperson notified</w:t>
            </w:r>
          </w:p>
        </w:tc>
      </w:tr>
      <w:tr>
        <w:tc>
          <w:tcPr>
            <w:tcW w:type="dxa" w:w="1800"/>
            <w:vAlign w:val="top"/>
            <w:tcMar>
              <w:top w:w="70" w:type="dxa"/>
              <w:start w:w="80" w:type="dxa"/>
              <w:bottom w:w="70" w:type="dxa"/>
              <w:end w:w="80" w:type="dxa"/>
            </w:tcMar>
            <w:shd w:fill="F4F6F8"/>
          </w:tcPr>
          <w:p>
            <w:pPr>
              <w:spacing w:after="0" w:before="0"/>
            </w:pPr>
            <w:r>
              <w:rPr>
                <w:sz w:val="16"/>
              </w:rPr>
              <w:t>CANCELLED / NO-SHOW</w:t>
            </w:r>
          </w:p>
        </w:tc>
        <w:tc>
          <w:tcPr>
            <w:tcW w:type="dxa" w:w="3960"/>
            <w:vAlign w:val="top"/>
            <w:tcMar>
              <w:top w:w="70" w:type="dxa"/>
              <w:start w:w="80" w:type="dxa"/>
              <w:bottom w:w="70" w:type="dxa"/>
              <w:end w:w="80" w:type="dxa"/>
            </w:tcMar>
            <w:shd w:fill="F4F6F8"/>
          </w:tcPr>
          <w:p>
            <w:pPr>
              <w:spacing w:after="0" w:before="0"/>
            </w:pPr>
            <w:r>
              <w:rPr>
                <w:sz w:val="16"/>
              </w:rPr>
              <w:t>Mandatory reason and actor</w:t>
            </w:r>
          </w:p>
        </w:tc>
        <w:tc>
          <w:tcPr>
            <w:tcW w:type="dxa" w:w="3888"/>
            <w:vAlign w:val="top"/>
            <w:tcMar>
              <w:top w:w="70" w:type="dxa"/>
              <w:start w:w="80" w:type="dxa"/>
              <w:bottom w:w="70" w:type="dxa"/>
              <w:end w:w="80" w:type="dxa"/>
            </w:tcMar>
            <w:shd w:fill="F4F6F8"/>
          </w:tcPr>
          <w:p>
            <w:pPr>
              <w:spacing w:after="0" w:before="0"/>
            </w:pPr>
            <w:r>
              <w:rPr>
                <w:sz w:val="16"/>
              </w:rPr>
              <w:t>Demo vehicle released</w:t>
            </w:r>
          </w:p>
        </w:tc>
      </w:tr>
    </w:tbl>
    <w:p>
      <w:pPr>
        <w:spacing w:after="0"/>
      </w:pPr>
    </w:p>
    <w:p>
      <w:pPr>
        <w:pStyle w:val="Heading2"/>
        <w:keepNext/>
      </w:pPr>
      <w:r>
        <w:t>10.1 Location rules</w:t>
      </w:r>
    </w:p>
    <w:p>
      <w:pPr>
        <w:pStyle w:val="ListBullet"/>
        <w:spacing w:after="40"/>
      </w:pPr>
      <w:r>
        <w:t>Location starts only when the assigned executive taps Start after an in-context prominent disclosure.</w:t>
      </w:r>
    </w:p>
    <w:p>
      <w:pPr>
        <w:pStyle w:val="ListBullet"/>
        <w:spacing w:after="40"/>
      </w:pPr>
      <w:r>
        <w:t>Android foreground-service type location and an ongoing notification are mandatory during active tracking.</w:t>
      </w:r>
    </w:p>
    <w:p>
      <w:pPr>
        <w:pStyle w:val="ListBullet"/>
        <w:spacing w:after="40"/>
      </w:pPr>
      <w:r>
        <w:t>No off-duty tracking. Tracking stops on completion, cancellation, manual stop, timeout or revoked permission.</w:t>
      </w:r>
    </w:p>
    <w:p>
      <w:pPr>
        <w:pStyle w:val="ListBullet"/>
        <w:spacing w:after="40"/>
      </w:pPr>
      <w:r>
        <w:t>Target update frequency is 30–60 seconds during ACTIVE, subject to OS, network and battery behavior.</w:t>
      </w:r>
    </w:p>
    <w:p>
      <w:pPr>
        <w:pStyle w:val="ListBullet"/>
        <w:spacing w:after="40"/>
      </w:pPr>
      <w:r>
        <w:t>The manager map shows active jobs, last update, accuracy and stale indicator; it is not a continuous employee-history screen.</w:t>
      </w:r>
    </w:p>
    <w:p>
      <w:pPr>
        <w:pStyle w:val="ListBullet"/>
        <w:spacing w:after="40"/>
      </w:pPr>
      <w:r>
        <w:t>Background-location permission is not requested in the initial build unless device testing proves foreground-service tracking cannot meet the approved use case and Google Play review is completed.</w:t>
      </w:r>
    </w:p>
    <w:p>
      <w:pPr>
        <w:pStyle w:val="Heading1"/>
        <w:keepNext/>
      </w:pPr>
      <w:r>
        <w:t>11. Vehicle Catalog, Inventory and Allocation</w:t>
      </w:r>
    </w:p>
    <w:p>
      <w:pPr>
        <w:spacing w:after="40"/>
        <w:jc w:val="center"/>
      </w:pPr>
      <w:r>
        <w:drawing>
          <wp:inline xmlns:a="http://schemas.openxmlformats.org/drawingml/2006/main" xmlns:pic="http://schemas.openxmlformats.org/drawingml/2006/picture">
            <wp:extent cx="5303520" cy="5397388"/>
            <wp:docPr id="15" name="Picture 15" descr="Figure 4. Inventory states and safe reservation/allocation transitions." title="Figure 4. Inventory states and safe reservation/allocation transitions."/>
            <wp:cNvGraphicFramePr>
              <a:graphicFrameLocks noChangeAspect="1"/>
            </wp:cNvGraphicFramePr>
            <a:graphic>
              <a:graphicData uri="http://schemas.openxmlformats.org/drawingml/2006/picture">
                <pic:pic>
                  <pic:nvPicPr>
                    <pic:cNvPr id="0" name="21_inventory_state.png"/>
                    <pic:cNvPicPr/>
                  </pic:nvPicPr>
                  <pic:blipFill>
                    <a:blip r:embed="rId25"/>
                    <a:stretch>
                      <a:fillRect/>
                    </a:stretch>
                  </pic:blipFill>
                  <pic:spPr>
                    <a:xfrm>
                      <a:off x="0" y="0"/>
                      <a:ext cx="5303520" cy="5397388"/>
                    </a:xfrm>
                    <a:prstGeom prst="rect"/>
                  </pic:spPr>
                </pic:pic>
              </a:graphicData>
            </a:graphic>
          </wp:inline>
        </w:drawing>
      </w:r>
    </w:p>
    <w:p>
      <w:pPr>
        <w:pStyle w:val="Caption"/>
        <w:spacing w:after="160"/>
        <w:jc w:val="center"/>
      </w:pPr>
      <w:r>
        <w:t>Figure 4. Inventory states and safe reservation/allocation transitions.</w:t>
      </w:r>
    </w:p>
    <w:p>
      <w:pPr>
        <w:pStyle w:val="Heading2"/>
        <w:keepNext/>
      </w:pPr>
      <w:r>
        <w:t>11.1 Inventory unit fields</w:t>
      </w:r>
    </w:p>
    <w:p>
      <w:pPr>
        <w:pStyle w:val="ListBullet"/>
        <w:spacing w:after="40"/>
      </w:pPr>
      <w:r>
        <w:t>Client, branch, vehicle catalog ID, model, variant, colour, fuel/powertrain and model year.</w:t>
      </w:r>
    </w:p>
    <w:p>
      <w:pPr>
        <w:pStyle w:val="ListBullet"/>
        <w:spacing w:after="40"/>
      </w:pPr>
      <w:r>
        <w:t>VIN/chassis number and engine/motor number stored with masking in lists and full access only for authorised roles.</w:t>
      </w:r>
    </w:p>
    <w:p>
      <w:pPr>
        <w:pStyle w:val="ListBullet"/>
        <w:spacing w:after="40"/>
      </w:pPr>
      <w:r>
        <w:t>Stock status, acquisition/reference number, arrival date, expected arrival date, ownership type and notes.</w:t>
      </w:r>
    </w:p>
    <w:p>
      <w:pPr>
        <w:pStyle w:val="ListBullet"/>
        <w:spacing w:after="40"/>
      </w:pPr>
      <w:r>
        <w:t>Demo/test-ride flag, current odometer, condition, service/maintenance due and availability calendar.</w:t>
      </w:r>
    </w:p>
    <w:p>
      <w:pPr>
        <w:pStyle w:val="ListBullet"/>
        <w:spacing w:after="40"/>
      </w:pPr>
      <w:r>
        <w:t>Reservation ID, booking ID, reservation expiry, allocation timestamp, PDI status and delivery status.</w:t>
      </w:r>
    </w:p>
    <w:p>
      <w:pPr>
        <w:pStyle w:val="ListBullet"/>
        <w:spacing w:after="40"/>
      </w:pPr>
      <w:r>
        <w:t>Every transfer, block, release, correction and allocation creates an append-only inventory event.</w:t>
      </w:r>
    </w:p>
    <w:p>
      <w:pPr>
        <w:pStyle w:val="Heading2"/>
        <w:keepNext/>
      </w:pPr>
      <w:r>
        <w:t>11.2 Reservation and allocation rules</w:t>
      </w:r>
    </w:p>
    <w:p>
      <w:pPr>
        <w:pStyle w:val="ListBullet"/>
        <w:spacing w:after="40"/>
      </w:pPr>
      <w:r>
        <w:t>A vehicle may have at most one active reservation and one active allocation.</w:t>
      </w:r>
    </w:p>
    <w:p>
      <w:pPr>
        <w:pStyle w:val="ListBullet"/>
        <w:spacing w:after="40"/>
      </w:pPr>
      <w:r>
        <w:t>A reservation has an expiry and may be extended only by an authorised role with reason.</w:t>
      </w:r>
    </w:p>
    <w:p>
      <w:pPr>
        <w:pStyle w:val="ListBullet"/>
        <w:spacing w:after="40"/>
      </w:pPr>
      <w:r>
        <w:t>Expired or cancelled reservations return the unit to AVAILABLE unless it is blocked or transferred.</w:t>
      </w:r>
    </w:p>
    <w:p>
      <w:pPr>
        <w:pStyle w:val="ListBullet"/>
        <w:spacing w:after="40"/>
      </w:pPr>
      <w:r>
        <w:t>Allocation requires a confirmed booking and client-configured payment/readiness rule.</w:t>
      </w:r>
    </w:p>
    <w:p>
      <w:pPr>
        <w:pStyle w:val="ListBullet"/>
        <w:spacing w:after="40"/>
      </w:pPr>
      <w:r>
        <w:t>Changing an allocated VIN requires manager approval, reason, customer communication decision and audit.</w:t>
      </w:r>
    </w:p>
    <w:p>
      <w:pPr>
        <w:pStyle w:val="ListBullet"/>
        <w:spacing w:after="40"/>
      </w:pPr>
      <w:r>
        <w:t>Demo vehicles cannot be allocated for retail delivery until converted to saleable stock through an approved process.</w:t>
      </w:r>
    </w:p>
    <w:p>
      <w:pPr>
        <w:pStyle w:val="Heading1"/>
        <w:keepNext/>
      </w:pPr>
      <w:r>
        <w:t>12. Booking, Billing, Payment and Finance Tracking</w:t>
      </w:r>
    </w:p>
    <w:p>
      <w:pPr>
        <w:pStyle w:val="Heading2"/>
        <w:keepNext/>
      </w:pPr>
      <w:r>
        <w:t>12.1 Booking confirmation</w:t>
      </w:r>
    </w:p>
    <w:p>
      <w:pPr>
        <w:pStyle w:val="ListBullet"/>
        <w:spacing w:after="40"/>
      </w:pPr>
      <w:r>
        <w:t>Booking captures customer, opportunity, branch, vehicle configuration, quotation version, price components, expected delivery and salesperson.</w:t>
      </w:r>
    </w:p>
    <w:p>
      <w:pPr>
        <w:pStyle w:val="ListBullet"/>
        <w:spacing w:after="40"/>
      </w:pPr>
      <w:r>
        <w:t>Discount above the salesperson threshold requires Sales Manager/Manager approval reference before confirmation.</w:t>
      </w:r>
    </w:p>
    <w:p>
      <w:pPr>
        <w:pStyle w:val="ListBullet"/>
        <w:spacing w:after="40"/>
      </w:pPr>
      <w:r>
        <w:t>Booking cancellation requires reason, refund/settlement note if applicable, stock release and notification decisions.</w:t>
      </w:r>
    </w:p>
    <w:p>
      <w:pPr>
        <w:pStyle w:val="ListBullet"/>
        <w:spacing w:after="40"/>
      </w:pPr>
      <w:r>
        <w:t>The CRM tracks payment status; it does not move customer money or replace the accounting ledger in MVP.</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016"/>
            <w:shd w:fill="123447"/>
            <w:vAlign w:val="center"/>
            <w:tcMar>
              <w:top w:w="70" w:type="dxa"/>
              <w:start w:w="80" w:type="dxa"/>
              <w:bottom w:w="70" w:type="dxa"/>
              <w:end w:w="80" w:type="dxa"/>
            </w:tcMar>
          </w:tcPr>
          <w:p>
            <w:pPr>
              <w:jc w:val="left"/>
            </w:pPr>
            <w:r>
              <w:rPr>
                <w:b/>
                <w:color w:val="FFFFFF"/>
                <w:sz w:val="16"/>
              </w:rPr>
              <w:t>Payment type</w:t>
            </w:r>
          </w:p>
        </w:tc>
        <w:tc>
          <w:tcPr>
            <w:tcW w:type="dxa" w:w="7632"/>
            <w:shd w:fill="123447"/>
            <w:vAlign w:val="center"/>
            <w:tcMar>
              <w:top w:w="70" w:type="dxa"/>
              <w:start w:w="80" w:type="dxa"/>
              <w:bottom w:w="70" w:type="dxa"/>
              <w:end w:w="80" w:type="dxa"/>
            </w:tcMar>
          </w:tcPr>
          <w:p>
            <w:pPr>
              <w:jc w:val="left"/>
            </w:pPr>
            <w:r>
              <w:rPr>
                <w:b/>
                <w:color w:val="FFFFFF"/>
                <w:sz w:val="16"/>
              </w:rPr>
              <w:t>Tracking rule</w:t>
            </w:r>
          </w:p>
        </w:tc>
      </w:tr>
      <w:tr>
        <w:tc>
          <w:tcPr>
            <w:tcW w:type="dxa" w:w="2016"/>
            <w:vAlign w:val="top"/>
            <w:tcMar>
              <w:top w:w="70" w:type="dxa"/>
              <w:start w:w="80" w:type="dxa"/>
              <w:bottom w:w="70" w:type="dxa"/>
              <w:end w:w="80" w:type="dxa"/>
            </w:tcMar>
          </w:tcPr>
          <w:p>
            <w:pPr>
              <w:spacing w:after="0" w:before="0"/>
            </w:pPr>
            <w:r>
              <w:rPr>
                <w:b/>
                <w:sz w:val="16"/>
              </w:rPr>
              <w:t>FULL</w:t>
            </w:r>
          </w:p>
        </w:tc>
        <w:tc>
          <w:tcPr>
            <w:tcW w:type="dxa" w:w="7632"/>
            <w:vAlign w:val="top"/>
            <w:tcMar>
              <w:top w:w="70" w:type="dxa"/>
              <w:start w:w="80" w:type="dxa"/>
              <w:bottom w:w="70" w:type="dxa"/>
              <w:end w:w="80" w:type="dxa"/>
            </w:tcMar>
          </w:tcPr>
          <w:p>
            <w:pPr>
              <w:spacing w:after="0" w:before="0"/>
            </w:pPr>
            <w:r>
              <w:rPr>
                <w:sz w:val="16"/>
              </w:rPr>
              <w:t>Total paid equals payable amount; balance is zero.</w:t>
            </w:r>
          </w:p>
        </w:tc>
      </w:tr>
      <w:tr>
        <w:tc>
          <w:tcPr>
            <w:tcW w:type="dxa" w:w="2016"/>
            <w:vAlign w:val="top"/>
            <w:tcMar>
              <w:top w:w="70" w:type="dxa"/>
              <w:start w:w="80" w:type="dxa"/>
              <w:bottom w:w="70" w:type="dxa"/>
              <w:end w:w="80" w:type="dxa"/>
            </w:tcMar>
            <w:shd w:fill="F4F6F8"/>
          </w:tcPr>
          <w:p>
            <w:pPr>
              <w:spacing w:after="0" w:before="0"/>
            </w:pPr>
            <w:r>
              <w:rPr>
                <w:b/>
                <w:sz w:val="16"/>
              </w:rPr>
              <w:t>PARTIAL</w:t>
            </w:r>
          </w:p>
        </w:tc>
        <w:tc>
          <w:tcPr>
            <w:tcW w:type="dxa" w:w="7632"/>
            <w:vAlign w:val="top"/>
            <w:tcMar>
              <w:top w:w="70" w:type="dxa"/>
              <w:start w:w="80" w:type="dxa"/>
              <w:bottom w:w="70" w:type="dxa"/>
              <w:end w:w="80" w:type="dxa"/>
            </w:tcMar>
            <w:shd w:fill="F4F6F8"/>
          </w:tcPr>
          <w:p>
            <w:pPr>
              <w:spacing w:after="0" w:before="0"/>
            </w:pPr>
            <w:r>
              <w:rPr>
                <w:sz w:val="16"/>
              </w:rPr>
              <w:t>Multiple payment entries with references and remaining balance.</w:t>
            </w:r>
          </w:p>
        </w:tc>
      </w:tr>
      <w:tr>
        <w:tc>
          <w:tcPr>
            <w:tcW w:type="dxa" w:w="2016"/>
            <w:vAlign w:val="top"/>
            <w:tcMar>
              <w:top w:w="70" w:type="dxa"/>
              <w:start w:w="80" w:type="dxa"/>
              <w:bottom w:w="70" w:type="dxa"/>
              <w:end w:w="80" w:type="dxa"/>
            </w:tcMar>
          </w:tcPr>
          <w:p>
            <w:pPr>
              <w:spacing w:after="0" w:before="0"/>
            </w:pPr>
            <w:r>
              <w:rPr>
                <w:b/>
                <w:sz w:val="16"/>
              </w:rPr>
              <w:t>FINANCE</w:t>
            </w:r>
          </w:p>
        </w:tc>
        <w:tc>
          <w:tcPr>
            <w:tcW w:type="dxa" w:w="7632"/>
            <w:vAlign w:val="top"/>
            <w:tcMar>
              <w:top w:w="70" w:type="dxa"/>
              <w:start w:w="80" w:type="dxa"/>
              <w:bottom w:w="70" w:type="dxa"/>
              <w:end w:w="80" w:type="dxa"/>
            </w:tcMar>
          </w:tcPr>
          <w:p>
            <w:pPr>
              <w:spacing w:after="0" w:before="0"/>
            </w:pPr>
            <w:r>
              <w:rPr>
                <w:sz w:val="16"/>
              </w:rPr>
              <w:t>Finance partner, application, approval/rejection, sanction and disbursement status.</w:t>
            </w:r>
          </w:p>
        </w:tc>
      </w:tr>
      <w:tr>
        <w:tc>
          <w:tcPr>
            <w:tcW w:type="dxa" w:w="2016"/>
            <w:vAlign w:val="top"/>
            <w:tcMar>
              <w:top w:w="70" w:type="dxa"/>
              <w:start w:w="80" w:type="dxa"/>
              <w:bottom w:w="70" w:type="dxa"/>
              <w:end w:w="80" w:type="dxa"/>
            </w:tcMar>
            <w:shd w:fill="F4F6F8"/>
          </w:tcPr>
          <w:p>
            <w:pPr>
              <w:spacing w:after="0" w:before="0"/>
            </w:pPr>
            <w:r>
              <w:rPr>
                <w:b/>
                <w:sz w:val="16"/>
              </w:rPr>
              <w:t>INSTALLMENT</w:t>
            </w:r>
          </w:p>
        </w:tc>
        <w:tc>
          <w:tcPr>
            <w:tcW w:type="dxa" w:w="7632"/>
            <w:vAlign w:val="top"/>
            <w:tcMar>
              <w:top w:w="70" w:type="dxa"/>
              <w:start w:w="80" w:type="dxa"/>
              <w:bottom w:w="70" w:type="dxa"/>
              <w:end w:w="80" w:type="dxa"/>
            </w:tcMar>
            <w:shd w:fill="F4F6F8"/>
          </w:tcPr>
          <w:p>
            <w:pPr>
              <w:spacing w:after="0" w:before="0"/>
            </w:pPr>
            <w:r>
              <w:rPr>
                <w:sz w:val="16"/>
              </w:rPr>
              <w:t>Dealership-approved schedule and due confirmation only; legal/accounting approval required.</w:t>
            </w:r>
          </w:p>
        </w:tc>
      </w:tr>
      <w:tr>
        <w:tc>
          <w:tcPr>
            <w:tcW w:type="dxa" w:w="2016"/>
            <w:vAlign w:val="top"/>
            <w:tcMar>
              <w:top w:w="70" w:type="dxa"/>
              <w:start w:w="80" w:type="dxa"/>
              <w:bottom w:w="70" w:type="dxa"/>
              <w:end w:w="80" w:type="dxa"/>
            </w:tcMar>
          </w:tcPr>
          <w:p>
            <w:pPr>
              <w:spacing w:after="0" w:before="0"/>
            </w:pPr>
            <w:r>
              <w:rPr>
                <w:b/>
                <w:sz w:val="16"/>
              </w:rPr>
              <w:t>MIXED</w:t>
            </w:r>
          </w:p>
        </w:tc>
        <w:tc>
          <w:tcPr>
            <w:tcW w:type="dxa" w:w="7632"/>
            <w:vAlign w:val="top"/>
            <w:tcMar>
              <w:top w:w="70" w:type="dxa"/>
              <w:start w:w="80" w:type="dxa"/>
              <w:bottom w:w="70" w:type="dxa"/>
              <w:end w:w="80" w:type="dxa"/>
            </w:tcMar>
          </w:tcPr>
          <w:p>
            <w:pPr>
              <w:spacing w:after="0" w:before="0"/>
            </w:pPr>
            <w:r>
              <w:rPr>
                <w:sz w:val="16"/>
              </w:rPr>
              <w:t>Separate cash/online/finance/exchange components and references.</w:t>
            </w:r>
          </w:p>
        </w:tc>
      </w:tr>
    </w:tbl>
    <w:p>
      <w:pPr>
        <w:spacing w:after="0"/>
      </w:pPr>
    </w:p>
    <w:p>
      <w:pPr>
        <w:pStyle w:val="Heading2"/>
        <w:keepNext/>
      </w:pPr>
      <w:r>
        <w:t>12.2 Delivery readiness gate</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3024"/>
            <w:shd w:fill="123447"/>
            <w:vAlign w:val="center"/>
            <w:tcMar>
              <w:top w:w="70" w:type="dxa"/>
              <w:start w:w="80" w:type="dxa"/>
              <w:bottom w:w="70" w:type="dxa"/>
              <w:end w:w="80" w:type="dxa"/>
            </w:tcMar>
          </w:tcPr>
          <w:p>
            <w:pPr>
              <w:jc w:val="left"/>
            </w:pPr>
            <w:r>
              <w:rPr>
                <w:b/>
                <w:color w:val="FFFFFF"/>
                <w:sz w:val="16"/>
              </w:rPr>
              <w:t>Gate item</w:t>
            </w:r>
          </w:p>
        </w:tc>
        <w:tc>
          <w:tcPr>
            <w:tcW w:type="dxa" w:w="1944"/>
            <w:shd w:fill="123447"/>
            <w:vAlign w:val="center"/>
            <w:tcMar>
              <w:top w:w="70" w:type="dxa"/>
              <w:start w:w="80" w:type="dxa"/>
              <w:bottom w:w="70" w:type="dxa"/>
              <w:end w:w="80" w:type="dxa"/>
            </w:tcMar>
          </w:tcPr>
          <w:p>
            <w:pPr>
              <w:jc w:val="left"/>
            </w:pPr>
            <w:r>
              <w:rPr>
                <w:b/>
                <w:color w:val="FFFFFF"/>
                <w:sz w:val="16"/>
              </w:rPr>
              <w:t>Owner</w:t>
            </w:r>
          </w:p>
        </w:tc>
        <w:tc>
          <w:tcPr>
            <w:tcW w:type="dxa" w:w="4680"/>
            <w:shd w:fill="123447"/>
            <w:vAlign w:val="center"/>
            <w:tcMar>
              <w:top w:w="70" w:type="dxa"/>
              <w:start w:w="80" w:type="dxa"/>
              <w:bottom w:w="70" w:type="dxa"/>
              <w:end w:w="80" w:type="dxa"/>
            </w:tcMar>
          </w:tcPr>
          <w:p>
            <w:pPr>
              <w:jc w:val="left"/>
            </w:pPr>
            <w:r>
              <w:rPr>
                <w:b/>
                <w:color w:val="FFFFFF"/>
                <w:sz w:val="16"/>
              </w:rPr>
              <w:t>Blocking rule</w:t>
            </w:r>
          </w:p>
        </w:tc>
      </w:tr>
      <w:tr>
        <w:tc>
          <w:tcPr>
            <w:tcW w:type="dxa" w:w="3024"/>
            <w:vAlign w:val="top"/>
            <w:tcMar>
              <w:top w:w="70" w:type="dxa"/>
              <w:start w:w="80" w:type="dxa"/>
              <w:bottom w:w="70" w:type="dxa"/>
              <w:end w:w="80" w:type="dxa"/>
            </w:tcMar>
          </w:tcPr>
          <w:p>
            <w:pPr>
              <w:spacing w:after="0" w:before="0"/>
            </w:pPr>
            <w:r>
              <w:rPr>
                <w:sz w:val="16"/>
              </w:rPr>
              <w:t>Booking verified</w:t>
            </w:r>
          </w:p>
        </w:tc>
        <w:tc>
          <w:tcPr>
            <w:tcW w:type="dxa" w:w="1944"/>
            <w:vAlign w:val="top"/>
            <w:tcMar>
              <w:top w:w="70" w:type="dxa"/>
              <w:start w:w="80" w:type="dxa"/>
              <w:bottom w:w="70" w:type="dxa"/>
              <w:end w:w="80" w:type="dxa"/>
            </w:tcMar>
          </w:tcPr>
          <w:p>
            <w:pPr>
              <w:spacing w:after="0" w:before="0"/>
            </w:pPr>
            <w:r>
              <w:rPr>
                <w:sz w:val="16"/>
              </w:rPr>
              <w:t>Billing</w:t>
            </w:r>
          </w:p>
        </w:tc>
        <w:tc>
          <w:tcPr>
            <w:tcW w:type="dxa" w:w="4680"/>
            <w:vAlign w:val="top"/>
            <w:tcMar>
              <w:top w:w="70" w:type="dxa"/>
              <w:start w:w="80" w:type="dxa"/>
              <w:bottom w:w="70" w:type="dxa"/>
              <w:end w:w="80" w:type="dxa"/>
            </w:tcMar>
          </w:tcPr>
          <w:p>
            <w:pPr>
              <w:spacing w:after="0" w:before="0"/>
            </w:pPr>
            <w:r>
              <w:rPr>
                <w:sz w:val="16"/>
              </w:rPr>
              <w:t>Customer, model, amount and approvals are complete.</w:t>
            </w:r>
          </w:p>
        </w:tc>
      </w:tr>
      <w:tr>
        <w:tc>
          <w:tcPr>
            <w:tcW w:type="dxa" w:w="3024"/>
            <w:vAlign w:val="top"/>
            <w:tcMar>
              <w:top w:w="70" w:type="dxa"/>
              <w:start w:w="80" w:type="dxa"/>
              <w:bottom w:w="70" w:type="dxa"/>
              <w:end w:w="80" w:type="dxa"/>
            </w:tcMar>
            <w:shd w:fill="F4F6F8"/>
          </w:tcPr>
          <w:p>
            <w:pPr>
              <w:spacing w:after="0" w:before="0"/>
            </w:pPr>
            <w:r>
              <w:rPr>
                <w:sz w:val="16"/>
              </w:rPr>
              <w:t>Vehicle allocated</w:t>
            </w:r>
          </w:p>
        </w:tc>
        <w:tc>
          <w:tcPr>
            <w:tcW w:type="dxa" w:w="1944"/>
            <w:vAlign w:val="top"/>
            <w:tcMar>
              <w:top w:w="70" w:type="dxa"/>
              <w:start w:w="80" w:type="dxa"/>
              <w:bottom w:w="70" w:type="dxa"/>
              <w:end w:w="80" w:type="dxa"/>
            </w:tcMar>
            <w:shd w:fill="F4F6F8"/>
          </w:tcPr>
          <w:p>
            <w:pPr>
              <w:spacing w:after="0" w:before="0"/>
            </w:pPr>
            <w:r>
              <w:rPr>
                <w:sz w:val="16"/>
              </w:rPr>
              <w:t>Inventory</w:t>
            </w:r>
          </w:p>
        </w:tc>
        <w:tc>
          <w:tcPr>
            <w:tcW w:type="dxa" w:w="4680"/>
            <w:vAlign w:val="top"/>
            <w:tcMar>
              <w:top w:w="70" w:type="dxa"/>
              <w:start w:w="80" w:type="dxa"/>
              <w:bottom w:w="70" w:type="dxa"/>
              <w:end w:w="80" w:type="dxa"/>
            </w:tcMar>
            <w:shd w:fill="F4F6F8"/>
          </w:tcPr>
          <w:p>
            <w:pPr>
              <w:spacing w:after="0" w:before="0"/>
            </w:pPr>
            <w:r>
              <w:rPr>
                <w:sz w:val="16"/>
              </w:rPr>
              <w:t>Specific VIN/unit allocated or manager-approved exception.</w:t>
            </w:r>
          </w:p>
        </w:tc>
      </w:tr>
      <w:tr>
        <w:tc>
          <w:tcPr>
            <w:tcW w:type="dxa" w:w="3024"/>
            <w:vAlign w:val="top"/>
            <w:tcMar>
              <w:top w:w="70" w:type="dxa"/>
              <w:start w:w="80" w:type="dxa"/>
              <w:bottom w:w="70" w:type="dxa"/>
              <w:end w:w="80" w:type="dxa"/>
            </w:tcMar>
          </w:tcPr>
          <w:p>
            <w:pPr>
              <w:spacing w:after="0" w:before="0"/>
            </w:pPr>
            <w:r>
              <w:rPr>
                <w:sz w:val="16"/>
              </w:rPr>
              <w:t>Payment status</w:t>
            </w:r>
          </w:p>
        </w:tc>
        <w:tc>
          <w:tcPr>
            <w:tcW w:type="dxa" w:w="1944"/>
            <w:vAlign w:val="top"/>
            <w:tcMar>
              <w:top w:w="70" w:type="dxa"/>
              <w:start w:w="80" w:type="dxa"/>
              <w:bottom w:w="70" w:type="dxa"/>
              <w:end w:w="80" w:type="dxa"/>
            </w:tcMar>
          </w:tcPr>
          <w:p>
            <w:pPr>
              <w:spacing w:after="0" w:before="0"/>
            </w:pPr>
            <w:r>
              <w:rPr>
                <w:sz w:val="16"/>
              </w:rPr>
              <w:t>Billing</w:t>
            </w:r>
          </w:p>
        </w:tc>
        <w:tc>
          <w:tcPr>
            <w:tcW w:type="dxa" w:w="4680"/>
            <w:vAlign w:val="top"/>
            <w:tcMar>
              <w:top w:w="70" w:type="dxa"/>
              <w:start w:w="80" w:type="dxa"/>
              <w:bottom w:w="70" w:type="dxa"/>
              <w:end w:w="80" w:type="dxa"/>
            </w:tcMar>
          </w:tcPr>
          <w:p>
            <w:pPr>
              <w:spacing w:after="0" w:before="0"/>
            </w:pPr>
            <w:r>
              <w:rPr>
                <w:sz w:val="16"/>
              </w:rPr>
              <w:t>Client-configured threshold met; proof and verifier recorded.</w:t>
            </w:r>
          </w:p>
        </w:tc>
      </w:tr>
      <w:tr>
        <w:tc>
          <w:tcPr>
            <w:tcW w:type="dxa" w:w="3024"/>
            <w:vAlign w:val="top"/>
            <w:tcMar>
              <w:top w:w="70" w:type="dxa"/>
              <w:start w:w="80" w:type="dxa"/>
              <w:bottom w:w="70" w:type="dxa"/>
              <w:end w:w="80" w:type="dxa"/>
            </w:tcMar>
            <w:shd w:fill="F4F6F8"/>
          </w:tcPr>
          <w:p>
            <w:pPr>
              <w:spacing w:after="0" w:before="0"/>
            </w:pPr>
            <w:r>
              <w:rPr>
                <w:sz w:val="16"/>
              </w:rPr>
              <w:t>Finance disbursement</w:t>
            </w:r>
          </w:p>
        </w:tc>
        <w:tc>
          <w:tcPr>
            <w:tcW w:type="dxa" w:w="1944"/>
            <w:vAlign w:val="top"/>
            <w:tcMar>
              <w:top w:w="70" w:type="dxa"/>
              <w:start w:w="80" w:type="dxa"/>
              <w:bottom w:w="70" w:type="dxa"/>
              <w:end w:w="80" w:type="dxa"/>
            </w:tcMar>
            <w:shd w:fill="F4F6F8"/>
          </w:tcPr>
          <w:p>
            <w:pPr>
              <w:spacing w:after="0" w:before="0"/>
            </w:pPr>
            <w:r>
              <w:rPr>
                <w:sz w:val="16"/>
              </w:rPr>
              <w:t>Billing</w:t>
            </w:r>
          </w:p>
        </w:tc>
        <w:tc>
          <w:tcPr>
            <w:tcW w:type="dxa" w:w="4680"/>
            <w:vAlign w:val="top"/>
            <w:tcMar>
              <w:top w:w="70" w:type="dxa"/>
              <w:start w:w="80" w:type="dxa"/>
              <w:bottom w:w="70" w:type="dxa"/>
              <w:end w:w="80" w:type="dxa"/>
            </w:tcMar>
            <w:shd w:fill="F4F6F8"/>
          </w:tcPr>
          <w:p>
            <w:pPr>
              <w:spacing w:after="0" w:before="0"/>
            </w:pPr>
            <w:r>
              <w:rPr>
                <w:sz w:val="16"/>
              </w:rPr>
              <w:t>Required finance milestone reached.</w:t>
            </w:r>
          </w:p>
        </w:tc>
      </w:tr>
      <w:tr>
        <w:tc>
          <w:tcPr>
            <w:tcW w:type="dxa" w:w="3024"/>
            <w:vAlign w:val="top"/>
            <w:tcMar>
              <w:top w:w="70" w:type="dxa"/>
              <w:start w:w="80" w:type="dxa"/>
              <w:bottom w:w="70" w:type="dxa"/>
              <w:end w:w="80" w:type="dxa"/>
            </w:tcMar>
          </w:tcPr>
          <w:p>
            <w:pPr>
              <w:spacing w:after="0" w:before="0"/>
            </w:pPr>
            <w:r>
              <w:rPr>
                <w:sz w:val="16"/>
              </w:rPr>
              <w:t>Invoice/insurance</w:t>
            </w:r>
          </w:p>
        </w:tc>
        <w:tc>
          <w:tcPr>
            <w:tcW w:type="dxa" w:w="1944"/>
            <w:vAlign w:val="top"/>
            <w:tcMar>
              <w:top w:w="70" w:type="dxa"/>
              <w:start w:w="80" w:type="dxa"/>
              <w:bottom w:w="70" w:type="dxa"/>
              <w:end w:w="80" w:type="dxa"/>
            </w:tcMar>
          </w:tcPr>
          <w:p>
            <w:pPr>
              <w:spacing w:after="0" w:before="0"/>
            </w:pPr>
            <w:r>
              <w:rPr>
                <w:sz w:val="16"/>
              </w:rPr>
              <w:t>Billing</w:t>
            </w:r>
          </w:p>
        </w:tc>
        <w:tc>
          <w:tcPr>
            <w:tcW w:type="dxa" w:w="4680"/>
            <w:vAlign w:val="top"/>
            <w:tcMar>
              <w:top w:w="70" w:type="dxa"/>
              <w:start w:w="80" w:type="dxa"/>
              <w:bottom w:w="70" w:type="dxa"/>
              <w:end w:w="80" w:type="dxa"/>
            </w:tcMar>
          </w:tcPr>
          <w:p>
            <w:pPr>
              <w:spacing w:after="0" w:before="0"/>
            </w:pPr>
            <w:r>
              <w:rPr>
                <w:sz w:val="16"/>
              </w:rPr>
              <w:t>Required references and documents recorded.</w:t>
            </w:r>
          </w:p>
        </w:tc>
      </w:tr>
      <w:tr>
        <w:tc>
          <w:tcPr>
            <w:tcW w:type="dxa" w:w="3024"/>
            <w:vAlign w:val="top"/>
            <w:tcMar>
              <w:top w:w="70" w:type="dxa"/>
              <w:start w:w="80" w:type="dxa"/>
              <w:bottom w:w="70" w:type="dxa"/>
              <w:end w:w="80" w:type="dxa"/>
            </w:tcMar>
            <w:shd w:fill="F4F6F8"/>
          </w:tcPr>
          <w:p>
            <w:pPr>
              <w:spacing w:after="0" w:before="0"/>
            </w:pPr>
            <w:r>
              <w:rPr>
                <w:sz w:val="16"/>
              </w:rPr>
              <w:t>PDI / vehicle preparation</w:t>
            </w:r>
          </w:p>
        </w:tc>
        <w:tc>
          <w:tcPr>
            <w:tcW w:type="dxa" w:w="1944"/>
            <w:vAlign w:val="top"/>
            <w:tcMar>
              <w:top w:w="70" w:type="dxa"/>
              <w:start w:w="80" w:type="dxa"/>
              <w:bottom w:w="70" w:type="dxa"/>
              <w:end w:w="80" w:type="dxa"/>
            </w:tcMar>
            <w:shd w:fill="F4F6F8"/>
          </w:tcPr>
          <w:p>
            <w:pPr>
              <w:spacing w:after="0" w:before="0"/>
            </w:pPr>
            <w:r>
              <w:rPr>
                <w:sz w:val="16"/>
              </w:rPr>
              <w:t>Inventory/Delivery</w:t>
            </w:r>
          </w:p>
        </w:tc>
        <w:tc>
          <w:tcPr>
            <w:tcW w:type="dxa" w:w="4680"/>
            <w:vAlign w:val="top"/>
            <w:tcMar>
              <w:top w:w="70" w:type="dxa"/>
              <w:start w:w="80" w:type="dxa"/>
              <w:bottom w:w="70" w:type="dxa"/>
              <w:end w:w="80" w:type="dxa"/>
            </w:tcMar>
            <w:shd w:fill="F4F6F8"/>
          </w:tcPr>
          <w:p>
            <w:pPr>
              <w:spacing w:after="0" w:before="0"/>
            </w:pPr>
            <w:r>
              <w:rPr>
                <w:sz w:val="16"/>
              </w:rPr>
              <w:t>Checklist passed; no unresolved blocking issue.</w:t>
            </w:r>
          </w:p>
        </w:tc>
      </w:tr>
      <w:tr>
        <w:tc>
          <w:tcPr>
            <w:tcW w:type="dxa" w:w="3024"/>
            <w:vAlign w:val="top"/>
            <w:tcMar>
              <w:top w:w="70" w:type="dxa"/>
              <w:start w:w="80" w:type="dxa"/>
              <w:bottom w:w="70" w:type="dxa"/>
              <w:end w:w="80" w:type="dxa"/>
            </w:tcMar>
          </w:tcPr>
          <w:p>
            <w:pPr>
              <w:spacing w:after="0" w:before="0"/>
            </w:pPr>
            <w:r>
              <w:rPr>
                <w:sz w:val="16"/>
              </w:rPr>
              <w:t>Registration documents</w:t>
            </w:r>
          </w:p>
        </w:tc>
        <w:tc>
          <w:tcPr>
            <w:tcW w:type="dxa" w:w="1944"/>
            <w:vAlign w:val="top"/>
            <w:tcMar>
              <w:top w:w="70" w:type="dxa"/>
              <w:start w:w="80" w:type="dxa"/>
              <w:bottom w:w="70" w:type="dxa"/>
              <w:end w:w="80" w:type="dxa"/>
            </w:tcMar>
          </w:tcPr>
          <w:p>
            <w:pPr>
              <w:spacing w:after="0" w:before="0"/>
            </w:pPr>
            <w:r>
              <w:rPr>
                <w:sz w:val="16"/>
              </w:rPr>
              <w:t>Billing/RC</w:t>
            </w:r>
          </w:p>
        </w:tc>
        <w:tc>
          <w:tcPr>
            <w:tcW w:type="dxa" w:w="4680"/>
            <w:vAlign w:val="top"/>
            <w:tcMar>
              <w:top w:w="70" w:type="dxa"/>
              <w:start w:w="80" w:type="dxa"/>
              <w:bottom w:w="70" w:type="dxa"/>
              <w:end w:w="80" w:type="dxa"/>
            </w:tcMar>
          </w:tcPr>
          <w:p>
            <w:pPr>
              <w:spacing w:after="0" w:before="0"/>
            </w:pPr>
            <w:r>
              <w:rPr>
                <w:sz w:val="16"/>
              </w:rPr>
              <w:t>Required documents ready or approved delivery exception.</w:t>
            </w:r>
          </w:p>
        </w:tc>
      </w:tr>
      <w:tr>
        <w:tc>
          <w:tcPr>
            <w:tcW w:type="dxa" w:w="3024"/>
            <w:vAlign w:val="top"/>
            <w:tcMar>
              <w:top w:w="70" w:type="dxa"/>
              <w:start w:w="80" w:type="dxa"/>
              <w:bottom w:w="70" w:type="dxa"/>
              <w:end w:w="80" w:type="dxa"/>
            </w:tcMar>
            <w:shd w:fill="F4F6F8"/>
          </w:tcPr>
          <w:p>
            <w:pPr>
              <w:spacing w:after="0" w:before="0"/>
            </w:pPr>
            <w:r>
              <w:rPr>
                <w:sz w:val="16"/>
              </w:rPr>
              <w:t>Customer confirmation</w:t>
            </w:r>
          </w:p>
        </w:tc>
        <w:tc>
          <w:tcPr>
            <w:tcW w:type="dxa" w:w="1944"/>
            <w:vAlign w:val="top"/>
            <w:tcMar>
              <w:top w:w="70" w:type="dxa"/>
              <w:start w:w="80" w:type="dxa"/>
              <w:bottom w:w="70" w:type="dxa"/>
              <w:end w:w="80" w:type="dxa"/>
            </w:tcMar>
            <w:shd w:fill="F4F6F8"/>
          </w:tcPr>
          <w:p>
            <w:pPr>
              <w:spacing w:after="0" w:before="0"/>
            </w:pPr>
            <w:r>
              <w:rPr>
                <w:sz w:val="16"/>
              </w:rPr>
              <w:t>Sales/Delivery</w:t>
            </w:r>
          </w:p>
        </w:tc>
        <w:tc>
          <w:tcPr>
            <w:tcW w:type="dxa" w:w="4680"/>
            <w:vAlign w:val="top"/>
            <w:tcMar>
              <w:top w:w="70" w:type="dxa"/>
              <w:start w:w="80" w:type="dxa"/>
              <w:bottom w:w="70" w:type="dxa"/>
              <w:end w:w="80" w:type="dxa"/>
            </w:tcMar>
            <w:shd w:fill="F4F6F8"/>
          </w:tcPr>
          <w:p>
            <w:pPr>
              <w:spacing w:after="0" w:before="0"/>
            </w:pPr>
            <w:r>
              <w:rPr>
                <w:sz w:val="16"/>
              </w:rPr>
              <w:t>Date/time/location confirmed.</w:t>
            </w:r>
          </w:p>
        </w:tc>
      </w:tr>
    </w:tbl>
    <w:p>
      <w:pPr>
        <w:spacing w:after="0"/>
      </w:pPr>
    </w:p>
    <w:p>
      <w:pPr>
        <w:pStyle w:val="Heading1"/>
        <w:keepNext/>
      </w:pPr>
      <w:r>
        <w:t>13. Delivery Operations</w:t>
      </w:r>
    </w:p>
    <w:p>
      <w:pPr>
        <w:pStyle w:val="ListBullet"/>
        <w:spacing w:after="40"/>
      </w:pPr>
      <w:r>
        <w:t>Delivery job is created only after the readiness gate passes or an authorised exception is recorded.</w:t>
      </w:r>
    </w:p>
    <w:p>
      <w:pPr>
        <w:pStyle w:val="ListBullet"/>
        <w:spacing w:after="40"/>
      </w:pPr>
      <w:r>
        <w:t>The mobile job shows only required customer, vehicle, document/readiness and route information; unnecessary financial details are hidden.</w:t>
      </w:r>
    </w:p>
    <w:p>
      <w:pPr>
        <w:pStyle w:val="ListBullet"/>
        <w:spacing w:after="40"/>
      </w:pPr>
      <w:r>
        <w:t>Start Delivery activates job-bound location and an ongoing notification.</w:t>
      </w:r>
    </w:p>
    <w:p>
      <w:pPr>
        <w:pStyle w:val="ListBullet"/>
        <w:spacing w:after="40"/>
      </w:pPr>
      <w:r>
        <w:t>Checklist includes PDI confirmation, accessories, documents, keys, fuel/battery, odometer and visible condition.</w:t>
      </w:r>
    </w:p>
    <w:p>
      <w:pPr>
        <w:pStyle w:val="ListBullet"/>
        <w:spacing w:after="40"/>
      </w:pPr>
      <w:r>
        <w:t>Completion requires customer OTP or signature according to client policy, delivery photo where allowed, received-by name and timestamp.</w:t>
      </w:r>
    </w:p>
    <w:p>
      <w:pPr>
        <w:pStyle w:val="ListBullet"/>
        <w:spacing w:after="40"/>
      </w:pPr>
      <w:r>
        <w:t>Delay/failed delivery requires reason, next action, tracking stop and manager escalation.</w:t>
      </w:r>
    </w:p>
    <w:p>
      <w:pPr>
        <w:pStyle w:val="ListBullet"/>
        <w:spacing w:after="40"/>
      </w:pPr>
      <w:r>
        <w:t>Successful delivery creates/updates the Customer Vehicle record and reminder plan.</w:t>
      </w:r>
    </w:p>
    <w:p>
      <w:pPr>
        <w:pStyle w:val="Heading2"/>
        <w:keepNext/>
      </w:pPr>
      <w:r>
        <w:t>13.1 Delivery statuses</w:t>
      </w:r>
    </w:p>
    <w:p>
      <w:pPr>
        <w:spacing w:after="100"/>
      </w:pPr>
      <w:r>
        <w:t>VEHICLE_ALLOCATED → VEHICLE_PREPARATION → READY_FOR_DELIVERY → DELIVERY_SCHEDULED → OUT_FOR_DELIVERY → DELIVERED / DELAYED / FAILED / RESCHEDULED</w:t>
      </w:r>
    </w:p>
    <w:p>
      <w:pPr>
        <w:pStyle w:val="Heading1"/>
        <w:keepNext/>
      </w:pPr>
      <w:r>
        <w:t>14. Registration and RC Follow-up</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9F2F6"/>
            <w:tcMar>
              <w:top w:w="100" w:type="dxa"/>
              <w:start w:w="120" w:type="dxa"/>
              <w:bottom w:w="100" w:type="dxa"/>
              <w:end w:w="120" w:type="dxa"/>
            </w:tcMar>
          </w:tcPr>
          <w:p>
            <w:r>
              <w:rPr>
                <w:b/>
                <w:color w:val="123447"/>
                <w:sz w:val="20"/>
              </w:rPr>
              <w:t>Parallel process rule</w:t>
            </w:r>
            <w:r>
              <w:br/>
              <w:t>Registration may start before delivery and permanent RC may finish after delivery. Delivery and RC are parallel tracks linked to the same booking; neither overwrites the other.</w:t>
            </w:r>
          </w:p>
        </w:tc>
        <w:trPr>
          <w:tblHeader/>
        </w:trPr>
      </w:tr>
    </w:tbl>
    <w:p>
      <w:pPr>
        <w:spacing w:after="0"/>
      </w:pPr>
    </w:p>
    <w:p>
      <w:pPr>
        <w:spacing w:after="100"/>
      </w:pPr>
      <w:r>
        <w:t>DOCUMENTS_READY → REGISTRATION_STARTED → RTO_SUBMITTED → TR/NUMBER_ALLOTTED → RC_PENDING → RC_RECEIVED → RC_SHARED/COLLECTED → CASE_CLOSED</w:t>
      </w:r>
    </w:p>
    <w:p>
      <w:pPr>
        <w:pStyle w:val="ListBullet"/>
        <w:spacing w:after="40"/>
      </w:pPr>
      <w:r>
        <w:t>Store RTO name/code, application number, submission date, expected date, TR, permanent registration number and current status.</w:t>
      </w:r>
    </w:p>
    <w:p>
      <w:pPr>
        <w:pStyle w:val="ListBullet"/>
        <w:spacing w:after="40"/>
      </w:pPr>
      <w:r>
        <w:t>Calculate aging from the active status and compare against client-configured SLA.</w:t>
      </w:r>
    </w:p>
    <w:p>
      <w:pPr>
        <w:pStyle w:val="ListBullet"/>
        <w:spacing w:after="40"/>
      </w:pPr>
      <w:r>
        <w:t>Delay updates require reason and revised expected date. Managers see aging and escalation queues.</w:t>
      </w:r>
    </w:p>
    <w:p>
      <w:pPr>
        <w:pStyle w:val="ListBullet"/>
        <w:spacing w:after="40"/>
      </w:pPr>
      <w:r>
        <w:t>RC copy is private. Sharing uses a short-lived signed link, optional OTP and send/download audit.</w:t>
      </w:r>
    </w:p>
    <w:p>
      <w:pPr>
        <w:pStyle w:val="ListBullet"/>
        <w:spacing w:after="40"/>
      </w:pPr>
      <w:r>
        <w:t>Customer preference may be WhatsApp, email, SMS secure link, courier, pickup or ask-every-time.</w:t>
      </w:r>
    </w:p>
    <w:p>
      <w:pPr>
        <w:pStyle w:val="ListBullet"/>
        <w:spacing w:after="40"/>
      </w:pPr>
      <w:r>
        <w:t>Every event is append-only; corrections reference the previous event rather than deleting it.</w:t>
      </w:r>
    </w:p>
    <w:p>
      <w:pPr>
        <w:pStyle w:val="Heading1"/>
        <w:keepNext/>
      </w:pPr>
      <w:r>
        <w:t>15. Customer-Owned Vehicle and Post-Sale Lifecycle</w:t>
      </w:r>
    </w:p>
    <w:p>
      <w:pPr>
        <w:pStyle w:val="ListBullet"/>
        <w:spacing w:after="40"/>
      </w:pPr>
      <w:r>
        <w:t>Create a Customer Vehicle after delivery. Authorised users may also register a vehicle purchased elsewhere for future service/insurance/exchange campaigns.</w:t>
      </w:r>
    </w:p>
    <w:p>
      <w:pPr>
        <w:pStyle w:val="ListBullet"/>
        <w:spacing w:after="40"/>
      </w:pPr>
      <w:r>
        <w:t>Store ownership source, brand/model/variant/colour, VIN/engine/registration, booking/invoice/delivery/purchase dates and current branch relationship.</w:t>
      </w:r>
    </w:p>
    <w:p>
      <w:pPr>
        <w:pStyle w:val="ListBullet"/>
        <w:spacing w:after="40"/>
      </w:pPr>
      <w:r>
        <w:t>Store insurance, warranty, AMC, roadside assistance, service plan version, due date/kilometre and reminder preferences.</w:t>
      </w:r>
    </w:p>
    <w:p>
      <w:pPr>
        <w:pStyle w:val="ListBullet"/>
        <w:spacing w:after="40"/>
      </w:pPr>
      <w:r>
        <w:t>Service schedules are configurable by manufacturer/model/variant/year and delivery date; never hard-code one month for every vehicle.</w:t>
      </w:r>
    </w:p>
    <w:p>
      <w:pPr>
        <w:pStyle w:val="ListBullet"/>
        <w:spacing w:after="40"/>
      </w:pPr>
      <w:r>
        <w:t>Reminder types are independent: service, insurance, PUC, warranty, AMC, roadside assistance, RC pending, exchange eligibility and upgrade offer.</w:t>
      </w:r>
    </w:p>
    <w:p>
      <w:pPr>
        <w:pStyle w:val="ListBullet"/>
        <w:spacing w:after="40"/>
      </w:pPr>
      <w:r>
        <w:t>Operational reminders and promotional messages use separate template categories and consent rules.</w:t>
      </w:r>
    </w:p>
    <w:p>
      <w:pPr>
        <w:pStyle w:val="Heading2"/>
        <w:keepNext/>
      </w:pPr>
      <w:r>
        <w:t>15.1 MVP reminder engine</w:t>
      </w:r>
    </w:p>
    <w:p>
      <w:pPr>
        <w:pStyle w:val="ListBullet"/>
        <w:spacing w:after="40"/>
      </w:pPr>
      <w:r>
        <w:t>Fixed rule templates configured per client/model, not a visual automation builder.</w:t>
      </w:r>
    </w:p>
    <w:p>
      <w:pPr>
        <w:pStyle w:val="ListBullet"/>
        <w:spacing w:after="40"/>
      </w:pPr>
      <w:r>
        <w:t>Worker materialises reminder instances and sends configured 30/15/7/1-day or kilometre-threshold notifications.</w:t>
      </w:r>
    </w:p>
    <w:p>
      <w:pPr>
        <w:pStyle w:val="ListBullet"/>
        <w:spacing w:after="40"/>
      </w:pPr>
      <w:r>
        <w:t>Each instance has due time, channel, template, consent reference, status, retry count and suppression reason.</w:t>
      </w:r>
    </w:p>
    <w:p>
      <w:pPr>
        <w:pStyle w:val="ListBullet"/>
        <w:spacing w:after="40"/>
      </w:pPr>
      <w:r>
        <w:t>Replies route to the configured service contact or Relationship Owner. Full service job-card flow is Phase 2.</w:t>
      </w:r>
    </w:p>
    <w:p>
      <w:pPr>
        <w:pStyle w:val="Heading1"/>
        <w:keepNext/>
      </w:pPr>
      <w:r>
        <w:t>16. Documents, Consent, Privacy, Telecom Compliance and Retention</w:t>
      </w:r>
    </w:p>
    <w:p>
      <w:pPr>
        <w:pStyle w:val="Heading2"/>
        <w:keepNext/>
      </w:pPr>
      <w:r>
        <w:t>16.1 Document centre</w:t>
      </w:r>
    </w:p>
    <w:p>
      <w:pPr>
        <w:pStyle w:val="ListBullet"/>
        <w:spacing w:after="40"/>
      </w:pPr>
      <w:r>
        <w:t>Upload once to private S3-compatible object storage through presigned upload; never expose provider credentials or public bucket URLs.</w:t>
      </w:r>
    </w:p>
    <w:p>
      <w:pPr>
        <w:pStyle w:val="ListBullet"/>
        <w:spacing w:after="40"/>
      </w:pPr>
      <w:r>
        <w:t>Document metadata includes type, entity, client, version, verification status, uploader, checksum, expiry, sensitivity and retention class.</w:t>
      </w:r>
    </w:p>
    <w:p>
      <w:pPr>
        <w:pStyle w:val="ListBullet"/>
        <w:spacing w:after="40"/>
      </w:pPr>
      <w:r>
        <w:t>Statuses: PENDING, VERIFIED, REJECTED, SUPERSEDED, EXPIRED and DELETED/ANONYMISED under approved retention workflow.</w:t>
      </w:r>
    </w:p>
    <w:p>
      <w:pPr>
        <w:pStyle w:val="ListBullet"/>
        <w:spacing w:after="40"/>
      </w:pPr>
      <w:r>
        <w:t>Download uses a short-lived signed URL after tenant/object permission checks and logs the access.</w:t>
      </w:r>
    </w:p>
    <w:p>
      <w:pPr>
        <w:pStyle w:val="ListBullet"/>
        <w:spacing w:after="40"/>
      </w:pPr>
      <w:r>
        <w:t>SMS sends a secure link rather than attaching a PDF. Sensitive links may require OTP.</w:t>
      </w:r>
    </w:p>
    <w:p>
      <w:pPr>
        <w:pStyle w:val="Heading2"/>
        <w:keepNext/>
      </w:pPr>
      <w:r>
        <w:t>16.2 Consent evidence</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952"/>
            <w:shd w:fill="123447"/>
            <w:vAlign w:val="center"/>
            <w:tcMar>
              <w:top w:w="70" w:type="dxa"/>
              <w:start w:w="80" w:type="dxa"/>
              <w:bottom w:w="70" w:type="dxa"/>
              <w:end w:w="80" w:type="dxa"/>
            </w:tcMar>
          </w:tcPr>
          <w:p>
            <w:pPr>
              <w:jc w:val="left"/>
            </w:pPr>
            <w:r>
              <w:rPr>
                <w:b/>
                <w:color w:val="FFFFFF"/>
                <w:sz w:val="16"/>
              </w:rPr>
              <w:t>Consent/purpose</w:t>
            </w:r>
          </w:p>
        </w:tc>
        <w:tc>
          <w:tcPr>
            <w:tcW w:type="dxa" w:w="6696"/>
            <w:shd w:fill="123447"/>
            <w:vAlign w:val="center"/>
            <w:tcMar>
              <w:top w:w="70" w:type="dxa"/>
              <w:start w:w="80" w:type="dxa"/>
              <w:bottom w:w="70" w:type="dxa"/>
              <w:end w:w="80" w:type="dxa"/>
            </w:tcMar>
          </w:tcPr>
          <w:p>
            <w:pPr>
              <w:jc w:val="left"/>
            </w:pPr>
            <w:r>
              <w:rPr>
                <w:b/>
                <w:color w:val="FFFFFF"/>
                <w:sz w:val="16"/>
              </w:rPr>
              <w:t>Evidence stored</w:t>
            </w:r>
          </w:p>
        </w:tc>
      </w:tr>
      <w:tr>
        <w:tc>
          <w:tcPr>
            <w:tcW w:type="dxa" w:w="2952"/>
            <w:vAlign w:val="top"/>
            <w:tcMar>
              <w:top w:w="70" w:type="dxa"/>
              <w:start w:w="80" w:type="dxa"/>
              <w:bottom w:w="70" w:type="dxa"/>
              <w:end w:w="80" w:type="dxa"/>
            </w:tcMar>
          </w:tcPr>
          <w:p>
            <w:pPr>
              <w:spacing w:after="0" w:before="0"/>
            </w:pPr>
            <w:r>
              <w:rPr>
                <w:sz w:val="16"/>
              </w:rPr>
              <w:t>Sales contact</w:t>
            </w:r>
          </w:p>
        </w:tc>
        <w:tc>
          <w:tcPr>
            <w:tcW w:type="dxa" w:w="6696"/>
            <w:vAlign w:val="top"/>
            <w:tcMar>
              <w:top w:w="70" w:type="dxa"/>
              <w:start w:w="80" w:type="dxa"/>
              <w:bottom w:w="70" w:type="dxa"/>
              <w:end w:w="80" w:type="dxa"/>
            </w:tcMar>
          </w:tcPr>
          <w:p>
            <w:pPr>
              <w:spacing w:after="0" w:before="0"/>
            </w:pPr>
            <w:r>
              <w:rPr>
                <w:sz w:val="16"/>
              </w:rPr>
              <w:t>Source, notice text/version, affirmative action, timestamp and withdrawal.</w:t>
            </w:r>
          </w:p>
        </w:tc>
      </w:tr>
      <w:tr>
        <w:tc>
          <w:tcPr>
            <w:tcW w:type="dxa" w:w="2952"/>
            <w:vAlign w:val="top"/>
            <w:tcMar>
              <w:top w:w="70" w:type="dxa"/>
              <w:start w:w="80" w:type="dxa"/>
              <w:bottom w:w="70" w:type="dxa"/>
              <w:end w:w="80" w:type="dxa"/>
            </w:tcMar>
            <w:shd w:fill="F4F6F8"/>
          </w:tcPr>
          <w:p>
            <w:pPr>
              <w:spacing w:after="0" w:before="0"/>
            </w:pPr>
            <w:r>
              <w:rPr>
                <w:sz w:val="16"/>
              </w:rPr>
              <w:t>Call recording</w:t>
            </w:r>
          </w:p>
        </w:tc>
        <w:tc>
          <w:tcPr>
            <w:tcW w:type="dxa" w:w="6696"/>
            <w:vAlign w:val="top"/>
            <w:tcMar>
              <w:top w:w="70" w:type="dxa"/>
              <w:start w:w="80" w:type="dxa"/>
              <w:bottom w:w="70" w:type="dxa"/>
              <w:end w:w="80" w:type="dxa"/>
            </w:tcMar>
            <w:shd w:fill="F4F6F8"/>
          </w:tcPr>
          <w:p>
            <w:pPr>
              <w:spacing w:after="0" w:before="0"/>
            </w:pPr>
            <w:r>
              <w:rPr>
                <w:sz w:val="16"/>
              </w:rPr>
              <w:t>Provider/agent notice, purpose, timestamp and recording-enabled flag.</w:t>
            </w:r>
          </w:p>
        </w:tc>
      </w:tr>
      <w:tr>
        <w:tc>
          <w:tcPr>
            <w:tcW w:type="dxa" w:w="2952"/>
            <w:vAlign w:val="top"/>
            <w:tcMar>
              <w:top w:w="70" w:type="dxa"/>
              <w:start w:w="80" w:type="dxa"/>
              <w:bottom w:w="70" w:type="dxa"/>
              <w:end w:w="80" w:type="dxa"/>
            </w:tcMar>
          </w:tcPr>
          <w:p>
            <w:pPr>
              <w:spacing w:after="0" w:before="0"/>
            </w:pPr>
            <w:r>
              <w:rPr>
                <w:sz w:val="16"/>
              </w:rPr>
              <w:t>WhatsApp operational updates</w:t>
            </w:r>
          </w:p>
        </w:tc>
        <w:tc>
          <w:tcPr>
            <w:tcW w:type="dxa" w:w="6696"/>
            <w:vAlign w:val="top"/>
            <w:tcMar>
              <w:top w:w="70" w:type="dxa"/>
              <w:start w:w="80" w:type="dxa"/>
              <w:bottom w:w="70" w:type="dxa"/>
              <w:end w:w="80" w:type="dxa"/>
            </w:tcMar>
          </w:tcPr>
          <w:p>
            <w:pPr>
              <w:spacing w:after="0" w:before="0"/>
            </w:pPr>
            <w:r>
              <w:rPr>
                <w:sz w:val="16"/>
              </w:rPr>
              <w:t>Number, opt-in source, notice version, timestamp and withdrawal.</w:t>
            </w:r>
          </w:p>
        </w:tc>
      </w:tr>
      <w:tr>
        <w:tc>
          <w:tcPr>
            <w:tcW w:type="dxa" w:w="2952"/>
            <w:vAlign w:val="top"/>
            <w:tcMar>
              <w:top w:w="70" w:type="dxa"/>
              <w:start w:w="80" w:type="dxa"/>
              <w:bottom w:w="70" w:type="dxa"/>
              <w:end w:w="80" w:type="dxa"/>
            </w:tcMar>
            <w:shd w:fill="F4F6F8"/>
          </w:tcPr>
          <w:p>
            <w:pPr>
              <w:spacing w:after="0" w:before="0"/>
            </w:pPr>
            <w:r>
              <w:rPr>
                <w:sz w:val="16"/>
              </w:rPr>
              <w:t>Marketing</w:t>
            </w:r>
          </w:p>
        </w:tc>
        <w:tc>
          <w:tcPr>
            <w:tcW w:type="dxa" w:w="6696"/>
            <w:vAlign w:val="top"/>
            <w:tcMar>
              <w:top w:w="70" w:type="dxa"/>
              <w:start w:w="80" w:type="dxa"/>
              <w:bottom w:w="70" w:type="dxa"/>
              <w:end w:w="80" w:type="dxa"/>
            </w:tcMar>
            <w:shd w:fill="F4F6F8"/>
          </w:tcPr>
          <w:p>
            <w:pPr>
              <w:spacing w:after="0" w:before="0"/>
            </w:pPr>
            <w:r>
              <w:rPr>
                <w:sz w:val="16"/>
              </w:rPr>
              <w:t>Separate promotional consent, preferences, source and revocation.</w:t>
            </w:r>
          </w:p>
        </w:tc>
      </w:tr>
      <w:tr>
        <w:tc>
          <w:tcPr>
            <w:tcW w:type="dxa" w:w="2952"/>
            <w:vAlign w:val="top"/>
            <w:tcMar>
              <w:top w:w="70" w:type="dxa"/>
              <w:start w:w="80" w:type="dxa"/>
              <w:bottom w:w="70" w:type="dxa"/>
              <w:end w:w="80" w:type="dxa"/>
            </w:tcMar>
          </w:tcPr>
          <w:p>
            <w:pPr>
              <w:spacing w:after="0" w:before="0"/>
            </w:pPr>
            <w:r>
              <w:rPr>
                <w:sz w:val="16"/>
              </w:rPr>
              <w:t>Employee location</w:t>
            </w:r>
          </w:p>
        </w:tc>
        <w:tc>
          <w:tcPr>
            <w:tcW w:type="dxa" w:w="6696"/>
            <w:vAlign w:val="top"/>
            <w:tcMar>
              <w:top w:w="70" w:type="dxa"/>
              <w:start w:w="80" w:type="dxa"/>
              <w:bottom w:w="70" w:type="dxa"/>
              <w:end w:w="80" w:type="dxa"/>
            </w:tcMar>
          </w:tcPr>
          <w:p>
            <w:pPr>
              <w:spacing w:after="0" w:before="0"/>
            </w:pPr>
            <w:r>
              <w:rPr>
                <w:sz w:val="16"/>
              </w:rPr>
              <w:t>Prominent disclosure, job, policy version, Start/Stop actions and active timestamps.</w:t>
            </w:r>
          </w:p>
        </w:tc>
      </w:tr>
      <w:tr>
        <w:tc>
          <w:tcPr>
            <w:tcW w:type="dxa" w:w="2952"/>
            <w:vAlign w:val="top"/>
            <w:tcMar>
              <w:top w:w="70" w:type="dxa"/>
              <w:start w:w="80" w:type="dxa"/>
              <w:bottom w:w="70" w:type="dxa"/>
              <w:end w:w="80" w:type="dxa"/>
            </w:tcMar>
            <w:shd w:fill="F4F6F8"/>
          </w:tcPr>
          <w:p>
            <w:pPr>
              <w:spacing w:after="0" w:before="0"/>
            </w:pPr>
            <w:r>
              <w:rPr>
                <w:sz w:val="16"/>
              </w:rPr>
              <w:t>Document delivery</w:t>
            </w:r>
          </w:p>
        </w:tc>
        <w:tc>
          <w:tcPr>
            <w:tcW w:type="dxa" w:w="6696"/>
            <w:vAlign w:val="top"/>
            <w:tcMar>
              <w:top w:w="70" w:type="dxa"/>
              <w:start w:w="80" w:type="dxa"/>
              <w:bottom w:w="70" w:type="dxa"/>
              <w:end w:w="80" w:type="dxa"/>
            </w:tcMar>
            <w:shd w:fill="F4F6F8"/>
          </w:tcPr>
          <w:p>
            <w:pPr>
              <w:spacing w:after="0" w:before="0"/>
            </w:pPr>
            <w:r>
              <w:rPr>
                <w:sz w:val="16"/>
              </w:rPr>
              <w:t>Preferred channel and secure-link/OTP evidence where required.</w:t>
            </w:r>
          </w:p>
        </w:tc>
      </w:tr>
    </w:tbl>
    <w:p>
      <w:pPr>
        <w:spacing w:after="0"/>
      </w:pPr>
    </w:p>
    <w:p>
      <w:pPr>
        <w:pStyle w:val="Heading2"/>
        <w:keepNext/>
      </w:pPr>
      <w:r>
        <w:t>16.3 DPDP and rights readiness</w:t>
      </w:r>
    </w:p>
    <w:p>
      <w:pPr>
        <w:pStyle w:val="ListBullet"/>
        <w:spacing w:after="40"/>
      </w:pPr>
      <w:r>
        <w:t>Maintain clear notice versions, purpose mapping, data minimisation, role-based access, correction/erasure workflow, grievance contact and consent withdrawal.</w:t>
      </w:r>
    </w:p>
    <w:p>
      <w:pPr>
        <w:pStyle w:val="ListBullet"/>
        <w:spacing w:after="40"/>
      </w:pPr>
      <w:r>
        <w:t>Build an incident register and breach-response runbook with containment, impact assessment, provider notification and legal/regulatory review.</w:t>
      </w:r>
    </w:p>
    <w:p>
      <w:pPr>
        <w:pStyle w:val="ListBullet"/>
        <w:spacing w:after="40"/>
      </w:pPr>
      <w:r>
        <w:t>Data retention is client/legal configurable. Automated retention jobs produce preview reports and use approved deletion/anonymisation workflows.</w:t>
      </w:r>
    </w:p>
    <w:p>
      <w:pPr>
        <w:pStyle w:val="ListBullet"/>
        <w:spacing w:after="40"/>
      </w:pPr>
      <w:r>
        <w:t>DPDP Rules 2025 have staggered commencement; implement controls now and perform legal readiness review before each applicable commencement date.</w:t>
      </w:r>
    </w:p>
    <w:p>
      <w:pPr>
        <w:pStyle w:val="ListBullet"/>
        <w:spacing w:after="40"/>
      </w:pPr>
      <w:r>
        <w:t>This PRD defines technical controls, not legal advice. The dealership and Go Digital must obtain counsel for final role allocation as Data Fiduciary/processor and contractual terms.</w:t>
      </w:r>
    </w:p>
    <w:p>
      <w:pPr>
        <w:pStyle w:val="Heading2"/>
        <w:keepNext/>
      </w:pPr>
      <w:r>
        <w:t>16.4 TRAI/DLT controls</w:t>
      </w:r>
    </w:p>
    <w:p>
      <w:pPr>
        <w:pStyle w:val="ListBullet"/>
        <w:spacing w:after="40"/>
      </w:pPr>
      <w:r>
        <w:t>Bulk SMS/voice launches require applicable Principal Entity, sender/header, content template, consent and telemarketer/provider registration.</w:t>
      </w:r>
    </w:p>
    <w:p>
      <w:pPr>
        <w:pStyle w:val="ListBullet"/>
        <w:spacing w:after="40"/>
      </w:pPr>
      <w:r>
        <w:t>Store template/header/consent references, provider delivery status, complaint/suppression state and campaign audit.</w:t>
      </w:r>
    </w:p>
    <w:p>
      <w:pPr>
        <w:pStyle w:val="ListBullet"/>
        <w:spacing w:after="40"/>
      </w:pPr>
      <w:r>
        <w:t>Operational and promotional communication are separated; suppression and withdrawal must prevent future promotional sends.</w:t>
      </w:r>
    </w:p>
    <w:p>
      <w:pPr>
        <w:pStyle w:val="ListBullet"/>
        <w:spacing w:after="40"/>
      </w:pPr>
      <w:r>
        <w:t>TRAI rules and amendments must be rechecked at launch. A 2026 consultation draft is not treated as final regulation in this PRD.</w:t>
      </w:r>
    </w:p>
    <w:p>
      <w:pPr>
        <w:pStyle w:val="Heading2"/>
        <w:keepNext/>
      </w:pPr>
      <w:r>
        <w:t>16.5 Default retention recommendations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3168"/>
            <w:shd w:fill="123447"/>
            <w:vAlign w:val="center"/>
            <w:tcMar>
              <w:top w:w="70" w:type="dxa"/>
              <w:start w:w="80" w:type="dxa"/>
              <w:bottom w:w="70" w:type="dxa"/>
              <w:end w:w="80" w:type="dxa"/>
            </w:tcMar>
          </w:tcPr>
          <w:p>
            <w:pPr>
              <w:jc w:val="left"/>
            </w:pPr>
            <w:r>
              <w:rPr>
                <w:b/>
                <w:color w:val="FFFFFF"/>
                <w:sz w:val="16"/>
              </w:rPr>
              <w:t>Data</w:t>
            </w:r>
          </w:p>
        </w:tc>
        <w:tc>
          <w:tcPr>
            <w:tcW w:type="dxa" w:w="6480"/>
            <w:shd w:fill="123447"/>
            <w:vAlign w:val="center"/>
            <w:tcMar>
              <w:top w:w="70" w:type="dxa"/>
              <w:start w:w="80" w:type="dxa"/>
              <w:bottom w:w="70" w:type="dxa"/>
              <w:end w:w="80" w:type="dxa"/>
            </w:tcMar>
          </w:tcPr>
          <w:p>
            <w:pPr>
              <w:jc w:val="left"/>
            </w:pPr>
            <w:r>
              <w:rPr>
                <w:b/>
                <w:color w:val="FFFFFF"/>
                <w:sz w:val="16"/>
              </w:rPr>
              <w:t>Default recommendation</w:t>
            </w:r>
          </w:p>
        </w:tc>
      </w:tr>
      <w:tr>
        <w:tc>
          <w:tcPr>
            <w:tcW w:type="dxa" w:w="3168"/>
            <w:vAlign w:val="top"/>
            <w:tcMar>
              <w:top w:w="70" w:type="dxa"/>
              <w:start w:w="80" w:type="dxa"/>
              <w:bottom w:w="70" w:type="dxa"/>
              <w:end w:w="80" w:type="dxa"/>
            </w:tcMar>
          </w:tcPr>
          <w:p>
            <w:pPr>
              <w:spacing w:after="0" w:before="0"/>
            </w:pPr>
            <w:r>
              <w:rPr>
                <w:sz w:val="16"/>
              </w:rPr>
              <w:t>Rejected/Lost opportunities</w:t>
            </w:r>
          </w:p>
        </w:tc>
        <w:tc>
          <w:tcPr>
            <w:tcW w:type="dxa" w:w="6480"/>
            <w:vAlign w:val="top"/>
            <w:tcMar>
              <w:top w:w="70" w:type="dxa"/>
              <w:start w:w="80" w:type="dxa"/>
              <w:bottom w:w="70" w:type="dxa"/>
              <w:end w:w="80" w:type="dxa"/>
            </w:tcMar>
          </w:tcPr>
          <w:p>
            <w:pPr>
              <w:spacing w:after="0" w:before="0"/>
            </w:pPr>
            <w:r>
              <w:rPr>
                <w:sz w:val="16"/>
              </w:rPr>
              <w:t>Client/legal configured; support anonymisation/deletion request workflow.</w:t>
            </w:r>
          </w:p>
        </w:tc>
      </w:tr>
      <w:tr>
        <w:tc>
          <w:tcPr>
            <w:tcW w:type="dxa" w:w="3168"/>
            <w:vAlign w:val="top"/>
            <w:tcMar>
              <w:top w:w="70" w:type="dxa"/>
              <w:start w:w="80" w:type="dxa"/>
              <w:bottom w:w="70" w:type="dxa"/>
              <w:end w:w="80" w:type="dxa"/>
            </w:tcMar>
            <w:shd w:fill="F4F6F8"/>
          </w:tcPr>
          <w:p>
            <w:pPr>
              <w:spacing w:after="0" w:before="0"/>
            </w:pPr>
            <w:r>
              <w:rPr>
                <w:sz w:val="16"/>
              </w:rPr>
              <w:t>Raw provider webhook payload</w:t>
            </w:r>
          </w:p>
        </w:tc>
        <w:tc>
          <w:tcPr>
            <w:tcW w:type="dxa" w:w="6480"/>
            <w:vAlign w:val="top"/>
            <w:tcMar>
              <w:top w:w="70" w:type="dxa"/>
              <w:start w:w="80" w:type="dxa"/>
              <w:bottom w:w="70" w:type="dxa"/>
              <w:end w:w="80" w:type="dxa"/>
            </w:tcMar>
            <w:shd w:fill="F4F6F8"/>
          </w:tcPr>
          <w:p>
            <w:pPr>
              <w:spacing w:after="0" w:before="0"/>
            </w:pPr>
            <w:r>
              <w:rPr>
                <w:sz w:val="16"/>
              </w:rPr>
              <w:t>7–30 days for debugging; retain normalised event longer.</w:t>
            </w:r>
          </w:p>
        </w:tc>
      </w:tr>
      <w:tr>
        <w:tc>
          <w:tcPr>
            <w:tcW w:type="dxa" w:w="3168"/>
            <w:vAlign w:val="top"/>
            <w:tcMar>
              <w:top w:w="70" w:type="dxa"/>
              <w:start w:w="80" w:type="dxa"/>
              <w:bottom w:w="70" w:type="dxa"/>
              <w:end w:w="80" w:type="dxa"/>
            </w:tcMar>
          </w:tcPr>
          <w:p>
            <w:pPr>
              <w:spacing w:after="0" w:before="0"/>
            </w:pPr>
            <w:r>
              <w:rPr>
                <w:sz w:val="16"/>
              </w:rPr>
              <w:t>Call recordings</w:t>
            </w:r>
          </w:p>
        </w:tc>
        <w:tc>
          <w:tcPr>
            <w:tcW w:type="dxa" w:w="6480"/>
            <w:vAlign w:val="top"/>
            <w:tcMar>
              <w:top w:w="70" w:type="dxa"/>
              <w:start w:w="80" w:type="dxa"/>
              <w:bottom w:w="70" w:type="dxa"/>
              <w:end w:w="80" w:type="dxa"/>
            </w:tcMar>
          </w:tcPr>
          <w:p>
            <w:pPr>
              <w:spacing w:after="0" w:before="0"/>
            </w:pPr>
            <w:r>
              <w:rPr>
                <w:sz w:val="16"/>
              </w:rPr>
              <w:t>Client/legal configured, commonly 90–180 days when permitted.</w:t>
            </w:r>
          </w:p>
        </w:tc>
      </w:tr>
      <w:tr>
        <w:tc>
          <w:tcPr>
            <w:tcW w:type="dxa" w:w="3168"/>
            <w:vAlign w:val="top"/>
            <w:tcMar>
              <w:top w:w="70" w:type="dxa"/>
              <w:start w:w="80" w:type="dxa"/>
              <w:bottom w:w="70" w:type="dxa"/>
              <w:end w:w="80" w:type="dxa"/>
            </w:tcMar>
            <w:shd w:fill="F4F6F8"/>
          </w:tcPr>
          <w:p>
            <w:pPr>
              <w:spacing w:after="0" w:before="0"/>
            </w:pPr>
            <w:r>
              <w:rPr>
                <w:sz w:val="16"/>
              </w:rPr>
              <w:t>Active location points</w:t>
            </w:r>
          </w:p>
        </w:tc>
        <w:tc>
          <w:tcPr>
            <w:tcW w:type="dxa" w:w="6480"/>
            <w:vAlign w:val="top"/>
            <w:tcMar>
              <w:top w:w="70" w:type="dxa"/>
              <w:start w:w="80" w:type="dxa"/>
              <w:bottom w:w="70" w:type="dxa"/>
              <w:end w:w="80" w:type="dxa"/>
            </w:tcMar>
            <w:shd w:fill="F4F6F8"/>
          </w:tcPr>
          <w:p>
            <w:pPr>
              <w:spacing w:after="0" w:before="0"/>
            </w:pPr>
            <w:r>
              <w:rPr>
                <w:sz w:val="16"/>
              </w:rPr>
              <w:t>Current position upsert; route samples short retention; business event retained.</w:t>
            </w:r>
          </w:p>
        </w:tc>
      </w:tr>
      <w:tr>
        <w:tc>
          <w:tcPr>
            <w:tcW w:type="dxa" w:w="3168"/>
            <w:vAlign w:val="top"/>
            <w:tcMar>
              <w:top w:w="70" w:type="dxa"/>
              <w:start w:w="80" w:type="dxa"/>
              <w:bottom w:w="70" w:type="dxa"/>
              <w:end w:w="80" w:type="dxa"/>
            </w:tcMar>
          </w:tcPr>
          <w:p>
            <w:pPr>
              <w:spacing w:after="0" w:before="0"/>
            </w:pPr>
            <w:r>
              <w:rPr>
                <w:sz w:val="16"/>
              </w:rPr>
              <w:t>Payment/RC documents</w:t>
            </w:r>
          </w:p>
        </w:tc>
        <w:tc>
          <w:tcPr>
            <w:tcW w:type="dxa" w:w="6480"/>
            <w:vAlign w:val="top"/>
            <w:tcMar>
              <w:top w:w="70" w:type="dxa"/>
              <w:start w:w="80" w:type="dxa"/>
              <w:bottom w:w="70" w:type="dxa"/>
              <w:end w:w="80" w:type="dxa"/>
            </w:tcMar>
          </w:tcPr>
          <w:p>
            <w:pPr>
              <w:spacing w:after="0" w:before="0"/>
            </w:pPr>
            <w:r>
              <w:rPr>
                <w:sz w:val="16"/>
              </w:rPr>
              <w:t>Client/legal configured; private access and audit.</w:t>
            </w:r>
          </w:p>
        </w:tc>
      </w:tr>
      <w:tr>
        <w:tc>
          <w:tcPr>
            <w:tcW w:type="dxa" w:w="3168"/>
            <w:vAlign w:val="top"/>
            <w:tcMar>
              <w:top w:w="70" w:type="dxa"/>
              <w:start w:w="80" w:type="dxa"/>
              <w:bottom w:w="70" w:type="dxa"/>
              <w:end w:w="80" w:type="dxa"/>
            </w:tcMar>
            <w:shd w:fill="F4F6F8"/>
          </w:tcPr>
          <w:p>
            <w:pPr>
              <w:spacing w:after="0" w:before="0"/>
            </w:pPr>
            <w:r>
              <w:rPr>
                <w:sz w:val="16"/>
              </w:rPr>
              <w:t>Generated exports</w:t>
            </w:r>
          </w:p>
        </w:tc>
        <w:tc>
          <w:tcPr>
            <w:tcW w:type="dxa" w:w="6480"/>
            <w:vAlign w:val="top"/>
            <w:tcMar>
              <w:top w:w="70" w:type="dxa"/>
              <w:start w:w="80" w:type="dxa"/>
              <w:bottom w:w="70" w:type="dxa"/>
              <w:end w:w="80" w:type="dxa"/>
            </w:tcMar>
            <w:shd w:fill="F4F6F8"/>
          </w:tcPr>
          <w:p>
            <w:pPr>
              <w:spacing w:after="0" w:before="0"/>
            </w:pPr>
            <w:r>
              <w:rPr>
                <w:sz w:val="16"/>
              </w:rPr>
              <w:t>Expire after 7–30 days.</w:t>
            </w:r>
          </w:p>
        </w:tc>
      </w:tr>
      <w:tr>
        <w:tc>
          <w:tcPr>
            <w:tcW w:type="dxa" w:w="3168"/>
            <w:vAlign w:val="top"/>
            <w:tcMar>
              <w:top w:w="70" w:type="dxa"/>
              <w:start w:w="80" w:type="dxa"/>
              <w:bottom w:w="70" w:type="dxa"/>
              <w:end w:w="80" w:type="dxa"/>
            </w:tcMar>
          </w:tcPr>
          <w:p>
            <w:pPr>
              <w:spacing w:after="0" w:before="0"/>
            </w:pPr>
            <w:r>
              <w:rPr>
                <w:sz w:val="16"/>
              </w:rPr>
              <w:t>Audit/security logs</w:t>
            </w:r>
          </w:p>
        </w:tc>
        <w:tc>
          <w:tcPr>
            <w:tcW w:type="dxa" w:w="6480"/>
            <w:vAlign w:val="top"/>
            <w:tcMar>
              <w:top w:w="70" w:type="dxa"/>
              <w:start w:w="80" w:type="dxa"/>
              <w:bottom w:w="70" w:type="dxa"/>
              <w:end w:w="80" w:type="dxa"/>
            </w:tcMar>
          </w:tcPr>
          <w:p>
            <w:pPr>
              <w:spacing w:after="0" w:before="0"/>
            </w:pPr>
            <w:r>
              <w:rPr>
                <w:sz w:val="16"/>
              </w:rPr>
              <w:t>At least the client/security policy period; write-protected access.</w:t>
            </w:r>
          </w:p>
        </w:tc>
      </w:tr>
    </w:tbl>
    <w:p>
      <w:pPr>
        <w:spacing w:after="0"/>
      </w:pPr>
    </w:p>
    <w:p>
      <w:pPr>
        <w:pStyle w:val="Heading1"/>
        <w:keepNext/>
      </w:pPr>
      <w:r>
        <w:t>17. Integration Architecture and Provider Approvals</w:t>
      </w:r>
    </w:p>
    <w:p>
      <w:pPr>
        <w:pStyle w:val="Heading2"/>
        <w:keepNext/>
      </w:pPr>
      <w:r>
        <w:t>17.1 WhatsApp Business Platform</w:t>
      </w:r>
    </w:p>
    <w:p>
      <w:pPr>
        <w:pStyle w:val="ListBullet"/>
        <w:spacing w:after="40"/>
      </w:pPr>
      <w:r>
        <w:t>Use Meta-hosted WhatsApp Business Platform/Cloud API; no personal WhatsApp Web automation.</w:t>
      </w:r>
    </w:p>
    <w:p>
      <w:pPr>
        <w:pStyle w:val="ListBullet"/>
        <w:spacing w:after="40"/>
      </w:pPr>
      <w:r>
        <w:t>Each client connects its own WABA and business number. WABA ID, phone-number ID, token/reference, template state, webhook state and quality metadata are tenant-scoped and encrypted.</w:t>
      </w:r>
    </w:p>
    <w:p>
      <w:pPr>
        <w:pStyle w:val="ListBullet"/>
        <w:spacing w:after="40"/>
      </w:pPr>
      <w:r>
        <w:t>Use a Tech Provider/Embedded Signup onboarding path when Go Digital onboards multiple clients at scale.</w:t>
      </w:r>
    </w:p>
    <w:p>
      <w:pPr>
        <w:pStyle w:val="ListBullet"/>
        <w:spacing w:after="40"/>
      </w:pPr>
      <w:r>
        <w:t>Inbound message/referral webhook creates a WHATSAPP_AD opportunity on the first customer message; a click alone is not counted unless Meta provides an explicit lead event.</w:t>
      </w:r>
    </w:p>
    <w:p>
      <w:pPr>
        <w:pStyle w:val="ListBullet"/>
        <w:spacing w:after="40"/>
      </w:pPr>
      <w:r>
        <w:t>Webhook receipt verifies signature, stores durably, acknowledges quickly and processes asynchronously with idempotency.</w:t>
      </w:r>
    </w:p>
    <w:p>
      <w:pPr>
        <w:pStyle w:val="ListBullet"/>
        <w:spacing w:after="40"/>
      </w:pPr>
      <w:r>
        <w:t>Pricing and category rules are not hard-coded. The platform currently distinguishes marketing, utility, authentication and service messages and may change rates/policies.</w:t>
      </w:r>
    </w:p>
    <w:p>
      <w:pPr>
        <w:pStyle w:val="Heading2"/>
        <w:keepNext/>
      </w:pPr>
      <w:r>
        <w:t>17.2 Meta production approval gates</w:t>
      </w:r>
    </w:p>
    <w:p>
      <w:pPr>
        <w:pStyle w:val="ListNumber"/>
        <w:spacing w:after="40"/>
      </w:pPr>
      <w:r>
        <w:t>Verified legal business portfolio, website, privacy policy, terms, data-deletion instructions and two-factor authentication.</w:t>
      </w:r>
    </w:p>
    <w:p>
      <w:pPr>
        <w:pStyle w:val="ListNumber"/>
        <w:spacing w:after="40"/>
      </w:pPr>
      <w:r>
        <w:t>Meta business app, app domains, OAuth redirects, webhook callback/verify token and secure secret management.</w:t>
      </w:r>
    </w:p>
    <w:p>
      <w:pPr>
        <w:pStyle w:val="ListNumber"/>
        <w:spacing w:after="40"/>
      </w:pPr>
      <w:r>
        <w:t>Test number, inbound/outbound messages, statuses, media, templates, errors and retry behavior demonstrated.</w:t>
      </w:r>
    </w:p>
    <w:p>
      <w:pPr>
        <w:pStyle w:val="ListNumber"/>
        <w:spacing w:after="40"/>
      </w:pPr>
      <w:r>
        <w:t>Required permissions/advanced access submitted with clear reviewer video, test credentials and narration.</w:t>
      </w:r>
    </w:p>
    <w:p>
      <w:pPr>
        <w:pStyle w:val="ListNumber"/>
        <w:spacing w:after="40"/>
      </w:pPr>
      <w:r>
        <w:t>Tech Provider/Embedded Signup eligibility and onboarding completed for multi-client connections.</w:t>
      </w:r>
    </w:p>
    <w:p>
      <w:pPr>
        <w:pStyle w:val="ListNumber"/>
        <w:spacing w:after="40"/>
      </w:pPr>
      <w:r>
        <w:t>One pilot WABA runs successfully before broader onboarding; template quality and webhook reliability are monitored.</w:t>
      </w:r>
    </w:p>
    <w:p>
      <w:pPr>
        <w:pStyle w:val="Heading2"/>
        <w:keepNext/>
      </w:pPr>
      <w:r>
        <w:t>17.3 Google Business Profile</w:t>
      </w:r>
    </w:p>
    <w:p>
      <w:pPr>
        <w:pStyle w:val="ListBullet"/>
        <w:spacing w:after="40"/>
      </w:pPr>
      <w:r>
        <w:t>Use a Go Digital-owned Google Cloud project approved for Business Profile APIs and OAuth 2.0.</w:t>
      </w:r>
    </w:p>
    <w:p>
      <w:pPr>
        <w:pStyle w:val="ListBullet"/>
        <w:spacing w:after="40"/>
      </w:pPr>
      <w:r>
        <w:t>Client Admin explicitly consents and selects authorised accounts/locations. Store refresh tokens encrypted and support revocation.</w:t>
      </w:r>
    </w:p>
    <w:p>
      <w:pPr>
        <w:pStyle w:val="ListBullet"/>
        <w:spacing w:after="40"/>
      </w:pPr>
      <w:r>
        <w:t>Sync permitted location information, verification state, performance data and reviews; review reply requires explicit authorised action.</w:t>
      </w:r>
    </w:p>
    <w:p>
      <w:pPr>
        <w:pStyle w:val="ListBullet"/>
        <w:spacing w:after="40"/>
      </w:pPr>
      <w:r>
        <w:t>Configure the My Business Notifications API to a Pub/Sub topic for new/updated reviews and location events, plus periodic reconciliation.</w:t>
      </w:r>
    </w:p>
    <w:p>
      <w:pPr>
        <w:pStyle w:val="ListBullet"/>
        <w:spacing w:after="40"/>
      </w:pPr>
      <w:r>
        <w:t>If project quota is 0, request API access. Read actual project quotas at runtime/console; do not assume one universal quota.</w:t>
      </w:r>
    </w:p>
    <w:p>
      <w:pPr>
        <w:pStyle w:val="ListBullet"/>
        <w:spacing w:after="40"/>
      </w:pPr>
      <w:r>
        <w:t>There is no general sandbox. Use validateOnly where supported and controlled real locations for testing.</w:t>
      </w:r>
    </w:p>
    <w:p>
      <w:pPr>
        <w:pStyle w:val="ListBullet"/>
        <w:spacing w:after="40"/>
      </w:pPr>
      <w:r>
        <w:t>Business Profile is not an instant chat or call-history source; lead calls require telephony/call tracking.</w:t>
      </w:r>
    </w:p>
    <w:p>
      <w:pPr>
        <w:pStyle w:val="Heading2"/>
        <w:keepNext/>
      </w:pPr>
      <w:r>
        <w:t>17.4 Google Ads and website</w:t>
      </w:r>
    </w:p>
    <w:p>
      <w:pPr>
        <w:pStyle w:val="ListBullet"/>
        <w:spacing w:after="40"/>
      </w:pPr>
      <w:r>
        <w:t>Website forms post to the public lead endpoint and preserve UTM/GCLID values.</w:t>
      </w:r>
    </w:p>
    <w:p>
      <w:pPr>
        <w:pStyle w:val="ListBullet"/>
        <w:spacing w:after="40"/>
      </w:pPr>
      <w:r>
        <w:t>Google lead-form assets may deliver submissions to an advertiser webhook with anti-spoofing secret; validate and deduplicate them.</w:t>
      </w:r>
    </w:p>
    <w:p>
      <w:pPr>
        <w:pStyle w:val="ListBullet"/>
        <w:spacing w:after="40"/>
      </w:pPr>
      <w:r>
        <w:t>Direct phone calls are automatically attributable only when Google/third-party call reporting, dynamic number insertion or separate tracking numbers provide the data.</w:t>
      </w:r>
    </w:p>
    <w:p>
      <w:pPr>
        <w:pStyle w:val="ListBullet"/>
        <w:spacing w:after="40"/>
      </w:pPr>
      <w:r>
        <w:t>Unknown campaign attribution is valid and reportable. The system must never fabricate campaign identity.</w:t>
      </w:r>
    </w:p>
    <w:p>
      <w:pPr>
        <w:pStyle w:val="Heading2"/>
        <w:keepNext/>
      </w:pPr>
      <w:r>
        <w:t>17.5 Integration centre</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088"/>
            <w:shd w:fill="123447"/>
            <w:vAlign w:val="center"/>
            <w:tcMar>
              <w:top w:w="70" w:type="dxa"/>
              <w:start w:w="80" w:type="dxa"/>
              <w:bottom w:w="70" w:type="dxa"/>
              <w:end w:w="80" w:type="dxa"/>
            </w:tcMar>
          </w:tcPr>
          <w:p>
            <w:pPr>
              <w:jc w:val="left"/>
            </w:pPr>
            <w:r>
              <w:rPr>
                <w:b/>
                <w:color w:val="FFFFFF"/>
                <w:sz w:val="16"/>
              </w:rPr>
              <w:t>Connection state</w:t>
            </w:r>
          </w:p>
        </w:tc>
        <w:tc>
          <w:tcPr>
            <w:tcW w:type="dxa" w:w="4320"/>
            <w:shd w:fill="123447"/>
            <w:vAlign w:val="center"/>
            <w:tcMar>
              <w:top w:w="70" w:type="dxa"/>
              <w:start w:w="80" w:type="dxa"/>
              <w:bottom w:w="70" w:type="dxa"/>
              <w:end w:w="80" w:type="dxa"/>
            </w:tcMar>
          </w:tcPr>
          <w:p>
            <w:pPr>
              <w:jc w:val="left"/>
            </w:pPr>
            <w:r>
              <w:rPr>
                <w:b/>
                <w:color w:val="FFFFFF"/>
                <w:sz w:val="16"/>
              </w:rPr>
              <w:t>Meaning</w:t>
            </w:r>
          </w:p>
        </w:tc>
        <w:tc>
          <w:tcPr>
            <w:tcW w:type="dxa" w:w="3240"/>
            <w:shd w:fill="123447"/>
            <w:vAlign w:val="center"/>
            <w:tcMar>
              <w:top w:w="70" w:type="dxa"/>
              <w:start w:w="80" w:type="dxa"/>
              <w:bottom w:w="70" w:type="dxa"/>
              <w:end w:w="80" w:type="dxa"/>
            </w:tcMar>
          </w:tcPr>
          <w:p>
            <w:pPr>
              <w:jc w:val="left"/>
            </w:pPr>
            <w:r>
              <w:rPr>
                <w:b/>
                <w:color w:val="FFFFFF"/>
                <w:sz w:val="16"/>
              </w:rPr>
              <w:t>Required action</w:t>
            </w:r>
          </w:p>
        </w:tc>
      </w:tr>
      <w:tr>
        <w:tc>
          <w:tcPr>
            <w:tcW w:type="dxa" w:w="2088"/>
            <w:vAlign w:val="top"/>
            <w:tcMar>
              <w:top w:w="70" w:type="dxa"/>
              <w:start w:w="80" w:type="dxa"/>
              <w:bottom w:w="70" w:type="dxa"/>
              <w:end w:w="80" w:type="dxa"/>
            </w:tcMar>
          </w:tcPr>
          <w:p>
            <w:pPr>
              <w:spacing w:after="0" w:before="0"/>
            </w:pPr>
            <w:r>
              <w:rPr>
                <w:sz w:val="16"/>
              </w:rPr>
              <w:t>NOT_CONNECTED</w:t>
            </w:r>
          </w:p>
        </w:tc>
        <w:tc>
          <w:tcPr>
            <w:tcW w:type="dxa" w:w="4320"/>
            <w:vAlign w:val="top"/>
            <w:tcMar>
              <w:top w:w="70" w:type="dxa"/>
              <w:start w:w="80" w:type="dxa"/>
              <w:bottom w:w="70" w:type="dxa"/>
              <w:end w:w="80" w:type="dxa"/>
            </w:tcMar>
          </w:tcPr>
          <w:p>
            <w:pPr>
              <w:spacing w:after="0" w:before="0"/>
            </w:pPr>
            <w:r>
              <w:rPr>
                <w:sz w:val="16"/>
              </w:rPr>
              <w:t>No client credentials/consent</w:t>
            </w:r>
          </w:p>
        </w:tc>
        <w:tc>
          <w:tcPr>
            <w:tcW w:type="dxa" w:w="3240"/>
            <w:vAlign w:val="top"/>
            <w:tcMar>
              <w:top w:w="70" w:type="dxa"/>
              <w:start w:w="80" w:type="dxa"/>
              <w:bottom w:w="70" w:type="dxa"/>
              <w:end w:w="80" w:type="dxa"/>
            </w:tcMar>
          </w:tcPr>
          <w:p>
            <w:pPr>
              <w:spacing w:after="0" w:before="0"/>
            </w:pPr>
            <w:r>
              <w:rPr>
                <w:sz w:val="16"/>
              </w:rPr>
              <w:t>Show setup guide.</w:t>
            </w:r>
          </w:p>
        </w:tc>
      </w:tr>
      <w:tr>
        <w:tc>
          <w:tcPr>
            <w:tcW w:type="dxa" w:w="2088"/>
            <w:vAlign w:val="top"/>
            <w:tcMar>
              <w:top w:w="70" w:type="dxa"/>
              <w:start w:w="80" w:type="dxa"/>
              <w:bottom w:w="70" w:type="dxa"/>
              <w:end w:w="80" w:type="dxa"/>
            </w:tcMar>
            <w:shd w:fill="F4F6F8"/>
          </w:tcPr>
          <w:p>
            <w:pPr>
              <w:spacing w:after="0" w:before="0"/>
            </w:pPr>
            <w:r>
              <w:rPr>
                <w:sz w:val="16"/>
              </w:rPr>
              <w:t>PENDING_APPROVAL</w:t>
            </w:r>
          </w:p>
        </w:tc>
        <w:tc>
          <w:tcPr>
            <w:tcW w:type="dxa" w:w="4320"/>
            <w:vAlign w:val="top"/>
            <w:tcMar>
              <w:top w:w="70" w:type="dxa"/>
              <w:start w:w="80" w:type="dxa"/>
              <w:bottom w:w="70" w:type="dxa"/>
              <w:end w:w="80" w:type="dxa"/>
            </w:tcMar>
            <w:shd w:fill="F4F6F8"/>
          </w:tcPr>
          <w:p>
            <w:pPr>
              <w:spacing w:after="0" w:before="0"/>
            </w:pPr>
            <w:r>
              <w:rPr>
                <w:sz w:val="16"/>
              </w:rPr>
              <w:t>Provider/project review not complete</w:t>
            </w:r>
          </w:p>
        </w:tc>
        <w:tc>
          <w:tcPr>
            <w:tcW w:type="dxa" w:w="3240"/>
            <w:vAlign w:val="top"/>
            <w:tcMar>
              <w:top w:w="70" w:type="dxa"/>
              <w:start w:w="80" w:type="dxa"/>
              <w:bottom w:w="70" w:type="dxa"/>
              <w:end w:w="80" w:type="dxa"/>
            </w:tcMar>
            <w:shd w:fill="F4F6F8"/>
          </w:tcPr>
          <w:p>
            <w:pPr>
              <w:spacing w:after="0" w:before="0"/>
            </w:pPr>
            <w:r>
              <w:rPr>
                <w:sz w:val="16"/>
              </w:rPr>
              <w:t>Feature flag; show owner and next action.</w:t>
            </w:r>
          </w:p>
        </w:tc>
      </w:tr>
      <w:tr>
        <w:tc>
          <w:tcPr>
            <w:tcW w:type="dxa" w:w="2088"/>
            <w:vAlign w:val="top"/>
            <w:tcMar>
              <w:top w:w="70" w:type="dxa"/>
              <w:start w:w="80" w:type="dxa"/>
              <w:bottom w:w="70" w:type="dxa"/>
              <w:end w:w="80" w:type="dxa"/>
            </w:tcMar>
          </w:tcPr>
          <w:p>
            <w:pPr>
              <w:spacing w:after="0" w:before="0"/>
            </w:pPr>
            <w:r>
              <w:rPr>
                <w:sz w:val="16"/>
              </w:rPr>
              <w:t>ACTIVE</w:t>
            </w:r>
          </w:p>
        </w:tc>
        <w:tc>
          <w:tcPr>
            <w:tcW w:type="dxa" w:w="4320"/>
            <w:vAlign w:val="top"/>
            <w:tcMar>
              <w:top w:w="70" w:type="dxa"/>
              <w:start w:w="80" w:type="dxa"/>
              <w:bottom w:w="70" w:type="dxa"/>
              <w:end w:w="80" w:type="dxa"/>
            </w:tcMar>
          </w:tcPr>
          <w:p>
            <w:pPr>
              <w:spacing w:after="0" w:before="0"/>
            </w:pPr>
            <w:r>
              <w:rPr>
                <w:sz w:val="16"/>
              </w:rPr>
              <w:t>Token/webhook/health checks pass</w:t>
            </w:r>
          </w:p>
        </w:tc>
        <w:tc>
          <w:tcPr>
            <w:tcW w:type="dxa" w:w="3240"/>
            <w:vAlign w:val="top"/>
            <w:tcMar>
              <w:top w:w="70" w:type="dxa"/>
              <w:start w:w="80" w:type="dxa"/>
              <w:bottom w:w="70" w:type="dxa"/>
              <w:end w:w="80" w:type="dxa"/>
            </w:tcMar>
          </w:tcPr>
          <w:p>
            <w:pPr>
              <w:spacing w:after="0" w:before="0"/>
            </w:pPr>
            <w:r>
              <w:rPr>
                <w:sz w:val="16"/>
              </w:rPr>
              <w:t>Normal operation.</w:t>
            </w:r>
          </w:p>
        </w:tc>
      </w:tr>
      <w:tr>
        <w:tc>
          <w:tcPr>
            <w:tcW w:type="dxa" w:w="2088"/>
            <w:vAlign w:val="top"/>
            <w:tcMar>
              <w:top w:w="70" w:type="dxa"/>
              <w:start w:w="80" w:type="dxa"/>
              <w:bottom w:w="70" w:type="dxa"/>
              <w:end w:w="80" w:type="dxa"/>
            </w:tcMar>
            <w:shd w:fill="F4F6F8"/>
          </w:tcPr>
          <w:p>
            <w:pPr>
              <w:spacing w:after="0" w:before="0"/>
            </w:pPr>
            <w:r>
              <w:rPr>
                <w:sz w:val="16"/>
              </w:rPr>
              <w:t>DEGRADED</w:t>
            </w:r>
          </w:p>
        </w:tc>
        <w:tc>
          <w:tcPr>
            <w:tcW w:type="dxa" w:w="4320"/>
            <w:vAlign w:val="top"/>
            <w:tcMar>
              <w:top w:w="70" w:type="dxa"/>
              <w:start w:w="80" w:type="dxa"/>
              <w:bottom w:w="70" w:type="dxa"/>
              <w:end w:w="80" w:type="dxa"/>
            </w:tcMar>
            <w:shd w:fill="F4F6F8"/>
          </w:tcPr>
          <w:p>
            <w:pPr>
              <w:spacing w:after="0" w:before="0"/>
            </w:pPr>
            <w:r>
              <w:rPr>
                <w:sz w:val="16"/>
              </w:rPr>
              <w:t>Retryable errors, quota or stale sync</w:t>
            </w:r>
          </w:p>
        </w:tc>
        <w:tc>
          <w:tcPr>
            <w:tcW w:type="dxa" w:w="3240"/>
            <w:vAlign w:val="top"/>
            <w:tcMar>
              <w:top w:w="70" w:type="dxa"/>
              <w:start w:w="80" w:type="dxa"/>
              <w:bottom w:w="70" w:type="dxa"/>
              <w:end w:w="80" w:type="dxa"/>
            </w:tcMar>
            <w:shd w:fill="F4F6F8"/>
          </w:tcPr>
          <w:p>
            <w:pPr>
              <w:spacing w:after="0" w:before="0"/>
            </w:pPr>
            <w:r>
              <w:rPr>
                <w:sz w:val="16"/>
              </w:rPr>
              <w:t>Queue, backoff and operational alert.</w:t>
            </w:r>
          </w:p>
        </w:tc>
      </w:tr>
      <w:tr>
        <w:tc>
          <w:tcPr>
            <w:tcW w:type="dxa" w:w="2088"/>
            <w:vAlign w:val="top"/>
            <w:tcMar>
              <w:top w:w="70" w:type="dxa"/>
              <w:start w:w="80" w:type="dxa"/>
              <w:bottom w:w="70" w:type="dxa"/>
              <w:end w:w="80" w:type="dxa"/>
            </w:tcMar>
          </w:tcPr>
          <w:p>
            <w:pPr>
              <w:spacing w:after="0" w:before="0"/>
            </w:pPr>
            <w:r>
              <w:rPr>
                <w:sz w:val="16"/>
              </w:rPr>
              <w:t>ACTION_REQUIRED</w:t>
            </w:r>
          </w:p>
        </w:tc>
        <w:tc>
          <w:tcPr>
            <w:tcW w:type="dxa" w:w="4320"/>
            <w:vAlign w:val="top"/>
            <w:tcMar>
              <w:top w:w="70" w:type="dxa"/>
              <w:start w:w="80" w:type="dxa"/>
              <w:bottom w:w="70" w:type="dxa"/>
              <w:end w:w="80" w:type="dxa"/>
            </w:tcMar>
          </w:tcPr>
          <w:p>
            <w:pPr>
              <w:spacing w:after="0" w:before="0"/>
            </w:pPr>
            <w:r>
              <w:rPr>
                <w:sz w:val="16"/>
              </w:rPr>
              <w:t>Expired token, verification or policy issue</w:t>
            </w:r>
          </w:p>
        </w:tc>
        <w:tc>
          <w:tcPr>
            <w:tcW w:type="dxa" w:w="3240"/>
            <w:vAlign w:val="top"/>
            <w:tcMar>
              <w:top w:w="70" w:type="dxa"/>
              <w:start w:w="80" w:type="dxa"/>
              <w:bottom w:w="70" w:type="dxa"/>
              <w:end w:w="80" w:type="dxa"/>
            </w:tcMar>
          </w:tcPr>
          <w:p>
            <w:pPr>
              <w:spacing w:after="0" w:before="0"/>
            </w:pPr>
            <w:r>
              <w:rPr>
                <w:sz w:val="16"/>
              </w:rPr>
              <w:t>Client Admin/Agency Admin remediation.</w:t>
            </w:r>
          </w:p>
        </w:tc>
      </w:tr>
      <w:tr>
        <w:tc>
          <w:tcPr>
            <w:tcW w:type="dxa" w:w="2088"/>
            <w:vAlign w:val="top"/>
            <w:tcMar>
              <w:top w:w="70" w:type="dxa"/>
              <w:start w:w="80" w:type="dxa"/>
              <w:bottom w:w="70" w:type="dxa"/>
              <w:end w:w="80" w:type="dxa"/>
            </w:tcMar>
            <w:shd w:fill="F4F6F8"/>
          </w:tcPr>
          <w:p>
            <w:pPr>
              <w:spacing w:after="0" w:before="0"/>
            </w:pPr>
            <w:r>
              <w:rPr>
                <w:sz w:val="16"/>
              </w:rPr>
              <w:t>SUSPENDED</w:t>
            </w:r>
          </w:p>
        </w:tc>
        <w:tc>
          <w:tcPr>
            <w:tcW w:type="dxa" w:w="4320"/>
            <w:vAlign w:val="top"/>
            <w:tcMar>
              <w:top w:w="70" w:type="dxa"/>
              <w:start w:w="80" w:type="dxa"/>
              <w:bottom w:w="70" w:type="dxa"/>
              <w:end w:w="80" w:type="dxa"/>
            </w:tcMar>
            <w:shd w:fill="F4F6F8"/>
          </w:tcPr>
          <w:p>
            <w:pPr>
              <w:spacing w:after="0" w:before="0"/>
            </w:pPr>
            <w:r>
              <w:rPr>
                <w:sz w:val="16"/>
              </w:rPr>
              <w:t>Security, billing, fraud or provider action</w:t>
            </w:r>
          </w:p>
        </w:tc>
        <w:tc>
          <w:tcPr>
            <w:tcW w:type="dxa" w:w="3240"/>
            <w:vAlign w:val="top"/>
            <w:tcMar>
              <w:top w:w="70" w:type="dxa"/>
              <w:start w:w="80" w:type="dxa"/>
              <w:bottom w:w="70" w:type="dxa"/>
              <w:end w:w="80" w:type="dxa"/>
            </w:tcMar>
            <w:shd w:fill="F4F6F8"/>
          </w:tcPr>
          <w:p>
            <w:pPr>
              <w:spacing w:after="0" w:before="0"/>
            </w:pPr>
            <w:r>
              <w:rPr>
                <w:sz w:val="16"/>
              </w:rPr>
              <w:t>Stop sends/calls and preserve inbound evidence where allowed.</w:t>
            </w:r>
          </w:p>
        </w:tc>
      </w:tr>
    </w:tbl>
    <w:p>
      <w:pPr>
        <w:spacing w:after="0"/>
      </w:pPr>
    </w:p>
    <w:p>
      <w:pPr>
        <w:pStyle w:val="Heading1"/>
        <w:keepNext/>
      </w:pPr>
      <w:r>
        <w:t>18. UI/UX Design System – shadcn Only</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EAF5EA"/>
            <w:tcMar>
              <w:top w:w="100" w:type="dxa"/>
              <w:start w:w="120" w:type="dxa"/>
              <w:bottom w:w="100" w:type="dxa"/>
              <w:end w:w="120" w:type="dxa"/>
            </w:tcMar>
          </w:tcPr>
          <w:p>
            <w:r>
              <w:rPr>
                <w:b/>
                <w:color w:val="123447"/>
                <w:sz w:val="20"/>
              </w:rPr>
              <w:t>Non-negotiable web rule</w:t>
            </w:r>
            <w:r>
              <w:br/>
              <w:t>The web application uses shadcn/ui as its only reusable UI component system. Tailwind CSS is allowed for layout, spacing and responsive composition. No second full UI library may be introduced without a written architecture decision.</w:t>
            </w:r>
          </w:p>
        </w:tc>
        <w:trPr>
          <w:tblHeader/>
        </w:trPr>
      </w:tr>
    </w:tbl>
    <w:p>
      <w:pPr>
        <w:spacing w:after="0"/>
      </w:pPr>
    </w:p>
    <w:p>
      <w:pPr>
        <w:pStyle w:val="Heading2"/>
        <w:keepNext/>
      </w:pPr>
      <w:r>
        <w:t>18.1 Web implementation</w:t>
      </w:r>
    </w:p>
    <w:p>
      <w:pPr>
        <w:pStyle w:val="ListBullet"/>
        <w:spacing w:after="40"/>
      </w:pPr>
      <w:r>
        <w:t>Initialize shadcn/ui on Base UI for the new project and pin the chosen base in repository configuration to prevent accidental mixing.</w:t>
      </w:r>
    </w:p>
    <w:p>
      <w:pPr>
        <w:pStyle w:val="ListBullet"/>
        <w:spacing w:after="40"/>
      </w:pPr>
      <w:r>
        <w:t>Components are copied into apps/web/components/ui or a shared web-only package and become project-owned code.</w:t>
      </w:r>
    </w:p>
    <w:p>
      <w:pPr>
        <w:pStyle w:val="ListBullet"/>
        <w:spacing w:after="40"/>
      </w:pPr>
      <w:r>
        <w:t>Use shadcn Sidebar, Breadcrumb, Card, Tabs, Dialog, Sheet, Drawer, Command, Data Table patterns, Form, Select/Combobox, Calendar, Badge, Alert, Sonner, Dropdown Menu, Pagination, Skeleton and Chart components.</w:t>
      </w:r>
    </w:p>
    <w:p>
      <w:pPr>
        <w:pStyle w:val="ListBullet"/>
        <w:spacing w:after="40"/>
      </w:pPr>
      <w:r>
        <w:t>Charts use the shadcn Chart composition. Tables use TanStack Table through project-owned shadcn patterns.</w:t>
      </w:r>
    </w:p>
    <w:p>
      <w:pPr>
        <w:pStyle w:val="ListBullet"/>
        <w:spacing w:after="40"/>
      </w:pPr>
      <w:r>
        <w:t>All forms use React Hook Form + Zod and shadcn form controls. Error, loading, empty and permission-denied states are mandatory.</w:t>
      </w:r>
    </w:p>
    <w:p>
      <w:pPr>
        <w:pStyle w:val="ListBullet"/>
        <w:spacing w:after="40"/>
      </w:pPr>
      <w:r>
        <w:t>Accessibility target: keyboard navigation, visible focus, semantic labels, sufficient contrast, reduced motion support and screen-reader announcements for async actions.</w:t>
      </w:r>
    </w:p>
    <w:p>
      <w:pPr>
        <w:pStyle w:val="Heading2"/>
        <w:keepNext/>
      </w:pPr>
      <w:r>
        <w:t>18.2 Mobile design-system exception</w:t>
      </w:r>
    </w:p>
    <w:tbl>
      <w:tblPr>
        <w:tblW w:type="auto" w:w="0"/>
        <w:jc w:val="center"/>
        <w:tblLayout w:type="fixed"/>
        <w:tblLook w:firstColumn="1" w:firstRow="1" w:lastColumn="0" w:lastRow="0" w:noHBand="0" w:noVBand="1" w:val="04A0"/>
        <w:tblBorders>
          <w:top w:val="single" w:sz="6" w:space="0" w:color="9BAFB9"/>
          <w:left w:val="single" w:sz="6" w:space="0" w:color="9BAFB9"/>
          <w:bottom w:val="single" w:sz="6" w:space="0" w:color="9BAFB9"/>
          <w:right w:val="single" w:sz="6" w:space="0" w:color="9BAFB9"/>
          <w:insideH w:val="single" w:sz="6" w:space="0" w:color="9BAFB9"/>
          <w:insideV w:val="single" w:sz="6" w:space="0" w:color="9BAFB9"/>
        </w:tblBorders>
      </w:tblPr>
      <w:tblGrid>
        <w:gridCol w:w="9648"/>
      </w:tblGrid>
      <w:tr>
        <w:tc>
          <w:tcPr>
            <w:tcW w:type="dxa" w:w="10037"/>
            <w:shd w:fill="FFF6D8"/>
            <w:tcMar>
              <w:top w:w="100" w:type="dxa"/>
              <w:start w:w="120" w:type="dxa"/>
              <w:bottom w:w="100" w:type="dxa"/>
              <w:end w:w="120" w:type="dxa"/>
            </w:tcMar>
          </w:tcPr>
          <w:p>
            <w:r>
              <w:rPr>
                <w:b/>
                <w:color w:val="123447"/>
                <w:sz w:val="20"/>
              </w:rPr>
              <w:t>Technical reality</w:t>
            </w:r>
            <w:r>
              <w:br/>
              <w:t>shadcn/ui components render web elements and cannot run directly in React Native. The mobile app therefore uses project-owned React Native primitives styled with NativeWind and the same tokens, spacing, typography, states and interaction principles. No third-party full mobile UI kit is used.</w:t>
            </w:r>
          </w:p>
        </w:tc>
        <w:trPr>
          <w:tblHeader/>
        </w:trPr>
      </w:tr>
    </w:tbl>
    <w:p>
      <w:pPr>
        <w:spacing w:after="0"/>
      </w:pPr>
    </w:p>
    <w:p>
      <w:pPr>
        <w:pStyle w:val="ListBullet"/>
        <w:spacing w:after="40"/>
      </w:pPr>
      <w:r>
        <w:t>Shared design tokens: colour roles, typography, radius, spacing, shadows, status semantics and motion durations.</w:t>
      </w:r>
    </w:p>
    <w:p>
      <w:pPr>
        <w:pStyle w:val="ListBullet"/>
        <w:spacing w:after="40"/>
      </w:pPr>
      <w:r>
        <w:t>Native components: Button, Input, Select/Picker, Card, Badge, Sheet/Modal, Tabs, Alert, Toast, Skeleton, Empty State, List Row and permission disclosure.</w:t>
      </w:r>
    </w:p>
    <w:p>
      <w:pPr>
        <w:pStyle w:val="ListBullet"/>
        <w:spacing w:after="40"/>
      </w:pPr>
      <w:r>
        <w:t>Mobile screens prioritise one-handed use, offline status, large touch targets and explicit Start/Stop actions for tracking.</w:t>
      </w:r>
    </w:p>
    <w:p>
      <w:pPr>
        <w:pStyle w:val="ListBullet"/>
        <w:spacing w:after="40"/>
      </w:pPr>
      <w:r>
        <w:t>Web-specific UI code is never imported into mobile; only contracts, schemas and tokens are shared.</w:t>
      </w:r>
    </w:p>
    <w:p>
      <w:pPr>
        <w:pStyle w:val="Heading2"/>
        <w:keepNext/>
      </w:pPr>
      <w:r>
        <w:t>18.3 Dashboard information architecture</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016"/>
            <w:shd w:fill="123447"/>
            <w:vAlign w:val="center"/>
            <w:tcMar>
              <w:top w:w="70" w:type="dxa"/>
              <w:start w:w="80" w:type="dxa"/>
              <w:bottom w:w="70" w:type="dxa"/>
              <w:end w:w="80" w:type="dxa"/>
            </w:tcMar>
          </w:tcPr>
          <w:p>
            <w:pPr>
              <w:jc w:val="left"/>
            </w:pPr>
            <w:r>
              <w:rPr>
                <w:b/>
                <w:color w:val="FFFFFF"/>
                <w:sz w:val="16"/>
              </w:rPr>
              <w:t>Role</w:t>
            </w:r>
          </w:p>
        </w:tc>
        <w:tc>
          <w:tcPr>
            <w:tcW w:type="dxa" w:w="2520"/>
            <w:shd w:fill="123447"/>
            <w:vAlign w:val="center"/>
            <w:tcMar>
              <w:top w:w="70" w:type="dxa"/>
              <w:start w:w="80" w:type="dxa"/>
              <w:bottom w:w="70" w:type="dxa"/>
              <w:end w:w="80" w:type="dxa"/>
            </w:tcMar>
          </w:tcPr>
          <w:p>
            <w:pPr>
              <w:jc w:val="left"/>
            </w:pPr>
            <w:r>
              <w:rPr>
                <w:b/>
                <w:color w:val="FFFFFF"/>
                <w:sz w:val="16"/>
              </w:rPr>
              <w:t>Default landing page</w:t>
            </w:r>
          </w:p>
        </w:tc>
        <w:tc>
          <w:tcPr>
            <w:tcW w:type="dxa" w:w="5112"/>
            <w:shd w:fill="123447"/>
            <w:vAlign w:val="center"/>
            <w:tcMar>
              <w:top w:w="70" w:type="dxa"/>
              <w:start w:w="80" w:type="dxa"/>
              <w:bottom w:w="70" w:type="dxa"/>
              <w:end w:w="80" w:type="dxa"/>
            </w:tcMar>
          </w:tcPr>
          <w:p>
            <w:pPr>
              <w:jc w:val="left"/>
            </w:pPr>
            <w:r>
              <w:rPr>
                <w:b/>
                <w:color w:val="FFFFFF"/>
                <w:sz w:val="16"/>
              </w:rPr>
              <w:t>Primary widgets</w:t>
            </w:r>
          </w:p>
        </w:tc>
      </w:tr>
      <w:tr>
        <w:tc>
          <w:tcPr>
            <w:tcW w:type="dxa" w:w="2016"/>
            <w:vAlign w:val="top"/>
            <w:tcMar>
              <w:top w:w="70" w:type="dxa"/>
              <w:start w:w="80" w:type="dxa"/>
              <w:bottom w:w="70" w:type="dxa"/>
              <w:end w:w="80" w:type="dxa"/>
            </w:tcMar>
          </w:tcPr>
          <w:p>
            <w:pPr>
              <w:spacing w:after="0" w:before="0"/>
            </w:pPr>
            <w:r>
              <w:rPr>
                <w:sz w:val="16"/>
              </w:rPr>
              <w:t>Agency Admin</w:t>
            </w:r>
          </w:p>
        </w:tc>
        <w:tc>
          <w:tcPr>
            <w:tcW w:type="dxa" w:w="2520"/>
            <w:vAlign w:val="top"/>
            <w:tcMar>
              <w:top w:w="70" w:type="dxa"/>
              <w:start w:w="80" w:type="dxa"/>
              <w:bottom w:w="70" w:type="dxa"/>
              <w:end w:w="80" w:type="dxa"/>
            </w:tcMar>
          </w:tcPr>
          <w:p>
            <w:pPr>
              <w:spacing w:after="0" w:before="0"/>
            </w:pPr>
            <w:r>
              <w:rPr>
                <w:sz w:val="16"/>
              </w:rPr>
              <w:t>Platform overview</w:t>
            </w:r>
          </w:p>
        </w:tc>
        <w:tc>
          <w:tcPr>
            <w:tcW w:type="dxa" w:w="5112"/>
            <w:vAlign w:val="top"/>
            <w:tcMar>
              <w:top w:w="70" w:type="dxa"/>
              <w:start w:w="80" w:type="dxa"/>
              <w:bottom w:w="70" w:type="dxa"/>
              <w:end w:w="80" w:type="dxa"/>
            </w:tcMar>
          </w:tcPr>
          <w:p>
            <w:pPr>
              <w:spacing w:after="0" w:before="0"/>
            </w:pPr>
            <w:r>
              <w:rPr>
                <w:sz w:val="16"/>
              </w:rPr>
              <w:t>Client status, integration failures, webhook backlog, incidents, usage and release status.</w:t>
            </w:r>
          </w:p>
        </w:tc>
      </w:tr>
      <w:tr>
        <w:tc>
          <w:tcPr>
            <w:tcW w:type="dxa" w:w="2016"/>
            <w:vAlign w:val="top"/>
            <w:tcMar>
              <w:top w:w="70" w:type="dxa"/>
              <w:start w:w="80" w:type="dxa"/>
              <w:bottom w:w="70" w:type="dxa"/>
              <w:end w:w="80" w:type="dxa"/>
            </w:tcMar>
            <w:shd w:fill="F4F6F8"/>
          </w:tcPr>
          <w:p>
            <w:pPr>
              <w:spacing w:after="0" w:before="0"/>
            </w:pPr>
            <w:r>
              <w:rPr>
                <w:sz w:val="16"/>
              </w:rPr>
              <w:t>Client Admin</w:t>
            </w:r>
          </w:p>
        </w:tc>
        <w:tc>
          <w:tcPr>
            <w:tcW w:type="dxa" w:w="2520"/>
            <w:vAlign w:val="top"/>
            <w:tcMar>
              <w:top w:w="70" w:type="dxa"/>
              <w:start w:w="80" w:type="dxa"/>
              <w:bottom w:w="70" w:type="dxa"/>
              <w:end w:w="80" w:type="dxa"/>
            </w:tcMar>
            <w:shd w:fill="F4F6F8"/>
          </w:tcPr>
          <w:p>
            <w:pPr>
              <w:spacing w:after="0" w:before="0"/>
            </w:pPr>
            <w:r>
              <w:rPr>
                <w:sz w:val="16"/>
              </w:rPr>
              <w:t>Client setup/operations</w:t>
            </w:r>
          </w:p>
        </w:tc>
        <w:tc>
          <w:tcPr>
            <w:tcW w:type="dxa" w:w="5112"/>
            <w:vAlign w:val="top"/>
            <w:tcMar>
              <w:top w:w="70" w:type="dxa"/>
              <w:start w:w="80" w:type="dxa"/>
              <w:bottom w:w="70" w:type="dxa"/>
              <w:end w:w="80" w:type="dxa"/>
            </w:tcMar>
            <w:shd w:fill="F4F6F8"/>
          </w:tcPr>
          <w:p>
            <w:pPr>
              <w:spacing w:after="0" w:before="0"/>
            </w:pPr>
            <w:r>
              <w:rPr>
                <w:sz w:val="16"/>
              </w:rPr>
              <w:t>Onboarding progress, branches/users, connections, stock, funnel and compliance tasks.</w:t>
            </w:r>
          </w:p>
        </w:tc>
      </w:tr>
      <w:tr>
        <w:tc>
          <w:tcPr>
            <w:tcW w:type="dxa" w:w="2016"/>
            <w:vAlign w:val="top"/>
            <w:tcMar>
              <w:top w:w="70" w:type="dxa"/>
              <w:start w:w="80" w:type="dxa"/>
              <w:bottom w:w="70" w:type="dxa"/>
              <w:end w:w="80" w:type="dxa"/>
            </w:tcMar>
          </w:tcPr>
          <w:p>
            <w:pPr>
              <w:spacing w:after="0" w:before="0"/>
            </w:pPr>
            <w:r>
              <w:rPr>
                <w:sz w:val="16"/>
              </w:rPr>
              <w:t>Manager</w:t>
            </w:r>
          </w:p>
        </w:tc>
        <w:tc>
          <w:tcPr>
            <w:tcW w:type="dxa" w:w="2520"/>
            <w:vAlign w:val="top"/>
            <w:tcMar>
              <w:top w:w="70" w:type="dxa"/>
              <w:start w:w="80" w:type="dxa"/>
              <w:bottom w:w="70" w:type="dxa"/>
              <w:end w:w="80" w:type="dxa"/>
            </w:tcMar>
          </w:tcPr>
          <w:p>
            <w:pPr>
              <w:spacing w:after="0" w:before="0"/>
            </w:pPr>
            <w:r>
              <w:rPr>
                <w:sz w:val="16"/>
              </w:rPr>
              <w:t>Operations command centre</w:t>
            </w:r>
          </w:p>
        </w:tc>
        <w:tc>
          <w:tcPr>
            <w:tcW w:type="dxa" w:w="5112"/>
            <w:vAlign w:val="top"/>
            <w:tcMar>
              <w:top w:w="70" w:type="dxa"/>
              <w:start w:w="80" w:type="dxa"/>
              <w:bottom w:w="70" w:type="dxa"/>
              <w:end w:w="80" w:type="dxa"/>
            </w:tcMar>
          </w:tcPr>
          <w:p>
            <w:pPr>
              <w:spacing w:after="0" w:before="0"/>
            </w:pPr>
            <w:r>
              <w:rPr>
                <w:sz w:val="16"/>
              </w:rPr>
              <w:t>Funnel, SLA, active rides/deliveries, stock/payment/RC aging and escalations.</w:t>
            </w:r>
          </w:p>
        </w:tc>
      </w:tr>
      <w:tr>
        <w:tc>
          <w:tcPr>
            <w:tcW w:type="dxa" w:w="2016"/>
            <w:vAlign w:val="top"/>
            <w:tcMar>
              <w:top w:w="70" w:type="dxa"/>
              <w:start w:w="80" w:type="dxa"/>
              <w:bottom w:w="70" w:type="dxa"/>
              <w:end w:w="80" w:type="dxa"/>
            </w:tcMar>
            <w:shd w:fill="F4F6F8"/>
          </w:tcPr>
          <w:p>
            <w:pPr>
              <w:spacing w:after="0" w:before="0"/>
            </w:pPr>
            <w:r>
              <w:rPr>
                <w:sz w:val="16"/>
              </w:rPr>
              <w:t>Sales Manager</w:t>
            </w:r>
          </w:p>
        </w:tc>
        <w:tc>
          <w:tcPr>
            <w:tcW w:type="dxa" w:w="2520"/>
            <w:vAlign w:val="top"/>
            <w:tcMar>
              <w:top w:w="70" w:type="dxa"/>
              <w:start w:w="80" w:type="dxa"/>
              <w:bottom w:w="70" w:type="dxa"/>
              <w:end w:w="80" w:type="dxa"/>
            </w:tcMar>
            <w:shd w:fill="F4F6F8"/>
          </w:tcPr>
          <w:p>
            <w:pPr>
              <w:spacing w:after="0" w:before="0"/>
            </w:pPr>
            <w:r>
              <w:rPr>
                <w:sz w:val="16"/>
              </w:rPr>
              <w:t>Sales queue</w:t>
            </w:r>
          </w:p>
        </w:tc>
        <w:tc>
          <w:tcPr>
            <w:tcW w:type="dxa" w:w="5112"/>
            <w:vAlign w:val="top"/>
            <w:tcMar>
              <w:top w:w="70" w:type="dxa"/>
              <w:start w:w="80" w:type="dxa"/>
              <w:bottom w:w="70" w:type="dxa"/>
              <w:end w:w="80" w:type="dxa"/>
            </w:tcMar>
            <w:shd w:fill="F4F6F8"/>
          </w:tcPr>
          <w:p>
            <w:pPr>
              <w:spacing w:after="0" w:before="0"/>
            </w:pPr>
            <w:r>
              <w:rPr>
                <w:sz w:val="16"/>
              </w:rPr>
              <w:t>Unassigned/new/overdue leads, team capacity, follow-ups, test rides and booking approvals.</w:t>
            </w:r>
          </w:p>
        </w:tc>
      </w:tr>
      <w:tr>
        <w:tc>
          <w:tcPr>
            <w:tcW w:type="dxa" w:w="2016"/>
            <w:vAlign w:val="top"/>
            <w:tcMar>
              <w:top w:w="70" w:type="dxa"/>
              <w:start w:w="80" w:type="dxa"/>
              <w:bottom w:w="70" w:type="dxa"/>
              <w:end w:w="80" w:type="dxa"/>
            </w:tcMar>
          </w:tcPr>
          <w:p>
            <w:pPr>
              <w:spacing w:after="0" w:before="0"/>
            </w:pPr>
            <w:r>
              <w:rPr>
                <w:sz w:val="16"/>
              </w:rPr>
              <w:t>Billing/Inventory/RC</w:t>
            </w:r>
          </w:p>
        </w:tc>
        <w:tc>
          <w:tcPr>
            <w:tcW w:type="dxa" w:w="2520"/>
            <w:vAlign w:val="top"/>
            <w:tcMar>
              <w:top w:w="70" w:type="dxa"/>
              <w:start w:w="80" w:type="dxa"/>
              <w:bottom w:w="70" w:type="dxa"/>
              <w:end w:w="80" w:type="dxa"/>
            </w:tcMar>
          </w:tcPr>
          <w:p>
            <w:pPr>
              <w:spacing w:after="0" w:before="0"/>
            </w:pPr>
            <w:r>
              <w:rPr>
                <w:sz w:val="16"/>
              </w:rPr>
              <w:t>Work queues</w:t>
            </w:r>
          </w:p>
        </w:tc>
        <w:tc>
          <w:tcPr>
            <w:tcW w:type="dxa" w:w="5112"/>
            <w:vAlign w:val="top"/>
            <w:tcMar>
              <w:top w:w="70" w:type="dxa"/>
              <w:start w:w="80" w:type="dxa"/>
              <w:bottom w:w="70" w:type="dxa"/>
              <w:end w:w="80" w:type="dxa"/>
            </w:tcMar>
          </w:tcPr>
          <w:p>
            <w:pPr>
              <w:spacing w:after="0" w:before="0"/>
            </w:pPr>
            <w:r>
              <w:rPr>
                <w:sz w:val="16"/>
              </w:rPr>
              <w:t>Readiness blockers, reservations, payments, documents, registrations and aging.</w:t>
            </w:r>
          </w:p>
        </w:tc>
      </w:tr>
    </w:tbl>
    <w:p>
      <w:pPr>
        <w:spacing w:after="0"/>
      </w:pPr>
    </w:p>
    <w:p>
      <w:pPr>
        <w:pStyle w:val="Heading1"/>
        <w:keepNext/>
      </w:pPr>
      <w:r>
        <w:t>19. Technical Architecture and Selected Stack</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1728"/>
            <w:shd w:fill="123447"/>
            <w:vAlign w:val="center"/>
            <w:tcMar>
              <w:top w:w="70" w:type="dxa"/>
              <w:start w:w="80" w:type="dxa"/>
              <w:bottom w:w="70" w:type="dxa"/>
              <w:end w:w="80" w:type="dxa"/>
            </w:tcMar>
          </w:tcPr>
          <w:p>
            <w:pPr>
              <w:jc w:val="left"/>
            </w:pPr>
            <w:r>
              <w:rPr>
                <w:b/>
                <w:color w:val="FFFFFF"/>
                <w:sz w:val="15"/>
              </w:rPr>
              <w:t>Layer</w:t>
            </w:r>
          </w:p>
        </w:tc>
        <w:tc>
          <w:tcPr>
            <w:tcW w:type="dxa" w:w="3888"/>
            <w:shd w:fill="123447"/>
            <w:vAlign w:val="center"/>
            <w:tcMar>
              <w:top w:w="70" w:type="dxa"/>
              <w:start w:w="80" w:type="dxa"/>
              <w:bottom w:w="70" w:type="dxa"/>
              <w:end w:w="80" w:type="dxa"/>
            </w:tcMar>
          </w:tcPr>
          <w:p>
            <w:pPr>
              <w:jc w:val="left"/>
            </w:pPr>
            <w:r>
              <w:rPr>
                <w:b/>
                <w:color w:val="FFFFFF"/>
                <w:sz w:val="15"/>
              </w:rPr>
              <w:t>Technology</w:t>
            </w:r>
          </w:p>
        </w:tc>
        <w:tc>
          <w:tcPr>
            <w:tcW w:type="dxa" w:w="4032"/>
            <w:shd w:fill="123447"/>
            <w:vAlign w:val="center"/>
            <w:tcMar>
              <w:top w:w="70" w:type="dxa"/>
              <w:start w:w="80" w:type="dxa"/>
              <w:bottom w:w="70" w:type="dxa"/>
              <w:end w:w="80" w:type="dxa"/>
            </w:tcMar>
          </w:tcPr>
          <w:p>
            <w:pPr>
              <w:jc w:val="left"/>
            </w:pPr>
            <w:r>
              <w:rPr>
                <w:b/>
                <w:color w:val="FFFFFF"/>
                <w:sz w:val="15"/>
              </w:rPr>
              <w:t>Decision</w:t>
            </w:r>
          </w:p>
        </w:tc>
      </w:tr>
      <w:tr>
        <w:tc>
          <w:tcPr>
            <w:tcW w:type="dxa" w:w="1728"/>
            <w:vAlign w:val="top"/>
            <w:tcMar>
              <w:top w:w="70" w:type="dxa"/>
              <w:start w:w="80" w:type="dxa"/>
              <w:bottom w:w="70" w:type="dxa"/>
              <w:end w:w="80" w:type="dxa"/>
            </w:tcMar>
          </w:tcPr>
          <w:p>
            <w:pPr>
              <w:spacing w:after="0" w:before="0"/>
            </w:pPr>
            <w:r>
              <w:rPr>
                <w:sz w:val="15"/>
              </w:rPr>
              <w:t>Monorepo</w:t>
            </w:r>
          </w:p>
        </w:tc>
        <w:tc>
          <w:tcPr>
            <w:tcW w:type="dxa" w:w="3888"/>
            <w:vAlign w:val="top"/>
            <w:tcMar>
              <w:top w:w="70" w:type="dxa"/>
              <w:start w:w="80" w:type="dxa"/>
              <w:bottom w:w="70" w:type="dxa"/>
              <w:end w:w="80" w:type="dxa"/>
            </w:tcMar>
          </w:tcPr>
          <w:p>
            <w:pPr>
              <w:spacing w:after="0" w:before="0"/>
            </w:pPr>
            <w:r>
              <w:rPr>
                <w:sz w:val="15"/>
              </w:rPr>
              <w:t>pnpm workspaces + Turborepo</w:t>
            </w:r>
          </w:p>
        </w:tc>
        <w:tc>
          <w:tcPr>
            <w:tcW w:type="dxa" w:w="4032"/>
            <w:vAlign w:val="top"/>
            <w:tcMar>
              <w:top w:w="70" w:type="dxa"/>
              <w:start w:w="80" w:type="dxa"/>
              <w:bottom w:w="70" w:type="dxa"/>
              <w:end w:w="80" w:type="dxa"/>
            </w:tcMar>
          </w:tcPr>
          <w:p>
            <w:pPr>
              <w:spacing w:after="0" w:before="0"/>
            </w:pPr>
            <w:r>
              <w:rPr>
                <w:sz w:val="15"/>
              </w:rPr>
              <w:t>Shared contracts, design tokens, validation and repeatable builds.</w:t>
            </w:r>
          </w:p>
        </w:tc>
      </w:tr>
      <w:tr>
        <w:tc>
          <w:tcPr>
            <w:tcW w:type="dxa" w:w="1728"/>
            <w:vAlign w:val="top"/>
            <w:tcMar>
              <w:top w:w="70" w:type="dxa"/>
              <w:start w:w="80" w:type="dxa"/>
              <w:bottom w:w="70" w:type="dxa"/>
              <w:end w:w="80" w:type="dxa"/>
            </w:tcMar>
            <w:shd w:fill="F4F6F8"/>
          </w:tcPr>
          <w:p>
            <w:pPr>
              <w:spacing w:after="0" w:before="0"/>
            </w:pPr>
            <w:r>
              <w:rPr>
                <w:sz w:val="15"/>
              </w:rPr>
              <w:t>Web</w:t>
            </w:r>
          </w:p>
        </w:tc>
        <w:tc>
          <w:tcPr>
            <w:tcW w:type="dxa" w:w="3888"/>
            <w:vAlign w:val="top"/>
            <w:tcMar>
              <w:top w:w="70" w:type="dxa"/>
              <w:start w:w="80" w:type="dxa"/>
              <w:bottom w:w="70" w:type="dxa"/>
              <w:end w:w="80" w:type="dxa"/>
            </w:tcMar>
            <w:shd w:fill="F4F6F8"/>
          </w:tcPr>
          <w:p>
            <w:pPr>
              <w:spacing w:after="0" w:before="0"/>
            </w:pPr>
            <w:r>
              <w:rPr>
                <w:sz w:val="15"/>
              </w:rPr>
              <w:t>Next.js App Router + TypeScript</w:t>
            </w:r>
          </w:p>
        </w:tc>
        <w:tc>
          <w:tcPr>
            <w:tcW w:type="dxa" w:w="4032"/>
            <w:vAlign w:val="top"/>
            <w:tcMar>
              <w:top w:w="70" w:type="dxa"/>
              <w:start w:w="80" w:type="dxa"/>
              <w:bottom w:w="70" w:type="dxa"/>
              <w:end w:w="80" w:type="dxa"/>
            </w:tcMar>
            <w:shd w:fill="F4F6F8"/>
          </w:tcPr>
          <w:p>
            <w:pPr>
              <w:spacing w:after="0" w:before="0"/>
            </w:pPr>
            <w:r>
              <w:rPr>
                <w:sz w:val="15"/>
              </w:rPr>
              <w:t>Office dashboard on Vercel; shadcn/ui Base UI only.</w:t>
            </w:r>
          </w:p>
        </w:tc>
      </w:tr>
      <w:tr>
        <w:tc>
          <w:tcPr>
            <w:tcW w:type="dxa" w:w="1728"/>
            <w:vAlign w:val="top"/>
            <w:tcMar>
              <w:top w:w="70" w:type="dxa"/>
              <w:start w:w="80" w:type="dxa"/>
              <w:bottom w:w="70" w:type="dxa"/>
              <w:end w:w="80" w:type="dxa"/>
            </w:tcMar>
          </w:tcPr>
          <w:p>
            <w:pPr>
              <w:spacing w:after="0" w:before="0"/>
            </w:pPr>
            <w:r>
              <w:rPr>
                <w:sz w:val="15"/>
              </w:rPr>
              <w:t>Web state/forms</w:t>
            </w:r>
          </w:p>
        </w:tc>
        <w:tc>
          <w:tcPr>
            <w:tcW w:type="dxa" w:w="3888"/>
            <w:vAlign w:val="top"/>
            <w:tcMar>
              <w:top w:w="70" w:type="dxa"/>
              <w:start w:w="80" w:type="dxa"/>
              <w:bottom w:w="70" w:type="dxa"/>
              <w:end w:w="80" w:type="dxa"/>
            </w:tcMar>
          </w:tcPr>
          <w:p>
            <w:pPr>
              <w:spacing w:after="0" w:before="0"/>
            </w:pPr>
            <w:r>
              <w:rPr>
                <w:sz w:val="15"/>
              </w:rPr>
              <w:t>TanStack Query + React Hook Form + Zod</w:t>
            </w:r>
          </w:p>
        </w:tc>
        <w:tc>
          <w:tcPr>
            <w:tcW w:type="dxa" w:w="4032"/>
            <w:vAlign w:val="top"/>
            <w:tcMar>
              <w:top w:w="70" w:type="dxa"/>
              <w:start w:w="80" w:type="dxa"/>
              <w:bottom w:w="70" w:type="dxa"/>
              <w:end w:w="80" w:type="dxa"/>
            </w:tcMar>
          </w:tcPr>
          <w:p>
            <w:pPr>
              <w:spacing w:after="0" w:before="0"/>
            </w:pPr>
            <w:r>
              <w:rPr>
                <w:sz w:val="15"/>
              </w:rPr>
              <w:t>Server-state, validation and resilient forms.</w:t>
            </w:r>
          </w:p>
        </w:tc>
      </w:tr>
      <w:tr>
        <w:tc>
          <w:tcPr>
            <w:tcW w:type="dxa" w:w="1728"/>
            <w:vAlign w:val="top"/>
            <w:tcMar>
              <w:top w:w="70" w:type="dxa"/>
              <w:start w:w="80" w:type="dxa"/>
              <w:bottom w:w="70" w:type="dxa"/>
              <w:end w:w="80" w:type="dxa"/>
            </w:tcMar>
            <w:shd w:fill="F4F6F8"/>
          </w:tcPr>
          <w:p>
            <w:pPr>
              <w:spacing w:after="0" w:before="0"/>
            </w:pPr>
            <w:r>
              <w:rPr>
                <w:sz w:val="15"/>
              </w:rPr>
              <w:t>Mobile</w:t>
            </w:r>
          </w:p>
        </w:tc>
        <w:tc>
          <w:tcPr>
            <w:tcW w:type="dxa" w:w="3888"/>
            <w:vAlign w:val="top"/>
            <w:tcMar>
              <w:top w:w="70" w:type="dxa"/>
              <w:start w:w="80" w:type="dxa"/>
              <w:bottom w:w="70" w:type="dxa"/>
              <w:end w:w="80" w:type="dxa"/>
            </w:tcMar>
            <w:shd w:fill="F4F6F8"/>
          </w:tcPr>
          <w:p>
            <w:pPr>
              <w:spacing w:after="0" w:before="0"/>
            </w:pPr>
            <w:r>
              <w:rPr>
                <w:sz w:val="15"/>
              </w:rPr>
              <w:t>React Native + Expo prebuild + Expo Router</w:t>
            </w:r>
          </w:p>
        </w:tc>
        <w:tc>
          <w:tcPr>
            <w:tcW w:type="dxa" w:w="4032"/>
            <w:vAlign w:val="top"/>
            <w:tcMar>
              <w:top w:w="70" w:type="dxa"/>
              <w:start w:w="80" w:type="dxa"/>
              <w:bottom w:w="70" w:type="dxa"/>
              <w:end w:w="80" w:type="dxa"/>
            </w:tcMar>
            <w:shd w:fill="F4F6F8"/>
          </w:tcPr>
          <w:p>
            <w:pPr>
              <w:spacing w:after="0" w:before="0"/>
            </w:pPr>
            <w:r>
              <w:rPr>
                <w:sz w:val="15"/>
              </w:rPr>
              <w:t>Android-first, native permissions and custom foreground location support.</w:t>
            </w:r>
          </w:p>
        </w:tc>
      </w:tr>
      <w:tr>
        <w:tc>
          <w:tcPr>
            <w:tcW w:type="dxa" w:w="1728"/>
            <w:vAlign w:val="top"/>
            <w:tcMar>
              <w:top w:w="70" w:type="dxa"/>
              <w:start w:w="80" w:type="dxa"/>
              <w:bottom w:w="70" w:type="dxa"/>
              <w:end w:w="80" w:type="dxa"/>
            </w:tcMar>
          </w:tcPr>
          <w:p>
            <w:pPr>
              <w:spacing w:after="0" w:before="0"/>
            </w:pPr>
            <w:r>
              <w:rPr>
                <w:sz w:val="15"/>
              </w:rPr>
              <w:t>Mobile offline</w:t>
            </w:r>
          </w:p>
        </w:tc>
        <w:tc>
          <w:tcPr>
            <w:tcW w:type="dxa" w:w="3888"/>
            <w:vAlign w:val="top"/>
            <w:tcMar>
              <w:top w:w="70" w:type="dxa"/>
              <w:start w:w="80" w:type="dxa"/>
              <w:bottom w:w="70" w:type="dxa"/>
              <w:end w:w="80" w:type="dxa"/>
            </w:tcMar>
          </w:tcPr>
          <w:p>
            <w:pPr>
              <w:spacing w:after="0" w:before="0"/>
            </w:pPr>
            <w:r>
              <w:rPr>
                <w:sz w:val="15"/>
              </w:rPr>
              <w:t>TanStack Query + Zustand + expo-sqlite</w:t>
            </w:r>
          </w:p>
        </w:tc>
        <w:tc>
          <w:tcPr>
            <w:tcW w:type="dxa" w:w="4032"/>
            <w:vAlign w:val="top"/>
            <w:tcMar>
              <w:top w:w="70" w:type="dxa"/>
              <w:start w:w="80" w:type="dxa"/>
              <w:bottom w:w="70" w:type="dxa"/>
              <w:end w:w="80" w:type="dxa"/>
            </w:tcMar>
          </w:tcPr>
          <w:p>
            <w:pPr>
              <w:spacing w:after="0" w:before="0"/>
            </w:pPr>
            <w:r>
              <w:rPr>
                <w:sz w:val="15"/>
              </w:rPr>
              <w:t>Cached work queues, outbox and replay.</w:t>
            </w:r>
          </w:p>
        </w:tc>
      </w:tr>
      <w:tr>
        <w:tc>
          <w:tcPr>
            <w:tcW w:type="dxa" w:w="1728"/>
            <w:vAlign w:val="top"/>
            <w:tcMar>
              <w:top w:w="70" w:type="dxa"/>
              <w:start w:w="80" w:type="dxa"/>
              <w:bottom w:w="70" w:type="dxa"/>
              <w:end w:w="80" w:type="dxa"/>
            </w:tcMar>
            <w:shd w:fill="F4F6F8"/>
          </w:tcPr>
          <w:p>
            <w:pPr>
              <w:spacing w:after="0" w:before="0"/>
            </w:pPr>
            <w:r>
              <w:rPr>
                <w:sz w:val="15"/>
              </w:rPr>
              <w:t>Backend</w:t>
            </w:r>
          </w:p>
        </w:tc>
        <w:tc>
          <w:tcPr>
            <w:tcW w:type="dxa" w:w="3888"/>
            <w:vAlign w:val="top"/>
            <w:tcMar>
              <w:top w:w="70" w:type="dxa"/>
              <w:start w:w="80" w:type="dxa"/>
              <w:bottom w:w="70" w:type="dxa"/>
              <w:end w:w="80" w:type="dxa"/>
            </w:tcMar>
            <w:shd w:fill="F4F6F8"/>
          </w:tcPr>
          <w:p>
            <w:pPr>
              <w:spacing w:after="0" w:before="0"/>
            </w:pPr>
            <w:r>
              <w:rPr>
                <w:sz w:val="15"/>
              </w:rPr>
              <w:t>NestJS + TypeScript + REST/OpenAPI</w:t>
            </w:r>
          </w:p>
        </w:tc>
        <w:tc>
          <w:tcPr>
            <w:tcW w:type="dxa" w:w="4032"/>
            <w:vAlign w:val="top"/>
            <w:tcMar>
              <w:top w:w="70" w:type="dxa"/>
              <w:start w:w="80" w:type="dxa"/>
              <w:bottom w:w="70" w:type="dxa"/>
              <w:end w:w="80" w:type="dxa"/>
            </w:tcMar>
            <w:shd w:fill="F4F6F8"/>
          </w:tcPr>
          <w:p>
            <w:pPr>
              <w:spacing w:after="0" w:before="0"/>
            </w:pPr>
            <w:r>
              <w:rPr>
                <w:sz w:val="15"/>
              </w:rPr>
              <w:t>Authoritative modular monolith and provider adapters.</w:t>
            </w:r>
          </w:p>
        </w:tc>
      </w:tr>
      <w:tr>
        <w:tc>
          <w:tcPr>
            <w:tcW w:type="dxa" w:w="1728"/>
            <w:vAlign w:val="top"/>
            <w:tcMar>
              <w:top w:w="70" w:type="dxa"/>
              <w:start w:w="80" w:type="dxa"/>
              <w:bottom w:w="70" w:type="dxa"/>
              <w:end w:w="80" w:type="dxa"/>
            </w:tcMar>
          </w:tcPr>
          <w:p>
            <w:pPr>
              <w:spacing w:after="0" w:before="0"/>
            </w:pPr>
            <w:r>
              <w:rPr>
                <w:sz w:val="15"/>
              </w:rPr>
              <w:t>Database</w:t>
            </w:r>
          </w:p>
        </w:tc>
        <w:tc>
          <w:tcPr>
            <w:tcW w:type="dxa" w:w="3888"/>
            <w:vAlign w:val="top"/>
            <w:tcMar>
              <w:top w:w="70" w:type="dxa"/>
              <w:start w:w="80" w:type="dxa"/>
              <w:bottom w:w="70" w:type="dxa"/>
              <w:end w:w="80" w:type="dxa"/>
            </w:tcMar>
          </w:tcPr>
          <w:p>
            <w:pPr>
              <w:spacing w:after="0" w:before="0"/>
            </w:pPr>
            <w:r>
              <w:rPr>
                <w:sz w:val="15"/>
              </w:rPr>
              <w:t>Supabase PostgreSQL + Drizzle ORM</w:t>
            </w:r>
          </w:p>
        </w:tc>
        <w:tc>
          <w:tcPr>
            <w:tcW w:type="dxa" w:w="4032"/>
            <w:vAlign w:val="top"/>
            <w:tcMar>
              <w:top w:w="70" w:type="dxa"/>
              <w:start w:w="80" w:type="dxa"/>
              <w:bottom w:w="70" w:type="dxa"/>
              <w:end w:w="80" w:type="dxa"/>
            </w:tcMar>
          </w:tcPr>
          <w:p>
            <w:pPr>
              <w:spacing w:after="0" w:before="0"/>
            </w:pPr>
            <w:r>
              <w:rPr>
                <w:sz w:val="15"/>
              </w:rPr>
              <w:t>Portable PostgreSQL, migrations and constraints.</w:t>
            </w:r>
          </w:p>
        </w:tc>
      </w:tr>
      <w:tr>
        <w:tc>
          <w:tcPr>
            <w:tcW w:type="dxa" w:w="1728"/>
            <w:vAlign w:val="top"/>
            <w:tcMar>
              <w:top w:w="70" w:type="dxa"/>
              <w:start w:w="80" w:type="dxa"/>
              <w:bottom w:w="70" w:type="dxa"/>
              <w:end w:w="80" w:type="dxa"/>
            </w:tcMar>
            <w:shd w:fill="F4F6F8"/>
          </w:tcPr>
          <w:p>
            <w:pPr>
              <w:spacing w:after="0" w:before="0"/>
            </w:pPr>
            <w:r>
              <w:rPr>
                <w:sz w:val="15"/>
              </w:rPr>
              <w:t>Queue/cache</w:t>
            </w:r>
          </w:p>
        </w:tc>
        <w:tc>
          <w:tcPr>
            <w:tcW w:type="dxa" w:w="3888"/>
            <w:vAlign w:val="top"/>
            <w:tcMar>
              <w:top w:w="70" w:type="dxa"/>
              <w:start w:w="80" w:type="dxa"/>
              <w:bottom w:w="70" w:type="dxa"/>
              <w:end w:w="80" w:type="dxa"/>
            </w:tcMar>
            <w:shd w:fill="F4F6F8"/>
          </w:tcPr>
          <w:p>
            <w:pPr>
              <w:spacing w:after="0" w:before="0"/>
            </w:pPr>
            <w:r>
              <w:rPr>
                <w:sz w:val="15"/>
              </w:rPr>
              <w:t>Upstash Redis + BullMQ</w:t>
            </w:r>
          </w:p>
        </w:tc>
        <w:tc>
          <w:tcPr>
            <w:tcW w:type="dxa" w:w="4032"/>
            <w:vAlign w:val="top"/>
            <w:tcMar>
              <w:top w:w="70" w:type="dxa"/>
              <w:start w:w="80" w:type="dxa"/>
              <w:bottom w:w="70" w:type="dxa"/>
              <w:end w:w="80" w:type="dxa"/>
            </w:tcMar>
            <w:shd w:fill="F4F6F8"/>
          </w:tcPr>
          <w:p>
            <w:pPr>
              <w:spacing w:after="0" w:before="0"/>
            </w:pPr>
            <w:r>
              <w:rPr>
                <w:sz w:val="15"/>
              </w:rPr>
              <w:t>Rate limits, locks, retries, delayed jobs and workers.</w:t>
            </w:r>
          </w:p>
        </w:tc>
      </w:tr>
      <w:tr>
        <w:tc>
          <w:tcPr>
            <w:tcW w:type="dxa" w:w="1728"/>
            <w:vAlign w:val="top"/>
            <w:tcMar>
              <w:top w:w="70" w:type="dxa"/>
              <w:start w:w="80" w:type="dxa"/>
              <w:bottom w:w="70" w:type="dxa"/>
              <w:end w:w="80" w:type="dxa"/>
            </w:tcMar>
          </w:tcPr>
          <w:p>
            <w:pPr>
              <w:spacing w:after="0" w:before="0"/>
            </w:pPr>
            <w:r>
              <w:rPr>
                <w:sz w:val="15"/>
              </w:rPr>
              <w:t>Storage</w:t>
            </w:r>
          </w:p>
        </w:tc>
        <w:tc>
          <w:tcPr>
            <w:tcW w:type="dxa" w:w="3888"/>
            <w:vAlign w:val="top"/>
            <w:tcMar>
              <w:top w:w="70" w:type="dxa"/>
              <w:start w:w="80" w:type="dxa"/>
              <w:bottom w:w="70" w:type="dxa"/>
              <w:end w:w="80" w:type="dxa"/>
            </w:tcMar>
          </w:tcPr>
          <w:p>
            <w:pPr>
              <w:spacing w:after="0" w:before="0"/>
            </w:pPr>
            <w:r>
              <w:rPr>
                <w:sz w:val="15"/>
              </w:rPr>
              <w:t>Tigris via AWS SDK S3 interface</w:t>
            </w:r>
          </w:p>
        </w:tc>
        <w:tc>
          <w:tcPr>
            <w:tcW w:type="dxa" w:w="4032"/>
            <w:vAlign w:val="top"/>
            <w:tcMar>
              <w:top w:w="70" w:type="dxa"/>
              <w:start w:w="80" w:type="dxa"/>
              <w:bottom w:w="70" w:type="dxa"/>
              <w:end w:w="80" w:type="dxa"/>
            </w:tcMar>
          </w:tcPr>
          <w:p>
            <w:pPr>
              <w:spacing w:after="0" w:before="0"/>
            </w:pPr>
            <w:r>
              <w:rPr>
                <w:sz w:val="15"/>
              </w:rPr>
              <w:t>Private files now; AWS S3 later.</w:t>
            </w:r>
          </w:p>
        </w:tc>
      </w:tr>
      <w:tr>
        <w:tc>
          <w:tcPr>
            <w:tcW w:type="dxa" w:w="1728"/>
            <w:vAlign w:val="top"/>
            <w:tcMar>
              <w:top w:w="70" w:type="dxa"/>
              <w:start w:w="80" w:type="dxa"/>
              <w:bottom w:w="70" w:type="dxa"/>
              <w:end w:w="80" w:type="dxa"/>
            </w:tcMar>
            <w:shd w:fill="F4F6F8"/>
          </w:tcPr>
          <w:p>
            <w:pPr>
              <w:spacing w:after="0" w:before="0"/>
            </w:pPr>
            <w:r>
              <w:rPr>
                <w:sz w:val="15"/>
              </w:rPr>
              <w:t>Push</w:t>
            </w:r>
          </w:p>
        </w:tc>
        <w:tc>
          <w:tcPr>
            <w:tcW w:type="dxa" w:w="3888"/>
            <w:vAlign w:val="top"/>
            <w:tcMar>
              <w:top w:w="70" w:type="dxa"/>
              <w:start w:w="80" w:type="dxa"/>
              <w:bottom w:w="70" w:type="dxa"/>
              <w:end w:w="80" w:type="dxa"/>
            </w:tcMar>
            <w:shd w:fill="F4F6F8"/>
          </w:tcPr>
          <w:p>
            <w:pPr>
              <w:spacing w:after="0" w:before="0"/>
            </w:pPr>
            <w:r>
              <w:rPr>
                <w:sz w:val="15"/>
              </w:rPr>
              <w:t>Firebase Cloud Messaging / expo-notifications</w:t>
            </w:r>
          </w:p>
        </w:tc>
        <w:tc>
          <w:tcPr>
            <w:tcW w:type="dxa" w:w="4032"/>
            <w:vAlign w:val="top"/>
            <w:tcMar>
              <w:top w:w="70" w:type="dxa"/>
              <w:start w:w="80" w:type="dxa"/>
              <w:bottom w:w="70" w:type="dxa"/>
              <w:end w:w="80" w:type="dxa"/>
            </w:tcMar>
            <w:shd w:fill="F4F6F8"/>
          </w:tcPr>
          <w:p>
            <w:pPr>
              <w:spacing w:after="0" w:before="0"/>
            </w:pPr>
            <w:r>
              <w:rPr>
                <w:sz w:val="15"/>
              </w:rPr>
              <w:t>Task, follow-up and active-job notifications.</w:t>
            </w:r>
          </w:p>
        </w:tc>
      </w:tr>
      <w:tr>
        <w:tc>
          <w:tcPr>
            <w:tcW w:type="dxa" w:w="1728"/>
            <w:vAlign w:val="top"/>
            <w:tcMar>
              <w:top w:w="70" w:type="dxa"/>
              <w:start w:w="80" w:type="dxa"/>
              <w:bottom w:w="70" w:type="dxa"/>
              <w:end w:w="80" w:type="dxa"/>
            </w:tcMar>
          </w:tcPr>
          <w:p>
            <w:pPr>
              <w:spacing w:after="0" w:before="0"/>
            </w:pPr>
            <w:r>
              <w:rPr>
                <w:sz w:val="15"/>
              </w:rPr>
              <w:t>Maps</w:t>
            </w:r>
          </w:p>
        </w:tc>
        <w:tc>
          <w:tcPr>
            <w:tcW w:type="dxa" w:w="3888"/>
            <w:vAlign w:val="top"/>
            <w:tcMar>
              <w:top w:w="70" w:type="dxa"/>
              <w:start w:w="80" w:type="dxa"/>
              <w:bottom w:w="70" w:type="dxa"/>
              <w:end w:w="80" w:type="dxa"/>
            </w:tcMar>
          </w:tcPr>
          <w:p>
            <w:pPr>
              <w:spacing w:after="0" w:before="0"/>
            </w:pPr>
            <w:r>
              <w:rPr>
                <w:sz w:val="15"/>
              </w:rPr>
              <w:t>Google Maps Platform / approved native map implementation</w:t>
            </w:r>
          </w:p>
        </w:tc>
        <w:tc>
          <w:tcPr>
            <w:tcW w:type="dxa" w:w="4032"/>
            <w:vAlign w:val="top"/>
            <w:tcMar>
              <w:top w:w="70" w:type="dxa"/>
              <w:start w:w="80" w:type="dxa"/>
              <w:bottom w:w="70" w:type="dxa"/>
              <w:end w:w="80" w:type="dxa"/>
            </w:tcMar>
          </w:tcPr>
          <w:p>
            <w:pPr>
              <w:spacing w:after="0" w:before="0"/>
            </w:pPr>
            <w:r>
              <w:rPr>
                <w:sz w:val="15"/>
              </w:rPr>
              <w:t>Geocoding, route links and active-job maps only where needed.</w:t>
            </w:r>
          </w:p>
        </w:tc>
      </w:tr>
      <w:tr>
        <w:tc>
          <w:tcPr>
            <w:tcW w:type="dxa" w:w="1728"/>
            <w:vAlign w:val="top"/>
            <w:tcMar>
              <w:top w:w="70" w:type="dxa"/>
              <w:start w:w="80" w:type="dxa"/>
              <w:bottom w:w="70" w:type="dxa"/>
              <w:end w:w="80" w:type="dxa"/>
            </w:tcMar>
            <w:shd w:fill="F4F6F8"/>
          </w:tcPr>
          <w:p>
            <w:pPr>
              <w:spacing w:after="0" w:before="0"/>
            </w:pPr>
            <w:r>
              <w:rPr>
                <w:sz w:val="15"/>
              </w:rPr>
              <w:t>Observability</w:t>
            </w:r>
          </w:p>
        </w:tc>
        <w:tc>
          <w:tcPr>
            <w:tcW w:type="dxa" w:w="3888"/>
            <w:vAlign w:val="top"/>
            <w:tcMar>
              <w:top w:w="70" w:type="dxa"/>
              <w:start w:w="80" w:type="dxa"/>
              <w:bottom w:w="70" w:type="dxa"/>
              <w:end w:w="80" w:type="dxa"/>
            </w:tcMar>
            <w:shd w:fill="F4F6F8"/>
          </w:tcPr>
          <w:p>
            <w:pPr>
              <w:spacing w:after="0" w:before="0"/>
            </w:pPr>
            <w:r>
              <w:rPr>
                <w:sz w:val="15"/>
              </w:rPr>
              <w:t>Pino + Sentry + OpenTelemetry-ready correlation IDs</w:t>
            </w:r>
          </w:p>
        </w:tc>
        <w:tc>
          <w:tcPr>
            <w:tcW w:type="dxa" w:w="4032"/>
            <w:vAlign w:val="top"/>
            <w:tcMar>
              <w:top w:w="70" w:type="dxa"/>
              <w:start w:w="80" w:type="dxa"/>
              <w:bottom w:w="70" w:type="dxa"/>
              <w:end w:w="80" w:type="dxa"/>
            </w:tcMar>
            <w:shd w:fill="F4F6F8"/>
          </w:tcPr>
          <w:p>
            <w:pPr>
              <w:spacing w:after="0" w:before="0"/>
            </w:pPr>
            <w:r>
              <w:rPr>
                <w:sz w:val="15"/>
              </w:rPr>
              <w:t>Structured logs, errors, traces and audit correlation.</w:t>
            </w:r>
          </w:p>
        </w:tc>
      </w:tr>
    </w:tbl>
    <w:p>
      <w:pPr>
        <w:spacing w:after="0"/>
      </w:pPr>
    </w:p>
    <w:p>
      <w:pPr>
        <w:pStyle w:val="Heading2"/>
        <w:keepNext/>
      </w:pPr>
      <w:r>
        <w:t>19.1 Backend ownership</w:t>
      </w:r>
    </w:p>
    <w:p>
      <w:pPr>
        <w:spacing w:after="100"/>
      </w:pPr>
      <w:r>
        <w:t>Next.js and mobile are presentation clients. NestJS owns authorization, tenant policy, workflow transitions, assignment, stock reservation/allocation, payment/readiness rules, webhooks, provider calls, notification selection, audit and domain events.</w:t>
      </w:r>
    </w:p>
    <w:p>
      <w:pPr>
        <w:pStyle w:val="Heading2"/>
        <w:keepNext/>
      </w:pPr>
      <w:r>
        <w:t>19.2 Modular-monolith boundaries</w:t>
      </w:r>
    </w:p>
    <w:p>
      <w:pPr>
        <w:pStyle w:val="ListBullet"/>
        <w:spacing w:after="40"/>
      </w:pPr>
      <w:r>
        <w:t>Modules expose application services and domain events, not direct table access.</w:t>
      </w:r>
    </w:p>
    <w:p>
      <w:pPr>
        <w:pStyle w:val="ListBullet"/>
        <w:spacing w:after="40"/>
      </w:pPr>
      <w:r>
        <w:t>Cross-module writes use application services or outbox events; avoid circular imports and shared “god” services.</w:t>
      </w:r>
    </w:p>
    <w:p>
      <w:pPr>
        <w:pStyle w:val="ListBullet"/>
        <w:spacing w:after="40"/>
      </w:pPr>
      <w:r>
        <w:t>Provider adapters implement domain interfaces and live under integrations, isolated from core workflow logic.</w:t>
      </w:r>
    </w:p>
    <w:p>
      <w:pPr>
        <w:pStyle w:val="ListBullet"/>
        <w:spacing w:after="40"/>
      </w:pPr>
      <w:r>
        <w:t>Future service extraction is based on measured scale/ownership needs, not speculative microservices.</w:t>
      </w:r>
    </w:p>
    <w:p>
      <w:pPr>
        <w:pStyle w:val="Heading1"/>
        <w:keepNext/>
      </w:pPr>
      <w:r>
        <w:t>20. Data Model, APIs, Events and Background Processing</w:t>
      </w:r>
    </w:p>
    <w:p>
      <w:pPr>
        <w:pStyle w:val="Heading2"/>
        <w:keepNext/>
      </w:pPr>
      <w:r>
        <w:t>20.1 Core table groups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5328"/>
            <w:shd w:fill="123447"/>
            <w:vAlign w:val="center"/>
            <w:tcMar>
              <w:top w:w="70" w:type="dxa"/>
              <w:start w:w="80" w:type="dxa"/>
              <w:bottom w:w="70" w:type="dxa"/>
              <w:end w:w="80" w:type="dxa"/>
            </w:tcMar>
          </w:tcPr>
          <w:p>
            <w:pPr>
              <w:jc w:val="left"/>
            </w:pPr>
            <w:r>
              <w:rPr>
                <w:b/>
                <w:color w:val="FFFFFF"/>
                <w:sz w:val="15"/>
              </w:rPr>
              <w:t>Domain/table group</w:t>
            </w:r>
          </w:p>
        </w:tc>
        <w:tc>
          <w:tcPr>
            <w:tcW w:type="dxa" w:w="4320"/>
            <w:shd w:fill="123447"/>
            <w:vAlign w:val="center"/>
            <w:tcMar>
              <w:top w:w="70" w:type="dxa"/>
              <w:start w:w="80" w:type="dxa"/>
              <w:bottom w:w="70" w:type="dxa"/>
              <w:end w:w="80" w:type="dxa"/>
            </w:tcMar>
          </w:tcPr>
          <w:p>
            <w:pPr>
              <w:jc w:val="left"/>
            </w:pPr>
            <w:r>
              <w:rPr>
                <w:b/>
                <w:color w:val="FFFFFF"/>
                <w:sz w:val="15"/>
              </w:rPr>
              <w:t>Purpose</w:t>
            </w:r>
          </w:p>
        </w:tc>
      </w:tr>
      <w:tr>
        <w:tc>
          <w:tcPr>
            <w:tcW w:type="dxa" w:w="5328"/>
            <w:vAlign w:val="top"/>
            <w:tcMar>
              <w:top w:w="70" w:type="dxa"/>
              <w:start w:w="80" w:type="dxa"/>
              <w:bottom w:w="70" w:type="dxa"/>
              <w:end w:w="80" w:type="dxa"/>
            </w:tcMar>
          </w:tcPr>
          <w:p>
            <w:pPr>
              <w:spacing w:after="0" w:before="0"/>
            </w:pPr>
            <w:r>
              <w:rPr>
                <w:sz w:val="15"/>
              </w:rPr>
              <w:t>agencies / client_organizations / branches / departments / teams</w:t>
            </w:r>
          </w:p>
        </w:tc>
        <w:tc>
          <w:tcPr>
            <w:tcW w:type="dxa" w:w="4320"/>
            <w:vAlign w:val="top"/>
            <w:tcMar>
              <w:top w:w="70" w:type="dxa"/>
              <w:start w:w="80" w:type="dxa"/>
              <w:bottom w:w="70" w:type="dxa"/>
              <w:end w:w="80" w:type="dxa"/>
            </w:tcMar>
          </w:tcPr>
          <w:p>
            <w:pPr>
              <w:spacing w:after="0" w:before="0"/>
            </w:pPr>
            <w:r>
              <w:rPr>
                <w:sz w:val="15"/>
              </w:rPr>
              <w:t>Platform and dealership hierarchy.</w:t>
            </w:r>
          </w:p>
        </w:tc>
      </w:tr>
      <w:tr>
        <w:tc>
          <w:tcPr>
            <w:tcW w:type="dxa" w:w="5328"/>
            <w:vAlign w:val="top"/>
            <w:tcMar>
              <w:top w:w="70" w:type="dxa"/>
              <w:start w:w="80" w:type="dxa"/>
              <w:bottom w:w="70" w:type="dxa"/>
              <w:end w:w="80" w:type="dxa"/>
            </w:tcMar>
            <w:shd w:fill="F4F6F8"/>
          </w:tcPr>
          <w:p>
            <w:pPr>
              <w:spacing w:after="0" w:before="0"/>
            </w:pPr>
            <w:r>
              <w:rPr>
                <w:sz w:val="15"/>
              </w:rPr>
              <w:t>users / memberships / roles / permissions / reporting_lines</w:t>
            </w:r>
          </w:p>
        </w:tc>
        <w:tc>
          <w:tcPr>
            <w:tcW w:type="dxa" w:w="4320"/>
            <w:vAlign w:val="top"/>
            <w:tcMar>
              <w:top w:w="70" w:type="dxa"/>
              <w:start w:w="80" w:type="dxa"/>
              <w:bottom w:w="70" w:type="dxa"/>
              <w:end w:w="80" w:type="dxa"/>
            </w:tcMar>
            <w:shd w:fill="F4F6F8"/>
          </w:tcPr>
          <w:p>
            <w:pPr>
              <w:spacing w:after="0" w:before="0"/>
            </w:pPr>
            <w:r>
              <w:rPr>
                <w:sz w:val="15"/>
              </w:rPr>
              <w:t>Identity, scoped access and effective dates.</w:t>
            </w:r>
          </w:p>
        </w:tc>
      </w:tr>
      <w:tr>
        <w:tc>
          <w:tcPr>
            <w:tcW w:type="dxa" w:w="5328"/>
            <w:vAlign w:val="top"/>
            <w:tcMar>
              <w:top w:w="70" w:type="dxa"/>
              <w:start w:w="80" w:type="dxa"/>
              <w:bottom w:w="70" w:type="dxa"/>
              <w:end w:w="80" w:type="dxa"/>
            </w:tcMar>
          </w:tcPr>
          <w:p>
            <w:pPr>
              <w:spacing w:after="0" w:before="0"/>
            </w:pPr>
            <w:r>
              <w:rPr>
                <w:sz w:val="15"/>
              </w:rPr>
              <w:t>contacts / contact_channels / consent_records / privacy_requests</w:t>
            </w:r>
          </w:p>
        </w:tc>
        <w:tc>
          <w:tcPr>
            <w:tcW w:type="dxa" w:w="4320"/>
            <w:vAlign w:val="top"/>
            <w:tcMar>
              <w:top w:w="70" w:type="dxa"/>
              <w:start w:w="80" w:type="dxa"/>
              <w:bottom w:w="70" w:type="dxa"/>
              <w:end w:w="80" w:type="dxa"/>
            </w:tcMar>
          </w:tcPr>
          <w:p>
            <w:pPr>
              <w:spacing w:after="0" w:before="0"/>
            </w:pPr>
            <w:r>
              <w:rPr>
                <w:sz w:val="15"/>
              </w:rPr>
              <w:t>Customer identity, channels, consent and rights workflow.</w:t>
            </w:r>
          </w:p>
        </w:tc>
      </w:tr>
      <w:tr>
        <w:tc>
          <w:tcPr>
            <w:tcW w:type="dxa" w:w="5328"/>
            <w:vAlign w:val="top"/>
            <w:tcMar>
              <w:top w:w="70" w:type="dxa"/>
              <w:start w:w="80" w:type="dxa"/>
              <w:bottom w:w="70" w:type="dxa"/>
              <w:end w:w="80" w:type="dxa"/>
            </w:tcMar>
            <w:shd w:fill="F4F6F8"/>
          </w:tcPr>
          <w:p>
            <w:pPr>
              <w:spacing w:after="0" w:before="0"/>
            </w:pPr>
            <w:r>
              <w:rPr>
                <w:sz w:val="15"/>
              </w:rPr>
              <w:t>lead_opportunities / lead_sources / campaigns / lead_attribution</w:t>
            </w:r>
          </w:p>
        </w:tc>
        <w:tc>
          <w:tcPr>
            <w:tcW w:type="dxa" w:w="4320"/>
            <w:vAlign w:val="top"/>
            <w:tcMar>
              <w:top w:w="70" w:type="dxa"/>
              <w:start w:w="80" w:type="dxa"/>
              <w:bottom w:w="70" w:type="dxa"/>
              <w:end w:w="80" w:type="dxa"/>
            </w:tcMar>
            <w:shd w:fill="F4F6F8"/>
          </w:tcPr>
          <w:p>
            <w:pPr>
              <w:spacing w:after="0" w:before="0"/>
            </w:pPr>
            <w:r>
              <w:rPr>
                <w:sz w:val="15"/>
              </w:rPr>
              <w:t>Enquiry, source and campaign truth.</w:t>
            </w:r>
          </w:p>
        </w:tc>
      </w:tr>
      <w:tr>
        <w:tc>
          <w:tcPr>
            <w:tcW w:type="dxa" w:w="5328"/>
            <w:vAlign w:val="top"/>
            <w:tcMar>
              <w:top w:w="70" w:type="dxa"/>
              <w:start w:w="80" w:type="dxa"/>
              <w:bottom w:w="70" w:type="dxa"/>
              <w:end w:w="80" w:type="dxa"/>
            </w:tcMar>
          </w:tcPr>
          <w:p>
            <w:pPr>
              <w:spacing w:after="0" w:before="0"/>
            </w:pPr>
            <w:r>
              <w:rPr>
                <w:sz w:val="15"/>
              </w:rPr>
              <w:t>lead_assignments / status_history / rejection_events / lost_events</w:t>
            </w:r>
          </w:p>
        </w:tc>
        <w:tc>
          <w:tcPr>
            <w:tcW w:type="dxa" w:w="4320"/>
            <w:vAlign w:val="top"/>
            <w:tcMar>
              <w:top w:w="70" w:type="dxa"/>
              <w:start w:w="80" w:type="dxa"/>
              <w:bottom w:w="70" w:type="dxa"/>
              <w:end w:w="80" w:type="dxa"/>
            </w:tcMar>
          </w:tcPr>
          <w:p>
            <w:pPr>
              <w:spacing w:after="0" w:before="0"/>
            </w:pPr>
            <w:r>
              <w:rPr>
                <w:sz w:val="15"/>
              </w:rPr>
              <w:t>Append-only ownership and lifecycle.</w:t>
            </w:r>
          </w:p>
        </w:tc>
      </w:tr>
      <w:tr>
        <w:tc>
          <w:tcPr>
            <w:tcW w:type="dxa" w:w="5328"/>
            <w:vAlign w:val="top"/>
            <w:tcMar>
              <w:top w:w="70" w:type="dxa"/>
              <w:start w:w="80" w:type="dxa"/>
              <w:bottom w:w="70" w:type="dxa"/>
              <w:end w:w="80" w:type="dxa"/>
            </w:tcMar>
            <w:shd w:fill="F4F6F8"/>
          </w:tcPr>
          <w:p>
            <w:pPr>
              <w:spacing w:after="0" w:before="0"/>
            </w:pPr>
            <w:r>
              <w:rPr>
                <w:sz w:val="15"/>
              </w:rPr>
              <w:t>activities / tasks / followups / calls / recordings</w:t>
            </w:r>
          </w:p>
        </w:tc>
        <w:tc>
          <w:tcPr>
            <w:tcW w:type="dxa" w:w="4320"/>
            <w:vAlign w:val="top"/>
            <w:tcMar>
              <w:top w:w="70" w:type="dxa"/>
              <w:start w:w="80" w:type="dxa"/>
              <w:bottom w:w="70" w:type="dxa"/>
              <w:end w:w="80" w:type="dxa"/>
            </w:tcMar>
            <w:shd w:fill="F4F6F8"/>
          </w:tcPr>
          <w:p>
            <w:pPr>
              <w:spacing w:after="0" w:before="0"/>
            </w:pPr>
            <w:r>
              <w:rPr>
                <w:sz w:val="15"/>
              </w:rPr>
              <w:t>Sales activity and telephony evidence.</w:t>
            </w:r>
          </w:p>
        </w:tc>
      </w:tr>
      <w:tr>
        <w:tc>
          <w:tcPr>
            <w:tcW w:type="dxa" w:w="5328"/>
            <w:vAlign w:val="top"/>
            <w:tcMar>
              <w:top w:w="70" w:type="dxa"/>
              <w:start w:w="80" w:type="dxa"/>
              <w:bottom w:w="70" w:type="dxa"/>
              <w:end w:w="80" w:type="dxa"/>
            </w:tcMar>
          </w:tcPr>
          <w:p>
            <w:pPr>
              <w:spacing w:after="0" w:before="0"/>
            </w:pPr>
            <w:r>
              <w:rPr>
                <w:sz w:val="15"/>
              </w:rPr>
              <w:t>conversations / conversation_participants / messages / templates</w:t>
            </w:r>
          </w:p>
        </w:tc>
        <w:tc>
          <w:tcPr>
            <w:tcW w:type="dxa" w:w="4320"/>
            <w:vAlign w:val="top"/>
            <w:tcMar>
              <w:top w:w="70" w:type="dxa"/>
              <w:start w:w="80" w:type="dxa"/>
              <w:bottom w:w="70" w:type="dxa"/>
              <w:end w:w="80" w:type="dxa"/>
            </w:tcMar>
          </w:tcPr>
          <w:p>
            <w:pPr>
              <w:spacing w:after="0" w:before="0"/>
            </w:pPr>
            <w:r>
              <w:rPr>
                <w:sz w:val="15"/>
              </w:rPr>
              <w:t>Official-channel inbox and timeline.</w:t>
            </w:r>
          </w:p>
        </w:tc>
      </w:tr>
      <w:tr>
        <w:tc>
          <w:tcPr>
            <w:tcW w:type="dxa" w:w="5328"/>
            <w:vAlign w:val="top"/>
            <w:tcMar>
              <w:top w:w="70" w:type="dxa"/>
              <w:start w:w="80" w:type="dxa"/>
              <w:bottom w:w="70" w:type="dxa"/>
              <w:end w:w="80" w:type="dxa"/>
            </w:tcMar>
            <w:shd w:fill="F4F6F8"/>
          </w:tcPr>
          <w:p>
            <w:pPr>
              <w:spacing w:after="0" w:before="0"/>
            </w:pPr>
            <w:r>
              <w:rPr>
                <w:sz w:val="15"/>
              </w:rPr>
              <w:t>vehicle_catalog / inventory_units / inventory_events / reservations / allocations</w:t>
            </w:r>
          </w:p>
        </w:tc>
        <w:tc>
          <w:tcPr>
            <w:tcW w:type="dxa" w:w="4320"/>
            <w:vAlign w:val="top"/>
            <w:tcMar>
              <w:top w:w="70" w:type="dxa"/>
              <w:start w:w="80" w:type="dxa"/>
              <w:bottom w:w="70" w:type="dxa"/>
              <w:end w:w="80" w:type="dxa"/>
            </w:tcMar>
            <w:shd w:fill="F4F6F8"/>
          </w:tcPr>
          <w:p>
            <w:pPr>
              <w:spacing w:after="0" w:before="0"/>
            </w:pPr>
            <w:r>
              <w:rPr>
                <w:sz w:val="15"/>
              </w:rPr>
              <w:t>Stock and vehicle allocation.</w:t>
            </w:r>
          </w:p>
        </w:tc>
      </w:tr>
      <w:tr>
        <w:tc>
          <w:tcPr>
            <w:tcW w:type="dxa" w:w="5328"/>
            <w:vAlign w:val="top"/>
            <w:tcMar>
              <w:top w:w="70" w:type="dxa"/>
              <w:start w:w="80" w:type="dxa"/>
              <w:bottom w:w="70" w:type="dxa"/>
              <w:end w:w="80" w:type="dxa"/>
            </w:tcMar>
          </w:tcPr>
          <w:p>
            <w:pPr>
              <w:spacing w:after="0" w:before="0"/>
            </w:pPr>
            <w:r>
              <w:rPr>
                <w:sz w:val="15"/>
              </w:rPr>
              <w:t>test_ride_jobs / ride_events / demo_vehicle_bookings / active_locations</w:t>
            </w:r>
          </w:p>
        </w:tc>
        <w:tc>
          <w:tcPr>
            <w:tcW w:type="dxa" w:w="4320"/>
            <w:vAlign w:val="top"/>
            <w:tcMar>
              <w:top w:w="70" w:type="dxa"/>
              <w:start w:w="80" w:type="dxa"/>
              <w:bottom w:w="70" w:type="dxa"/>
              <w:end w:w="80" w:type="dxa"/>
            </w:tcMar>
          </w:tcPr>
          <w:p>
            <w:pPr>
              <w:spacing w:after="0" w:before="0"/>
            </w:pPr>
            <w:r>
              <w:rPr>
                <w:sz w:val="15"/>
              </w:rPr>
              <w:t>Test ride scheduling, tracking and proof.</w:t>
            </w:r>
          </w:p>
        </w:tc>
      </w:tr>
      <w:tr>
        <w:tc>
          <w:tcPr>
            <w:tcW w:type="dxa" w:w="5328"/>
            <w:vAlign w:val="top"/>
            <w:tcMar>
              <w:top w:w="70" w:type="dxa"/>
              <w:start w:w="80" w:type="dxa"/>
              <w:bottom w:w="70" w:type="dxa"/>
              <w:end w:w="80" w:type="dxa"/>
            </w:tcMar>
            <w:shd w:fill="F4F6F8"/>
          </w:tcPr>
          <w:p>
            <w:pPr>
              <w:spacing w:after="0" w:before="0"/>
            </w:pPr>
            <w:r>
              <w:rPr>
                <w:sz w:val="15"/>
              </w:rPr>
              <w:t>bookings / quotations / approvals / payment_entries / finance_cases / invoices</w:t>
            </w:r>
          </w:p>
        </w:tc>
        <w:tc>
          <w:tcPr>
            <w:tcW w:type="dxa" w:w="4320"/>
            <w:vAlign w:val="top"/>
            <w:tcMar>
              <w:top w:w="70" w:type="dxa"/>
              <w:start w:w="80" w:type="dxa"/>
              <w:bottom w:w="70" w:type="dxa"/>
              <w:end w:w="80" w:type="dxa"/>
            </w:tcMar>
            <w:shd w:fill="F4F6F8"/>
          </w:tcPr>
          <w:p>
            <w:pPr>
              <w:spacing w:after="0" w:before="0"/>
            </w:pPr>
            <w:r>
              <w:rPr>
                <w:sz w:val="15"/>
              </w:rPr>
              <w:t>Commercial tracking.</w:t>
            </w:r>
          </w:p>
        </w:tc>
      </w:tr>
      <w:tr>
        <w:tc>
          <w:tcPr>
            <w:tcW w:type="dxa" w:w="5328"/>
            <w:vAlign w:val="top"/>
            <w:tcMar>
              <w:top w:w="70" w:type="dxa"/>
              <w:start w:w="80" w:type="dxa"/>
              <w:bottom w:w="70" w:type="dxa"/>
              <w:end w:w="80" w:type="dxa"/>
            </w:tcMar>
          </w:tcPr>
          <w:p>
            <w:pPr>
              <w:spacing w:after="0" w:before="0"/>
            </w:pPr>
            <w:r>
              <w:rPr>
                <w:sz w:val="15"/>
              </w:rPr>
              <w:t>delivery_jobs / readiness_checks / delivery_checklists / delivery_proofs</w:t>
            </w:r>
          </w:p>
        </w:tc>
        <w:tc>
          <w:tcPr>
            <w:tcW w:type="dxa" w:w="4320"/>
            <w:vAlign w:val="top"/>
            <w:tcMar>
              <w:top w:w="70" w:type="dxa"/>
              <w:start w:w="80" w:type="dxa"/>
              <w:bottom w:w="70" w:type="dxa"/>
              <w:end w:w="80" w:type="dxa"/>
            </w:tcMar>
          </w:tcPr>
          <w:p>
            <w:pPr>
              <w:spacing w:after="0" w:before="0"/>
            </w:pPr>
            <w:r>
              <w:rPr>
                <w:sz w:val="15"/>
              </w:rPr>
              <w:t>Delivery flow and evidence.</w:t>
            </w:r>
          </w:p>
        </w:tc>
      </w:tr>
      <w:tr>
        <w:tc>
          <w:tcPr>
            <w:tcW w:type="dxa" w:w="5328"/>
            <w:vAlign w:val="top"/>
            <w:tcMar>
              <w:top w:w="70" w:type="dxa"/>
              <w:start w:w="80" w:type="dxa"/>
              <w:bottom w:w="70" w:type="dxa"/>
              <w:end w:w="80" w:type="dxa"/>
            </w:tcMar>
            <w:shd w:fill="F4F6F8"/>
          </w:tcPr>
          <w:p>
            <w:pPr>
              <w:spacing w:after="0" w:before="0"/>
            </w:pPr>
            <w:r>
              <w:rPr>
                <w:sz w:val="15"/>
              </w:rPr>
              <w:t>registration_cases / rc_events</w:t>
            </w:r>
          </w:p>
        </w:tc>
        <w:tc>
          <w:tcPr>
            <w:tcW w:type="dxa" w:w="4320"/>
            <w:vAlign w:val="top"/>
            <w:tcMar>
              <w:top w:w="70" w:type="dxa"/>
              <w:start w:w="80" w:type="dxa"/>
              <w:bottom w:w="70" w:type="dxa"/>
              <w:end w:w="80" w:type="dxa"/>
            </w:tcMar>
            <w:shd w:fill="F4F6F8"/>
          </w:tcPr>
          <w:p>
            <w:pPr>
              <w:spacing w:after="0" w:before="0"/>
            </w:pPr>
            <w:r>
              <w:rPr>
                <w:sz w:val="15"/>
              </w:rPr>
              <w:t>RTO/RC status and aging.</w:t>
            </w:r>
          </w:p>
        </w:tc>
      </w:tr>
      <w:tr>
        <w:tc>
          <w:tcPr>
            <w:tcW w:type="dxa" w:w="5328"/>
            <w:vAlign w:val="top"/>
            <w:tcMar>
              <w:top w:w="70" w:type="dxa"/>
              <w:start w:w="80" w:type="dxa"/>
              <w:bottom w:w="70" w:type="dxa"/>
              <w:end w:w="80" w:type="dxa"/>
            </w:tcMar>
          </w:tcPr>
          <w:p>
            <w:pPr>
              <w:spacing w:after="0" w:before="0"/>
            </w:pPr>
            <w:r>
              <w:rPr>
                <w:sz w:val="15"/>
              </w:rPr>
              <w:t>customer_vehicles / service_plans / reminder_instances</w:t>
            </w:r>
          </w:p>
        </w:tc>
        <w:tc>
          <w:tcPr>
            <w:tcW w:type="dxa" w:w="4320"/>
            <w:vAlign w:val="top"/>
            <w:tcMar>
              <w:top w:w="70" w:type="dxa"/>
              <w:start w:w="80" w:type="dxa"/>
              <w:bottom w:w="70" w:type="dxa"/>
              <w:end w:w="80" w:type="dxa"/>
            </w:tcMar>
          </w:tcPr>
          <w:p>
            <w:pPr>
              <w:spacing w:after="0" w:before="0"/>
            </w:pPr>
            <w:r>
              <w:rPr>
                <w:sz w:val="15"/>
              </w:rPr>
              <w:t>Post-sale vehicle lifecycle.</w:t>
            </w:r>
          </w:p>
        </w:tc>
      </w:tr>
      <w:tr>
        <w:tc>
          <w:tcPr>
            <w:tcW w:type="dxa" w:w="5328"/>
            <w:vAlign w:val="top"/>
            <w:tcMar>
              <w:top w:w="70" w:type="dxa"/>
              <w:start w:w="80" w:type="dxa"/>
              <w:bottom w:w="70" w:type="dxa"/>
              <w:end w:w="80" w:type="dxa"/>
            </w:tcMar>
            <w:shd w:fill="F4F6F8"/>
          </w:tcPr>
          <w:p>
            <w:pPr>
              <w:spacing w:after="0" w:before="0"/>
            </w:pPr>
            <w:r>
              <w:rPr>
                <w:sz w:val="15"/>
              </w:rPr>
              <w:t>integration_connections / webhook_events / outbox_events / provider_failures</w:t>
            </w:r>
          </w:p>
        </w:tc>
        <w:tc>
          <w:tcPr>
            <w:tcW w:type="dxa" w:w="4320"/>
            <w:vAlign w:val="top"/>
            <w:tcMar>
              <w:top w:w="70" w:type="dxa"/>
              <w:start w:w="80" w:type="dxa"/>
              <w:bottom w:w="70" w:type="dxa"/>
              <w:end w:w="80" w:type="dxa"/>
            </w:tcMar>
            <w:shd w:fill="F4F6F8"/>
          </w:tcPr>
          <w:p>
            <w:pPr>
              <w:spacing w:after="0" w:before="0"/>
            </w:pPr>
            <w:r>
              <w:rPr>
                <w:sz w:val="15"/>
              </w:rPr>
              <w:t>Encrypted connections and reliable processing.</w:t>
            </w:r>
          </w:p>
        </w:tc>
      </w:tr>
      <w:tr>
        <w:tc>
          <w:tcPr>
            <w:tcW w:type="dxa" w:w="5328"/>
            <w:vAlign w:val="top"/>
            <w:tcMar>
              <w:top w:w="70" w:type="dxa"/>
              <w:start w:w="80" w:type="dxa"/>
              <w:bottom w:w="70" w:type="dxa"/>
              <w:end w:w="80" w:type="dxa"/>
            </w:tcMar>
          </w:tcPr>
          <w:p>
            <w:pPr>
              <w:spacing w:after="0" w:before="0"/>
            </w:pPr>
            <w:r>
              <w:rPr>
                <w:sz w:val="15"/>
              </w:rPr>
              <w:t>files / document_versions / audit_logs / exports / incidents</w:t>
            </w:r>
          </w:p>
        </w:tc>
        <w:tc>
          <w:tcPr>
            <w:tcW w:type="dxa" w:w="4320"/>
            <w:vAlign w:val="top"/>
            <w:tcMar>
              <w:top w:w="70" w:type="dxa"/>
              <w:start w:w="80" w:type="dxa"/>
              <w:bottom w:w="70" w:type="dxa"/>
              <w:end w:w="80" w:type="dxa"/>
            </w:tcMar>
          </w:tcPr>
          <w:p>
            <w:pPr>
              <w:spacing w:after="0" w:before="0"/>
            </w:pPr>
            <w:r>
              <w:rPr>
                <w:sz w:val="15"/>
              </w:rPr>
              <w:t>Private files, governance and recovery evidence.</w:t>
            </w:r>
          </w:p>
        </w:tc>
      </w:tr>
    </w:tbl>
    <w:p>
      <w:pPr>
        <w:spacing w:after="0"/>
      </w:pPr>
    </w:p>
    <w:p>
      <w:pPr>
        <w:pStyle w:val="Heading2"/>
        <w:keepNext/>
      </w:pPr>
      <w:r>
        <w:t>20.2 Tenant isolation</w:t>
      </w:r>
    </w:p>
    <w:p>
      <w:pPr>
        <w:pStyle w:val="ListBullet"/>
        <w:spacing w:after="40"/>
      </w:pPr>
      <w:r>
        <w:t>Every client-owned row contains client_organization_id NOT NULL; branch-scoped records also contain branch_id where applicable.</w:t>
      </w:r>
    </w:p>
    <w:p>
      <w:pPr>
        <w:pStyle w:val="ListBullet"/>
        <w:spacing w:after="40"/>
      </w:pPr>
      <w:r>
        <w:t>Composite foreign keys prevent cross-tenant relationships. Repository methods require TenantContext.</w:t>
      </w:r>
    </w:p>
    <w:p>
      <w:pPr>
        <w:pStyle w:val="ListBullet"/>
        <w:spacing w:after="40"/>
      </w:pPr>
      <w:r>
        <w:t>Unscoped queries are allowed only in audited platform modules and automated cross-tenant tests cover every API group.</w:t>
      </w:r>
    </w:p>
    <w:p>
      <w:pPr>
        <w:pStyle w:val="ListBullet"/>
        <w:spacing w:after="40"/>
      </w:pPr>
      <w:r>
        <w:t>Phone/email lookup hashes are keyed and tenant-scoped; encrypted/sealed fields are used for tokens and selected sensitive identifiers.</w:t>
      </w:r>
    </w:p>
    <w:p>
      <w:pPr>
        <w:pStyle w:val="ListBullet"/>
        <w:spacing w:after="40"/>
      </w:pPr>
      <w:r>
        <w:t>Exports, support access and bulk corrections are always audited.</w:t>
      </w:r>
    </w:p>
    <w:p>
      <w:pPr>
        <w:pStyle w:val="Heading2"/>
        <w:keepNext/>
      </w:pPr>
      <w:r>
        <w:t>20.3 Representative REST routes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232"/>
            <w:shd w:fill="123447"/>
            <w:vAlign w:val="center"/>
            <w:tcMar>
              <w:top w:w="70" w:type="dxa"/>
              <w:start w:w="80" w:type="dxa"/>
              <w:bottom w:w="70" w:type="dxa"/>
              <w:end w:w="80" w:type="dxa"/>
            </w:tcMar>
          </w:tcPr>
          <w:p>
            <w:pPr>
              <w:jc w:val="left"/>
            </w:pPr>
            <w:r>
              <w:rPr>
                <w:b/>
                <w:color w:val="FFFFFF"/>
                <w:sz w:val="15"/>
              </w:rPr>
              <w:t>Module</w:t>
            </w:r>
          </w:p>
        </w:tc>
        <w:tc>
          <w:tcPr>
            <w:tcW w:type="dxa" w:w="7416"/>
            <w:shd w:fill="123447"/>
            <w:vAlign w:val="center"/>
            <w:tcMar>
              <w:top w:w="70" w:type="dxa"/>
              <w:start w:w="80" w:type="dxa"/>
              <w:bottom w:w="70" w:type="dxa"/>
              <w:end w:w="80" w:type="dxa"/>
            </w:tcMar>
          </w:tcPr>
          <w:p>
            <w:pPr>
              <w:jc w:val="left"/>
            </w:pPr>
            <w:r>
              <w:rPr>
                <w:b/>
                <w:color w:val="FFFFFF"/>
                <w:sz w:val="15"/>
              </w:rPr>
              <w:t>Representative routes</w:t>
            </w:r>
          </w:p>
        </w:tc>
      </w:tr>
      <w:tr>
        <w:tc>
          <w:tcPr>
            <w:tcW w:type="dxa" w:w="2232"/>
            <w:vAlign w:val="top"/>
            <w:tcMar>
              <w:top w:w="70" w:type="dxa"/>
              <w:start w:w="80" w:type="dxa"/>
              <w:bottom w:w="70" w:type="dxa"/>
              <w:end w:w="80" w:type="dxa"/>
            </w:tcMar>
          </w:tcPr>
          <w:p>
            <w:pPr>
              <w:spacing w:after="0" w:before="0"/>
            </w:pPr>
            <w:r>
              <w:rPr>
                <w:sz w:val="15"/>
              </w:rPr>
              <w:t>Auth</w:t>
            </w:r>
          </w:p>
        </w:tc>
        <w:tc>
          <w:tcPr>
            <w:tcW w:type="dxa" w:w="7416"/>
            <w:vAlign w:val="top"/>
            <w:tcMar>
              <w:top w:w="70" w:type="dxa"/>
              <w:start w:w="80" w:type="dxa"/>
              <w:bottom w:w="70" w:type="dxa"/>
              <w:end w:w="80" w:type="dxa"/>
            </w:tcMar>
          </w:tcPr>
          <w:p>
            <w:pPr>
              <w:spacing w:after="0" w:before="0"/>
            </w:pPr>
            <w:r>
              <w:rPr>
                <w:sz w:val="15"/>
              </w:rPr>
              <w:t>POST /v1/auth/login, /refresh, /logout; GET /v1/me; sessions/devices.</w:t>
            </w:r>
          </w:p>
        </w:tc>
      </w:tr>
      <w:tr>
        <w:tc>
          <w:tcPr>
            <w:tcW w:type="dxa" w:w="2232"/>
            <w:vAlign w:val="top"/>
            <w:tcMar>
              <w:top w:w="70" w:type="dxa"/>
              <w:start w:w="80" w:type="dxa"/>
              <w:bottom w:w="70" w:type="dxa"/>
              <w:end w:w="80" w:type="dxa"/>
            </w:tcMar>
            <w:shd w:fill="F4F6F8"/>
          </w:tcPr>
          <w:p>
            <w:pPr>
              <w:spacing w:after="0" w:before="0"/>
            </w:pPr>
            <w:r>
              <w:rPr>
                <w:sz w:val="15"/>
              </w:rPr>
              <w:t>Clients/users</w:t>
            </w:r>
          </w:p>
        </w:tc>
        <w:tc>
          <w:tcPr>
            <w:tcW w:type="dxa" w:w="7416"/>
            <w:vAlign w:val="top"/>
            <w:tcMar>
              <w:top w:w="70" w:type="dxa"/>
              <w:start w:w="80" w:type="dxa"/>
              <w:bottom w:w="70" w:type="dxa"/>
              <w:end w:w="80" w:type="dxa"/>
            </w:tcMar>
            <w:shd w:fill="F4F6F8"/>
          </w:tcPr>
          <w:p>
            <w:pPr>
              <w:spacing w:after="0" w:before="0"/>
            </w:pPr>
            <w:r>
              <w:rPr>
                <w:sz w:val="15"/>
              </w:rPr>
              <w:t>/v1/clients, /branches, /users, /memberships, /roles.</w:t>
            </w:r>
          </w:p>
        </w:tc>
      </w:tr>
      <w:tr>
        <w:tc>
          <w:tcPr>
            <w:tcW w:type="dxa" w:w="2232"/>
            <w:vAlign w:val="top"/>
            <w:tcMar>
              <w:top w:w="70" w:type="dxa"/>
              <w:start w:w="80" w:type="dxa"/>
              <w:bottom w:w="70" w:type="dxa"/>
              <w:end w:w="80" w:type="dxa"/>
            </w:tcMar>
          </w:tcPr>
          <w:p>
            <w:pPr>
              <w:spacing w:after="0" w:before="0"/>
            </w:pPr>
            <w:r>
              <w:rPr>
                <w:sz w:val="15"/>
              </w:rPr>
              <w:t>Leads</w:t>
            </w:r>
          </w:p>
        </w:tc>
        <w:tc>
          <w:tcPr>
            <w:tcW w:type="dxa" w:w="7416"/>
            <w:vAlign w:val="top"/>
            <w:tcMar>
              <w:top w:w="70" w:type="dxa"/>
              <w:start w:w="80" w:type="dxa"/>
              <w:bottom w:w="70" w:type="dxa"/>
              <w:end w:w="80" w:type="dxa"/>
            </w:tcMar>
          </w:tcPr>
          <w:p>
            <w:pPr>
              <w:spacing w:after="0" w:before="0"/>
            </w:pPr>
            <w:r>
              <w:rPr>
                <w:sz w:val="15"/>
              </w:rPr>
              <w:t>GET/POST /v1/leads; /accept; /reject; /lost; /reopen; /assignments.</w:t>
            </w:r>
          </w:p>
        </w:tc>
      </w:tr>
      <w:tr>
        <w:tc>
          <w:tcPr>
            <w:tcW w:type="dxa" w:w="2232"/>
            <w:vAlign w:val="top"/>
            <w:tcMar>
              <w:top w:w="70" w:type="dxa"/>
              <w:start w:w="80" w:type="dxa"/>
              <w:bottom w:w="70" w:type="dxa"/>
              <w:end w:w="80" w:type="dxa"/>
            </w:tcMar>
            <w:shd w:fill="F4F6F8"/>
          </w:tcPr>
          <w:p>
            <w:pPr>
              <w:spacing w:after="0" w:before="0"/>
            </w:pPr>
            <w:r>
              <w:rPr>
                <w:sz w:val="15"/>
              </w:rPr>
              <w:t>Calls/inbox</w:t>
            </w:r>
          </w:p>
        </w:tc>
        <w:tc>
          <w:tcPr>
            <w:tcW w:type="dxa" w:w="7416"/>
            <w:vAlign w:val="top"/>
            <w:tcMar>
              <w:top w:w="70" w:type="dxa"/>
              <w:start w:w="80" w:type="dxa"/>
              <w:bottom w:w="70" w:type="dxa"/>
              <w:end w:w="80" w:type="dxa"/>
            </w:tcMar>
            <w:shd w:fill="F4F6F8"/>
          </w:tcPr>
          <w:p>
            <w:pPr>
              <w:spacing w:after="0" w:before="0"/>
            </w:pPr>
            <w:r>
              <w:rPr>
                <w:sz w:val="15"/>
              </w:rPr>
              <w:t>/v1/calls/start; /outcome; /conversations; /messages; /templates/send.</w:t>
            </w:r>
          </w:p>
        </w:tc>
      </w:tr>
      <w:tr>
        <w:tc>
          <w:tcPr>
            <w:tcW w:type="dxa" w:w="2232"/>
            <w:vAlign w:val="top"/>
            <w:tcMar>
              <w:top w:w="70" w:type="dxa"/>
              <w:start w:w="80" w:type="dxa"/>
              <w:bottom w:w="70" w:type="dxa"/>
              <w:end w:w="80" w:type="dxa"/>
            </w:tcMar>
          </w:tcPr>
          <w:p>
            <w:pPr>
              <w:spacing w:after="0" w:before="0"/>
            </w:pPr>
            <w:r>
              <w:rPr>
                <w:sz w:val="15"/>
              </w:rPr>
              <w:t>Test rides</w:t>
            </w:r>
          </w:p>
        </w:tc>
        <w:tc>
          <w:tcPr>
            <w:tcW w:type="dxa" w:w="7416"/>
            <w:vAlign w:val="top"/>
            <w:tcMar>
              <w:top w:w="70" w:type="dxa"/>
              <w:start w:w="80" w:type="dxa"/>
              <w:bottom w:w="70" w:type="dxa"/>
              <w:end w:w="80" w:type="dxa"/>
            </w:tcMar>
          </w:tcPr>
          <w:p>
            <w:pPr>
              <w:spacing w:after="0" w:before="0"/>
            </w:pPr>
            <w:r>
              <w:rPr>
                <w:sz w:val="15"/>
              </w:rPr>
              <w:t>/v1/test-rides; /assign; /confirm; /start; /location; /complete; /cancel.</w:t>
            </w:r>
          </w:p>
        </w:tc>
      </w:tr>
      <w:tr>
        <w:tc>
          <w:tcPr>
            <w:tcW w:type="dxa" w:w="2232"/>
            <w:vAlign w:val="top"/>
            <w:tcMar>
              <w:top w:w="70" w:type="dxa"/>
              <w:start w:w="80" w:type="dxa"/>
              <w:bottom w:w="70" w:type="dxa"/>
              <w:end w:w="80" w:type="dxa"/>
            </w:tcMar>
            <w:shd w:fill="F4F6F8"/>
          </w:tcPr>
          <w:p>
            <w:pPr>
              <w:spacing w:after="0" w:before="0"/>
            </w:pPr>
            <w:r>
              <w:rPr>
                <w:sz w:val="15"/>
              </w:rPr>
              <w:t>Inventory</w:t>
            </w:r>
          </w:p>
        </w:tc>
        <w:tc>
          <w:tcPr>
            <w:tcW w:type="dxa" w:w="7416"/>
            <w:vAlign w:val="top"/>
            <w:tcMar>
              <w:top w:w="70" w:type="dxa"/>
              <w:start w:w="80" w:type="dxa"/>
              <w:bottom w:w="70" w:type="dxa"/>
              <w:end w:w="80" w:type="dxa"/>
            </w:tcMar>
            <w:shd w:fill="F4F6F8"/>
          </w:tcPr>
          <w:p>
            <w:pPr>
              <w:spacing w:after="0" w:before="0"/>
            </w:pPr>
            <w:r>
              <w:rPr>
                <w:sz w:val="15"/>
              </w:rPr>
              <w:t>/v1/inventory; /receive; /reserve; /release; /allocate; /transfer; /block.</w:t>
            </w:r>
          </w:p>
        </w:tc>
      </w:tr>
      <w:tr>
        <w:tc>
          <w:tcPr>
            <w:tcW w:type="dxa" w:w="2232"/>
            <w:vAlign w:val="top"/>
            <w:tcMar>
              <w:top w:w="70" w:type="dxa"/>
              <w:start w:w="80" w:type="dxa"/>
              <w:bottom w:w="70" w:type="dxa"/>
              <w:end w:w="80" w:type="dxa"/>
            </w:tcMar>
          </w:tcPr>
          <w:p>
            <w:pPr>
              <w:spacing w:after="0" w:before="0"/>
            </w:pPr>
            <w:r>
              <w:rPr>
                <w:sz w:val="15"/>
              </w:rPr>
              <w:t>Bookings/billing</w:t>
            </w:r>
          </w:p>
        </w:tc>
        <w:tc>
          <w:tcPr>
            <w:tcW w:type="dxa" w:w="7416"/>
            <w:vAlign w:val="top"/>
            <w:tcMar>
              <w:top w:w="70" w:type="dxa"/>
              <w:start w:w="80" w:type="dxa"/>
              <w:bottom w:w="70" w:type="dxa"/>
              <w:end w:w="80" w:type="dxa"/>
            </w:tcMar>
          </w:tcPr>
          <w:p>
            <w:pPr>
              <w:spacing w:after="0" w:before="0"/>
            </w:pPr>
            <w:r>
              <w:rPr>
                <w:sz w:val="15"/>
              </w:rPr>
              <w:t>/v1/bookings; /approvals; /payment-entries; /finance; /invoice; /readiness.</w:t>
            </w:r>
          </w:p>
        </w:tc>
      </w:tr>
      <w:tr>
        <w:tc>
          <w:tcPr>
            <w:tcW w:type="dxa" w:w="2232"/>
            <w:vAlign w:val="top"/>
            <w:tcMar>
              <w:top w:w="70" w:type="dxa"/>
              <w:start w:w="80" w:type="dxa"/>
              <w:bottom w:w="70" w:type="dxa"/>
              <w:end w:w="80" w:type="dxa"/>
            </w:tcMar>
            <w:shd w:fill="F4F6F8"/>
          </w:tcPr>
          <w:p>
            <w:pPr>
              <w:spacing w:after="0" w:before="0"/>
            </w:pPr>
            <w:r>
              <w:rPr>
                <w:sz w:val="15"/>
              </w:rPr>
              <w:t>Delivery</w:t>
            </w:r>
          </w:p>
        </w:tc>
        <w:tc>
          <w:tcPr>
            <w:tcW w:type="dxa" w:w="7416"/>
            <w:vAlign w:val="top"/>
            <w:tcMar>
              <w:top w:w="70" w:type="dxa"/>
              <w:start w:w="80" w:type="dxa"/>
              <w:bottom w:w="70" w:type="dxa"/>
              <w:end w:w="80" w:type="dxa"/>
            </w:tcMar>
            <w:shd w:fill="F4F6F8"/>
          </w:tcPr>
          <w:p>
            <w:pPr>
              <w:spacing w:after="0" w:before="0"/>
            </w:pPr>
            <w:r>
              <w:rPr>
                <w:sz w:val="15"/>
              </w:rPr>
              <w:t>/v1/deliveries; /start; /location; /checklist; /complete; /delay.</w:t>
            </w:r>
          </w:p>
        </w:tc>
      </w:tr>
      <w:tr>
        <w:tc>
          <w:tcPr>
            <w:tcW w:type="dxa" w:w="2232"/>
            <w:vAlign w:val="top"/>
            <w:tcMar>
              <w:top w:w="70" w:type="dxa"/>
              <w:start w:w="80" w:type="dxa"/>
              <w:bottom w:w="70" w:type="dxa"/>
              <w:end w:w="80" w:type="dxa"/>
            </w:tcMar>
          </w:tcPr>
          <w:p>
            <w:pPr>
              <w:spacing w:after="0" w:before="0"/>
            </w:pPr>
            <w:r>
              <w:rPr>
                <w:sz w:val="15"/>
              </w:rPr>
              <w:t>RC</w:t>
            </w:r>
          </w:p>
        </w:tc>
        <w:tc>
          <w:tcPr>
            <w:tcW w:type="dxa" w:w="7416"/>
            <w:vAlign w:val="top"/>
            <w:tcMar>
              <w:top w:w="70" w:type="dxa"/>
              <w:start w:w="80" w:type="dxa"/>
              <w:bottom w:w="70" w:type="dxa"/>
              <w:end w:w="80" w:type="dxa"/>
            </w:tcMar>
          </w:tcPr>
          <w:p>
            <w:pPr>
              <w:spacing w:after="0" w:before="0"/>
            </w:pPr>
            <w:r>
              <w:rPr>
                <w:sz w:val="15"/>
              </w:rPr>
              <w:t>/v1/registration-cases; /events; /rc-copy; /share; /close.</w:t>
            </w:r>
          </w:p>
        </w:tc>
      </w:tr>
      <w:tr>
        <w:tc>
          <w:tcPr>
            <w:tcW w:type="dxa" w:w="2232"/>
            <w:vAlign w:val="top"/>
            <w:tcMar>
              <w:top w:w="70" w:type="dxa"/>
              <w:start w:w="80" w:type="dxa"/>
              <w:bottom w:w="70" w:type="dxa"/>
              <w:end w:w="80" w:type="dxa"/>
            </w:tcMar>
            <w:shd w:fill="F4F6F8"/>
          </w:tcPr>
          <w:p>
            <w:pPr>
              <w:spacing w:after="0" w:before="0"/>
            </w:pPr>
            <w:r>
              <w:rPr>
                <w:sz w:val="15"/>
              </w:rPr>
              <w:t>Vehicles/reminders</w:t>
            </w:r>
          </w:p>
        </w:tc>
        <w:tc>
          <w:tcPr>
            <w:tcW w:type="dxa" w:w="7416"/>
            <w:vAlign w:val="top"/>
            <w:tcMar>
              <w:top w:w="70" w:type="dxa"/>
              <w:start w:w="80" w:type="dxa"/>
              <w:bottom w:w="70" w:type="dxa"/>
              <w:end w:w="80" w:type="dxa"/>
            </w:tcMar>
            <w:shd w:fill="F4F6F8"/>
          </w:tcPr>
          <w:p>
            <w:pPr>
              <w:spacing w:after="0" w:before="0"/>
            </w:pPr>
            <w:r>
              <w:rPr>
                <w:sz w:val="15"/>
              </w:rPr>
              <w:t>/v1/customer-vehicles; /service-plans; /reminders.</w:t>
            </w:r>
          </w:p>
        </w:tc>
      </w:tr>
      <w:tr>
        <w:tc>
          <w:tcPr>
            <w:tcW w:type="dxa" w:w="2232"/>
            <w:vAlign w:val="top"/>
            <w:tcMar>
              <w:top w:w="70" w:type="dxa"/>
              <w:start w:w="80" w:type="dxa"/>
              <w:bottom w:w="70" w:type="dxa"/>
              <w:end w:w="80" w:type="dxa"/>
            </w:tcMar>
          </w:tcPr>
          <w:p>
            <w:pPr>
              <w:spacing w:after="0" w:before="0"/>
            </w:pPr>
            <w:r>
              <w:rPr>
                <w:sz w:val="15"/>
              </w:rPr>
              <w:t>Files</w:t>
            </w:r>
          </w:p>
        </w:tc>
        <w:tc>
          <w:tcPr>
            <w:tcW w:type="dxa" w:w="7416"/>
            <w:vAlign w:val="top"/>
            <w:tcMar>
              <w:top w:w="70" w:type="dxa"/>
              <w:start w:w="80" w:type="dxa"/>
              <w:bottom w:w="70" w:type="dxa"/>
              <w:end w:w="80" w:type="dxa"/>
            </w:tcMar>
          </w:tcPr>
          <w:p>
            <w:pPr>
              <w:spacing w:after="0" w:before="0"/>
            </w:pPr>
            <w:r>
              <w:rPr>
                <w:sz w:val="15"/>
              </w:rPr>
              <w:t>/v1/files/presign-upload; /complete; /download; /verify; /supersede.</w:t>
            </w:r>
          </w:p>
        </w:tc>
      </w:tr>
      <w:tr>
        <w:tc>
          <w:tcPr>
            <w:tcW w:type="dxa" w:w="2232"/>
            <w:vAlign w:val="top"/>
            <w:tcMar>
              <w:top w:w="70" w:type="dxa"/>
              <w:start w:w="80" w:type="dxa"/>
              <w:bottom w:w="70" w:type="dxa"/>
              <w:end w:w="80" w:type="dxa"/>
            </w:tcMar>
            <w:shd w:fill="F4F6F8"/>
          </w:tcPr>
          <w:p>
            <w:pPr>
              <w:spacing w:after="0" w:before="0"/>
            </w:pPr>
            <w:r>
              <w:rPr>
                <w:sz w:val="15"/>
              </w:rPr>
              <w:t>Integrations</w:t>
            </w:r>
          </w:p>
        </w:tc>
        <w:tc>
          <w:tcPr>
            <w:tcW w:type="dxa" w:w="7416"/>
            <w:vAlign w:val="top"/>
            <w:tcMar>
              <w:top w:w="70" w:type="dxa"/>
              <w:start w:w="80" w:type="dxa"/>
              <w:bottom w:w="70" w:type="dxa"/>
              <w:end w:w="80" w:type="dxa"/>
            </w:tcMar>
            <w:shd w:fill="F4F6F8"/>
          </w:tcPr>
          <w:p>
            <w:pPr>
              <w:spacing w:after="0" w:before="0"/>
            </w:pPr>
            <w:r>
              <w:rPr>
                <w:sz w:val="15"/>
              </w:rPr>
              <w:t>OAuth/connect/status/sync/webhook endpoints per provider.</w:t>
            </w:r>
          </w:p>
        </w:tc>
      </w:tr>
    </w:tbl>
    <w:p>
      <w:pPr>
        <w:spacing w:after="0"/>
      </w:pPr>
    </w:p>
    <w:p>
      <w:pPr>
        <w:pStyle w:val="Heading2"/>
        <w:keepNext/>
      </w:pPr>
      <w:r>
        <w:t>20.4 Domain events</w:t>
      </w:r>
    </w:p>
    <w:p>
      <w:pPr>
        <w:spacing w:after="100"/>
      </w:pPr>
      <w:r>
        <w:t>LeadCaptured, LeadAssigned, LeadAccepted, LeadRejected, LeadLost, FollowupDue, TestRideBooked, TestRideStarted, TestRideCompleted, InventoryReserved, VehicleAllocated, BookingConfirmed, PaymentRecorded, DeliveryReadinessPassed, DeliveryCompleted, RegistrationStatusChanged, RcShared, CustomerVehicleCreated and ReminderDue.</w:t>
      </w:r>
    </w:p>
    <w:p>
      <w:pPr>
        <w:pStyle w:val="Heading2"/>
        <w:keepNext/>
      </w:pPr>
      <w:r>
        <w:t>20.5 Queue design</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376"/>
            <w:shd w:fill="123447"/>
            <w:vAlign w:val="center"/>
            <w:tcMar>
              <w:top w:w="70" w:type="dxa"/>
              <w:start w:w="80" w:type="dxa"/>
              <w:bottom w:w="70" w:type="dxa"/>
              <w:end w:w="80" w:type="dxa"/>
            </w:tcMar>
          </w:tcPr>
          <w:p>
            <w:pPr>
              <w:jc w:val="left"/>
            </w:pPr>
            <w:r>
              <w:rPr>
                <w:b/>
                <w:color w:val="FFFFFF"/>
                <w:sz w:val="16"/>
              </w:rPr>
              <w:t>Queue</w:t>
            </w:r>
          </w:p>
        </w:tc>
        <w:tc>
          <w:tcPr>
            <w:tcW w:type="dxa" w:w="7272"/>
            <w:shd w:fill="123447"/>
            <w:vAlign w:val="center"/>
            <w:tcMar>
              <w:top w:w="70" w:type="dxa"/>
              <w:start w:w="80" w:type="dxa"/>
              <w:bottom w:w="70" w:type="dxa"/>
              <w:end w:w="80" w:type="dxa"/>
            </w:tcMar>
          </w:tcPr>
          <w:p>
            <w:pPr>
              <w:jc w:val="left"/>
            </w:pPr>
            <w:r>
              <w:rPr>
                <w:b/>
                <w:color w:val="FFFFFF"/>
                <w:sz w:val="16"/>
              </w:rPr>
              <w:t>Jobs</w:t>
            </w:r>
          </w:p>
        </w:tc>
      </w:tr>
      <w:tr>
        <w:tc>
          <w:tcPr>
            <w:tcW w:type="dxa" w:w="2376"/>
            <w:vAlign w:val="top"/>
            <w:tcMar>
              <w:top w:w="70" w:type="dxa"/>
              <w:start w:w="80" w:type="dxa"/>
              <w:bottom w:w="70" w:type="dxa"/>
              <w:end w:w="80" w:type="dxa"/>
            </w:tcMar>
          </w:tcPr>
          <w:p>
            <w:pPr>
              <w:spacing w:after="0" w:before="0"/>
            </w:pPr>
            <w:r>
              <w:rPr>
                <w:sz w:val="16"/>
              </w:rPr>
              <w:t>lead-ingestion</w:t>
            </w:r>
          </w:p>
        </w:tc>
        <w:tc>
          <w:tcPr>
            <w:tcW w:type="dxa" w:w="7272"/>
            <w:vAlign w:val="top"/>
            <w:tcMar>
              <w:top w:w="70" w:type="dxa"/>
              <w:start w:w="80" w:type="dxa"/>
              <w:bottom w:w="70" w:type="dxa"/>
              <w:end w:w="80" w:type="dxa"/>
            </w:tcMar>
          </w:tcPr>
          <w:p>
            <w:pPr>
              <w:spacing w:after="0" w:before="0"/>
            </w:pPr>
            <w:r>
              <w:rPr>
                <w:sz w:val="16"/>
              </w:rPr>
              <w:t>Verify, normalize, deduplicate, attribute, assign and notify.</w:t>
            </w:r>
          </w:p>
        </w:tc>
      </w:tr>
      <w:tr>
        <w:tc>
          <w:tcPr>
            <w:tcW w:type="dxa" w:w="2376"/>
            <w:vAlign w:val="top"/>
            <w:tcMar>
              <w:top w:w="70" w:type="dxa"/>
              <w:start w:w="80" w:type="dxa"/>
              <w:bottom w:w="70" w:type="dxa"/>
              <w:end w:w="80" w:type="dxa"/>
            </w:tcMar>
            <w:shd w:fill="F4F6F8"/>
          </w:tcPr>
          <w:p>
            <w:pPr>
              <w:spacing w:after="0" w:before="0"/>
            </w:pPr>
            <w:r>
              <w:rPr>
                <w:sz w:val="16"/>
              </w:rPr>
              <w:t>communications</w:t>
            </w:r>
          </w:p>
        </w:tc>
        <w:tc>
          <w:tcPr>
            <w:tcW w:type="dxa" w:w="7272"/>
            <w:vAlign w:val="top"/>
            <w:tcMar>
              <w:top w:w="70" w:type="dxa"/>
              <w:start w:w="80" w:type="dxa"/>
              <w:bottom w:w="70" w:type="dxa"/>
              <w:end w:w="80" w:type="dxa"/>
            </w:tcMar>
            <w:shd w:fill="F4F6F8"/>
          </w:tcPr>
          <w:p>
            <w:pPr>
              <w:spacing w:after="0" w:before="0"/>
            </w:pPr>
            <w:r>
              <w:rPr>
                <w:sz w:val="16"/>
              </w:rPr>
              <w:t>WhatsApp/email/SMS send, status reconciliation and inbound routing.</w:t>
            </w:r>
          </w:p>
        </w:tc>
      </w:tr>
      <w:tr>
        <w:tc>
          <w:tcPr>
            <w:tcW w:type="dxa" w:w="2376"/>
            <w:vAlign w:val="top"/>
            <w:tcMar>
              <w:top w:w="70" w:type="dxa"/>
              <w:start w:w="80" w:type="dxa"/>
              <w:bottom w:w="70" w:type="dxa"/>
              <w:end w:w="80" w:type="dxa"/>
            </w:tcMar>
          </w:tcPr>
          <w:p>
            <w:pPr>
              <w:spacing w:after="0" w:before="0"/>
            </w:pPr>
            <w:r>
              <w:rPr>
                <w:sz w:val="16"/>
              </w:rPr>
              <w:t>telephony</w:t>
            </w:r>
          </w:p>
        </w:tc>
        <w:tc>
          <w:tcPr>
            <w:tcW w:type="dxa" w:w="7272"/>
            <w:vAlign w:val="top"/>
            <w:tcMar>
              <w:top w:w="70" w:type="dxa"/>
              <w:start w:w="80" w:type="dxa"/>
              <w:bottom w:w="70" w:type="dxa"/>
              <w:end w:w="80" w:type="dxa"/>
            </w:tcMar>
          </w:tcPr>
          <w:p>
            <w:pPr>
              <w:spacing w:after="0" w:before="0"/>
            </w:pPr>
            <w:r>
              <w:rPr>
                <w:sz w:val="16"/>
              </w:rPr>
              <w:t>Call sync, recording retrieval and reconciliation.</w:t>
            </w:r>
          </w:p>
        </w:tc>
      </w:tr>
      <w:tr>
        <w:tc>
          <w:tcPr>
            <w:tcW w:type="dxa" w:w="2376"/>
            <w:vAlign w:val="top"/>
            <w:tcMar>
              <w:top w:w="70" w:type="dxa"/>
              <w:start w:w="80" w:type="dxa"/>
              <w:bottom w:w="70" w:type="dxa"/>
              <w:end w:w="80" w:type="dxa"/>
            </w:tcMar>
            <w:shd w:fill="F4F6F8"/>
          </w:tcPr>
          <w:p>
            <w:pPr>
              <w:spacing w:after="0" w:before="0"/>
            </w:pPr>
            <w:r>
              <w:rPr>
                <w:sz w:val="16"/>
              </w:rPr>
              <w:t>location</w:t>
            </w:r>
          </w:p>
        </w:tc>
        <w:tc>
          <w:tcPr>
            <w:tcW w:type="dxa" w:w="7272"/>
            <w:vAlign w:val="top"/>
            <w:tcMar>
              <w:top w:w="70" w:type="dxa"/>
              <w:start w:w="80" w:type="dxa"/>
              <w:bottom w:w="70" w:type="dxa"/>
              <w:end w:w="80" w:type="dxa"/>
            </w:tcMar>
            <w:shd w:fill="F4F6F8"/>
          </w:tcPr>
          <w:p>
            <w:pPr>
              <w:spacing w:after="0" w:before="0"/>
            </w:pPr>
            <w:r>
              <w:rPr>
                <w:sz w:val="16"/>
              </w:rPr>
              <w:t>Validate active job, current-position upsert and stale timeout.</w:t>
            </w:r>
          </w:p>
        </w:tc>
      </w:tr>
      <w:tr>
        <w:tc>
          <w:tcPr>
            <w:tcW w:type="dxa" w:w="2376"/>
            <w:vAlign w:val="top"/>
            <w:tcMar>
              <w:top w:w="70" w:type="dxa"/>
              <w:start w:w="80" w:type="dxa"/>
              <w:bottom w:w="70" w:type="dxa"/>
              <w:end w:w="80" w:type="dxa"/>
            </w:tcMar>
          </w:tcPr>
          <w:p>
            <w:pPr>
              <w:spacing w:after="0" w:before="0"/>
            </w:pPr>
            <w:r>
              <w:rPr>
                <w:sz w:val="16"/>
              </w:rPr>
              <w:t>inventory</w:t>
            </w:r>
          </w:p>
        </w:tc>
        <w:tc>
          <w:tcPr>
            <w:tcW w:type="dxa" w:w="7272"/>
            <w:vAlign w:val="top"/>
            <w:tcMar>
              <w:top w:w="70" w:type="dxa"/>
              <w:start w:w="80" w:type="dxa"/>
              <w:bottom w:w="70" w:type="dxa"/>
              <w:end w:w="80" w:type="dxa"/>
            </w:tcMar>
          </w:tcPr>
          <w:p>
            <w:pPr>
              <w:spacing w:after="0" w:before="0"/>
            </w:pPr>
            <w:r>
              <w:rPr>
                <w:sz w:val="16"/>
              </w:rPr>
              <w:t>Reservation expiry, allocation checks and transfer notifications.</w:t>
            </w:r>
          </w:p>
        </w:tc>
      </w:tr>
      <w:tr>
        <w:tc>
          <w:tcPr>
            <w:tcW w:type="dxa" w:w="2376"/>
            <w:vAlign w:val="top"/>
            <w:tcMar>
              <w:top w:w="70" w:type="dxa"/>
              <w:start w:w="80" w:type="dxa"/>
              <w:bottom w:w="70" w:type="dxa"/>
              <w:end w:w="80" w:type="dxa"/>
            </w:tcMar>
            <w:shd w:fill="F4F6F8"/>
          </w:tcPr>
          <w:p>
            <w:pPr>
              <w:spacing w:after="0" w:before="0"/>
            </w:pPr>
            <w:r>
              <w:rPr>
                <w:sz w:val="16"/>
              </w:rPr>
              <w:t>reminders</w:t>
            </w:r>
          </w:p>
        </w:tc>
        <w:tc>
          <w:tcPr>
            <w:tcW w:type="dxa" w:w="7272"/>
            <w:vAlign w:val="top"/>
            <w:tcMar>
              <w:top w:w="70" w:type="dxa"/>
              <w:start w:w="80" w:type="dxa"/>
              <w:bottom w:w="70" w:type="dxa"/>
              <w:end w:w="80" w:type="dxa"/>
            </w:tcMar>
            <w:shd w:fill="F4F6F8"/>
          </w:tcPr>
          <w:p>
            <w:pPr>
              <w:spacing w:after="0" w:before="0"/>
            </w:pPr>
            <w:r>
              <w:rPr>
                <w:sz w:val="16"/>
              </w:rPr>
              <w:t>Follow-up, service, insurance, RC and delivery reminders.</w:t>
            </w:r>
          </w:p>
        </w:tc>
      </w:tr>
      <w:tr>
        <w:tc>
          <w:tcPr>
            <w:tcW w:type="dxa" w:w="2376"/>
            <w:vAlign w:val="top"/>
            <w:tcMar>
              <w:top w:w="70" w:type="dxa"/>
              <w:start w:w="80" w:type="dxa"/>
              <w:bottom w:w="70" w:type="dxa"/>
              <w:end w:w="80" w:type="dxa"/>
            </w:tcMar>
          </w:tcPr>
          <w:p>
            <w:pPr>
              <w:spacing w:after="0" w:before="0"/>
            </w:pPr>
            <w:r>
              <w:rPr>
                <w:sz w:val="16"/>
              </w:rPr>
              <w:t>google-integrations</w:t>
            </w:r>
          </w:p>
        </w:tc>
        <w:tc>
          <w:tcPr>
            <w:tcW w:type="dxa" w:w="7272"/>
            <w:vAlign w:val="top"/>
            <w:tcMar>
              <w:top w:w="70" w:type="dxa"/>
              <w:start w:w="80" w:type="dxa"/>
              <w:bottom w:w="70" w:type="dxa"/>
              <w:end w:w="80" w:type="dxa"/>
            </w:tcMar>
          </w:tcPr>
          <w:p>
            <w:pPr>
              <w:spacing w:after="0" w:before="0"/>
            </w:pPr>
            <w:r>
              <w:rPr>
                <w:sz w:val="16"/>
              </w:rPr>
              <w:t>GBP Pub/Sub processing, reconciliation, performance sync and Google Ads lead forms.</w:t>
            </w:r>
          </w:p>
        </w:tc>
      </w:tr>
      <w:tr>
        <w:tc>
          <w:tcPr>
            <w:tcW w:type="dxa" w:w="2376"/>
            <w:vAlign w:val="top"/>
            <w:tcMar>
              <w:top w:w="70" w:type="dxa"/>
              <w:start w:w="80" w:type="dxa"/>
              <w:bottom w:w="70" w:type="dxa"/>
              <w:end w:w="80" w:type="dxa"/>
            </w:tcMar>
            <w:shd w:fill="F4F6F8"/>
          </w:tcPr>
          <w:p>
            <w:pPr>
              <w:spacing w:after="0" w:before="0"/>
            </w:pPr>
            <w:r>
              <w:rPr>
                <w:sz w:val="16"/>
              </w:rPr>
              <w:t>exports</w:t>
            </w:r>
          </w:p>
        </w:tc>
        <w:tc>
          <w:tcPr>
            <w:tcW w:type="dxa" w:w="7272"/>
            <w:vAlign w:val="top"/>
            <w:tcMar>
              <w:top w:w="70" w:type="dxa"/>
              <w:start w:w="80" w:type="dxa"/>
              <w:bottom w:w="70" w:type="dxa"/>
              <w:end w:w="80" w:type="dxa"/>
            </w:tcMar>
            <w:shd w:fill="F4F6F8"/>
          </w:tcPr>
          <w:p>
            <w:pPr>
              <w:spacing w:after="0" w:before="0"/>
            </w:pPr>
            <w:r>
              <w:rPr>
                <w:sz w:val="16"/>
              </w:rPr>
              <w:t>Asynchronous CSV/XLSX/PDF generation.</w:t>
            </w:r>
          </w:p>
        </w:tc>
      </w:tr>
      <w:tr>
        <w:tc>
          <w:tcPr>
            <w:tcW w:type="dxa" w:w="2376"/>
            <w:vAlign w:val="top"/>
            <w:tcMar>
              <w:top w:w="70" w:type="dxa"/>
              <w:start w:w="80" w:type="dxa"/>
              <w:bottom w:w="70" w:type="dxa"/>
              <w:end w:w="80" w:type="dxa"/>
            </w:tcMar>
          </w:tcPr>
          <w:p>
            <w:pPr>
              <w:spacing w:after="0" w:before="0"/>
            </w:pPr>
            <w:r>
              <w:rPr>
                <w:sz w:val="16"/>
              </w:rPr>
              <w:t>maintenance</w:t>
            </w:r>
          </w:p>
        </w:tc>
        <w:tc>
          <w:tcPr>
            <w:tcW w:type="dxa" w:w="7272"/>
            <w:vAlign w:val="top"/>
            <w:tcMar>
              <w:top w:w="70" w:type="dxa"/>
              <w:start w:w="80" w:type="dxa"/>
              <w:bottom w:w="70" w:type="dxa"/>
              <w:end w:w="80" w:type="dxa"/>
            </w:tcMar>
          </w:tcPr>
          <w:p>
            <w:pPr>
              <w:spacing w:after="0" w:before="0"/>
            </w:pPr>
            <w:r>
              <w:rPr>
                <w:sz w:val="16"/>
              </w:rPr>
              <w:t>Retention, stale sessions, orphan files, integrity checks and dead-letter recovery.</w:t>
            </w:r>
          </w:p>
        </w:tc>
      </w:tr>
    </w:tbl>
    <w:p>
      <w:pPr>
        <w:spacing w:after="0"/>
      </w:pPr>
    </w:p>
    <w:p>
      <w:pPr>
        <w:pStyle w:val="Heading1"/>
        <w:keepNext/>
      </w:pPr>
      <w:r>
        <w:t>21. Security, Audit, Observability and Recovery</w:t>
      </w:r>
    </w:p>
    <w:p>
      <w:pPr>
        <w:pStyle w:val="Heading2"/>
        <w:keepNext/>
      </w:pPr>
      <w:r>
        <w:t>21.1 Authentication and session security</w:t>
      </w:r>
    </w:p>
    <w:p>
      <w:pPr>
        <w:pStyle w:val="ListBullet"/>
        <w:spacing w:after="40"/>
      </w:pPr>
      <w:r>
        <w:t>Backend-issued short-lived access token and rotating refresh token; secure storage appropriate to web/mobile client.</w:t>
      </w:r>
    </w:p>
    <w:p>
      <w:pPr>
        <w:pStyle w:val="ListBullet"/>
        <w:spacing w:after="40"/>
      </w:pPr>
      <w:r>
        <w:t>MFA required for Agency Admin and recommended/tenant-configurable for office admins/managers.</w:t>
      </w:r>
    </w:p>
    <w:p>
      <w:pPr>
        <w:pStyle w:val="ListBullet"/>
        <w:spacing w:after="40"/>
      </w:pPr>
      <w:r>
        <w:t>Password hashing with a modern memory-hard algorithm; rate limits, lockout/backoff and breached-password screening where available.</w:t>
      </w:r>
    </w:p>
    <w:p>
      <w:pPr>
        <w:pStyle w:val="ListBullet"/>
        <w:spacing w:after="40"/>
      </w:pPr>
      <w:r>
        <w:t>Device/session list, remote revocation, logout-all and user deactivation invalidation.</w:t>
      </w:r>
    </w:p>
    <w:p>
      <w:pPr>
        <w:pStyle w:val="ListBullet"/>
        <w:spacing w:after="40"/>
      </w:pPr>
      <w:r>
        <w:t>Integration OAuth state/PKCE where applicable; secrets encrypted and never returned to clients.</w:t>
      </w:r>
    </w:p>
    <w:p>
      <w:pPr>
        <w:pStyle w:val="Heading2"/>
        <w:keepNext/>
      </w:pPr>
      <w:r>
        <w:t>21.2 Audit model</w:t>
      </w:r>
    </w:p>
    <w:p>
      <w:pPr>
        <w:pStyle w:val="ListBullet"/>
        <w:spacing w:after="40"/>
      </w:pPr>
      <w:r>
        <w:t>Immutable audit event includes tenant, actor, effective role, action, entity, old/new summary, reason, IP/device, request ID and timestamp.</w:t>
      </w:r>
    </w:p>
    <w:p>
      <w:pPr>
        <w:pStyle w:val="ListBullet"/>
        <w:spacing w:after="40"/>
      </w:pPr>
      <w:r>
        <w:t>High-risk actions: support impersonation, role change, export, document download, payment correction, VIN change, booking cancellation, stock release and retention deletion.</w:t>
      </w:r>
    </w:p>
    <w:p>
      <w:pPr>
        <w:pStyle w:val="ListBullet"/>
        <w:spacing w:after="40"/>
      </w:pPr>
      <w:r>
        <w:t>Audit Explorer supports filters and export only for authorised roles; audit records cannot be edited through product APIs.</w:t>
      </w:r>
    </w:p>
    <w:p>
      <w:pPr>
        <w:pStyle w:val="Heading2"/>
        <w:keepNext/>
      </w:pPr>
      <w:r>
        <w:t>21.3 Observability</w:t>
      </w:r>
    </w:p>
    <w:p>
      <w:pPr>
        <w:pStyle w:val="ListBullet"/>
        <w:spacing w:after="40"/>
      </w:pPr>
      <w:r>
        <w:t>Correlation ID from ingress through API, database transaction, outbox, worker and provider call.</w:t>
      </w:r>
    </w:p>
    <w:p>
      <w:pPr>
        <w:pStyle w:val="ListBullet"/>
        <w:spacing w:after="40"/>
      </w:pPr>
      <w:r>
        <w:t>Dashboards: API latency/errors, queue age, dead letters, webhook verification failures, provider failures, message/call status, active-location staleness and database health.</w:t>
      </w:r>
    </w:p>
    <w:p>
      <w:pPr>
        <w:pStyle w:val="ListBullet"/>
        <w:spacing w:after="40"/>
      </w:pPr>
      <w:r>
        <w:t>Alerts distinguish client configuration issues from platform incidents and include runbook links.</w:t>
      </w:r>
    </w:p>
    <w:p>
      <w:pPr>
        <w:pStyle w:val="ListBullet"/>
        <w:spacing w:after="40"/>
      </w:pPr>
      <w:r>
        <w:t>PII and secrets are redacted from logs. Raw provider payload access is restricted and short-lived.</w:t>
      </w:r>
    </w:p>
    <w:p>
      <w:pPr>
        <w:pStyle w:val="Heading2"/>
        <w:keepNext/>
      </w:pPr>
      <w:r>
        <w:t>21.4 Backup and recovery</w:t>
      </w:r>
    </w:p>
    <w:p>
      <w:pPr>
        <w:pStyle w:val="ListBullet"/>
        <w:spacing w:after="40"/>
      </w:pPr>
      <w:r>
        <w:t>Database backups/PITR according to selected Supabase plan; quarterly restore exercise before production scale.</w:t>
      </w:r>
    </w:p>
    <w:p>
      <w:pPr>
        <w:pStyle w:val="ListBullet"/>
        <w:spacing w:after="40"/>
      </w:pPr>
      <w:r>
        <w:t>Object inventory and checksum reconciliation to detect orphan/missing files.</w:t>
      </w:r>
    </w:p>
    <w:p>
      <w:pPr>
        <w:pStyle w:val="ListBullet"/>
        <w:spacing w:after="40"/>
      </w:pPr>
      <w:r>
        <w:t>Dead-letter replay tooling with idempotency and dry-run preview.</w:t>
      </w:r>
    </w:p>
    <w:p>
      <w:pPr>
        <w:pStyle w:val="ListBullet"/>
        <w:spacing w:after="40"/>
      </w:pPr>
      <w:r>
        <w:t>Provider reconciliation repairs missed webhooks without duplicating business events.</w:t>
      </w:r>
    </w:p>
    <w:p>
      <w:pPr>
        <w:pStyle w:val="ListBullet"/>
        <w:spacing w:after="40"/>
      </w:pPr>
      <w:r>
        <w:t>Documented RPO/RTO target for pilot: RPO ≤ 24 hours on low-cost tier and ≤ 1 hour on production paid tier; RTO ≤ 8 hours pilot and ≤ 4 hours production target, subject to chosen provider plans.</w:t>
      </w:r>
    </w:p>
    <w:p>
      <w:pPr>
        <w:pStyle w:val="Heading1"/>
        <w:keepNext/>
      </w:pPr>
      <w:r>
        <w:t>22. Performance, Offline Behavior and Rate Limits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3816"/>
            <w:shd w:fill="123447"/>
            <w:vAlign w:val="center"/>
            <w:tcMar>
              <w:top w:w="70" w:type="dxa"/>
              <w:start w:w="80" w:type="dxa"/>
              <w:bottom w:w="70" w:type="dxa"/>
              <w:end w:w="80" w:type="dxa"/>
            </w:tcMar>
          </w:tcPr>
          <w:p>
            <w:pPr>
              <w:jc w:val="left"/>
            </w:pPr>
            <w:r>
              <w:rPr>
                <w:b/>
                <w:color w:val="FFFFFF"/>
                <w:sz w:val="16"/>
              </w:rPr>
              <w:t>Behavior</w:t>
            </w:r>
          </w:p>
        </w:tc>
        <w:tc>
          <w:tcPr>
            <w:tcW w:type="dxa" w:w="5832"/>
            <w:shd w:fill="123447"/>
            <w:vAlign w:val="center"/>
            <w:tcMar>
              <w:top w:w="70" w:type="dxa"/>
              <w:start w:w="80" w:type="dxa"/>
              <w:bottom w:w="70" w:type="dxa"/>
              <w:end w:w="80" w:type="dxa"/>
            </w:tcMar>
          </w:tcPr>
          <w:p>
            <w:pPr>
              <w:jc w:val="left"/>
            </w:pPr>
            <w:r>
              <w:rPr>
                <w:b/>
                <w:color w:val="FFFFFF"/>
                <w:sz w:val="16"/>
              </w:rPr>
              <w:t>Target</w:t>
            </w:r>
          </w:p>
        </w:tc>
      </w:tr>
      <w:tr>
        <w:tc>
          <w:tcPr>
            <w:tcW w:type="dxa" w:w="3816"/>
            <w:vAlign w:val="top"/>
            <w:tcMar>
              <w:top w:w="70" w:type="dxa"/>
              <w:start w:w="80" w:type="dxa"/>
              <w:bottom w:w="70" w:type="dxa"/>
              <w:end w:w="80" w:type="dxa"/>
            </w:tcMar>
          </w:tcPr>
          <w:p>
            <w:pPr>
              <w:spacing w:after="0" w:before="0"/>
            </w:pPr>
            <w:r>
              <w:rPr>
                <w:sz w:val="16"/>
              </w:rPr>
              <w:t>Verified webhook acknowledgement</w:t>
            </w:r>
          </w:p>
        </w:tc>
        <w:tc>
          <w:tcPr>
            <w:tcW w:type="dxa" w:w="5832"/>
            <w:vAlign w:val="top"/>
            <w:tcMar>
              <w:top w:w="70" w:type="dxa"/>
              <w:start w:w="80" w:type="dxa"/>
              <w:bottom w:w="70" w:type="dxa"/>
              <w:end w:w="80" w:type="dxa"/>
            </w:tcMar>
          </w:tcPr>
          <w:p>
            <w:pPr>
              <w:spacing w:after="0" w:before="0"/>
            </w:pPr>
            <w:r>
              <w:rPr>
                <w:sz w:val="16"/>
              </w:rPr>
              <w:t>Under 2 seconds after durable receipt.</w:t>
            </w:r>
          </w:p>
        </w:tc>
      </w:tr>
      <w:tr>
        <w:tc>
          <w:tcPr>
            <w:tcW w:type="dxa" w:w="3816"/>
            <w:vAlign w:val="top"/>
            <w:tcMar>
              <w:top w:w="70" w:type="dxa"/>
              <w:start w:w="80" w:type="dxa"/>
              <w:bottom w:w="70" w:type="dxa"/>
              <w:end w:w="80" w:type="dxa"/>
            </w:tcMar>
            <w:shd w:fill="F4F6F8"/>
          </w:tcPr>
          <w:p>
            <w:pPr>
              <w:spacing w:after="0" w:before="0"/>
            </w:pPr>
            <w:r>
              <w:rPr>
                <w:sz w:val="16"/>
              </w:rPr>
              <w:t>New lead visible to assigned user</w:t>
            </w:r>
          </w:p>
        </w:tc>
        <w:tc>
          <w:tcPr>
            <w:tcW w:type="dxa" w:w="5832"/>
            <w:vAlign w:val="top"/>
            <w:tcMar>
              <w:top w:w="70" w:type="dxa"/>
              <w:start w:w="80" w:type="dxa"/>
              <w:bottom w:w="70" w:type="dxa"/>
              <w:end w:w="80" w:type="dxa"/>
            </w:tcMar>
            <w:shd w:fill="F4F6F8"/>
          </w:tcPr>
          <w:p>
            <w:pPr>
              <w:spacing w:after="0" w:before="0"/>
            </w:pPr>
            <w:r>
              <w:rPr>
                <w:sz w:val="16"/>
              </w:rPr>
              <w:t>Normally 2–5 seconds on paid always-on infrastructure.</w:t>
            </w:r>
          </w:p>
        </w:tc>
      </w:tr>
      <w:tr>
        <w:tc>
          <w:tcPr>
            <w:tcW w:type="dxa" w:w="3816"/>
            <w:vAlign w:val="top"/>
            <w:tcMar>
              <w:top w:w="70" w:type="dxa"/>
              <w:start w:w="80" w:type="dxa"/>
              <w:bottom w:w="70" w:type="dxa"/>
              <w:end w:w="80" w:type="dxa"/>
            </w:tcMar>
          </w:tcPr>
          <w:p>
            <w:pPr>
              <w:spacing w:after="0" w:before="0"/>
            </w:pPr>
            <w:r>
              <w:rPr>
                <w:sz w:val="16"/>
              </w:rPr>
              <w:t>Standard API p95</w:t>
            </w:r>
          </w:p>
        </w:tc>
        <w:tc>
          <w:tcPr>
            <w:tcW w:type="dxa" w:w="5832"/>
            <w:vAlign w:val="top"/>
            <w:tcMar>
              <w:top w:w="70" w:type="dxa"/>
              <w:start w:w="80" w:type="dxa"/>
              <w:bottom w:w="70" w:type="dxa"/>
              <w:end w:w="80" w:type="dxa"/>
            </w:tcMar>
          </w:tcPr>
          <w:p>
            <w:pPr>
              <w:spacing w:after="0" w:before="0"/>
            </w:pPr>
            <w:r>
              <w:rPr>
                <w:sz w:val="16"/>
              </w:rPr>
              <w:t>Read under 500 ms; write under 700 ms excluding provider latency.</w:t>
            </w:r>
          </w:p>
        </w:tc>
      </w:tr>
      <w:tr>
        <w:tc>
          <w:tcPr>
            <w:tcW w:type="dxa" w:w="3816"/>
            <w:vAlign w:val="top"/>
            <w:tcMar>
              <w:top w:w="70" w:type="dxa"/>
              <w:start w:w="80" w:type="dxa"/>
              <w:bottom w:w="70" w:type="dxa"/>
              <w:end w:w="80" w:type="dxa"/>
            </w:tcMar>
            <w:shd w:fill="F4F6F8"/>
          </w:tcPr>
          <w:p>
            <w:pPr>
              <w:spacing w:after="0" w:before="0"/>
            </w:pPr>
            <w:r>
              <w:rPr>
                <w:sz w:val="16"/>
              </w:rPr>
              <w:t>Active map update</w:t>
            </w:r>
          </w:p>
        </w:tc>
        <w:tc>
          <w:tcPr>
            <w:tcW w:type="dxa" w:w="5832"/>
            <w:vAlign w:val="top"/>
            <w:tcMar>
              <w:top w:w="70" w:type="dxa"/>
              <w:start w:w="80" w:type="dxa"/>
              <w:bottom w:w="70" w:type="dxa"/>
              <w:end w:w="80" w:type="dxa"/>
            </w:tcMar>
            <w:shd w:fill="F4F6F8"/>
          </w:tcPr>
          <w:p>
            <w:pPr>
              <w:spacing w:after="0" w:before="0"/>
            </w:pPr>
            <w:r>
              <w:rPr>
                <w:sz w:val="16"/>
              </w:rPr>
              <w:t>30–60 second target; stale after configured threshold.</w:t>
            </w:r>
          </w:p>
        </w:tc>
      </w:tr>
      <w:tr>
        <w:tc>
          <w:tcPr>
            <w:tcW w:type="dxa" w:w="3816"/>
            <w:vAlign w:val="top"/>
            <w:tcMar>
              <w:top w:w="70" w:type="dxa"/>
              <w:start w:w="80" w:type="dxa"/>
              <w:bottom w:w="70" w:type="dxa"/>
              <w:end w:w="80" w:type="dxa"/>
            </w:tcMar>
          </w:tcPr>
          <w:p>
            <w:pPr>
              <w:spacing w:after="0" w:before="0"/>
            </w:pPr>
            <w:r>
              <w:rPr>
                <w:sz w:val="16"/>
              </w:rPr>
              <w:t>Mobile queue open</w:t>
            </w:r>
          </w:p>
        </w:tc>
        <w:tc>
          <w:tcPr>
            <w:tcW w:type="dxa" w:w="5832"/>
            <w:vAlign w:val="top"/>
            <w:tcMar>
              <w:top w:w="70" w:type="dxa"/>
              <w:start w:w="80" w:type="dxa"/>
              <w:bottom w:w="70" w:type="dxa"/>
              <w:end w:w="80" w:type="dxa"/>
            </w:tcMar>
          </w:tcPr>
          <w:p>
            <w:pPr>
              <w:spacing w:after="0" w:before="0"/>
            </w:pPr>
            <w:r>
              <w:rPr>
                <w:sz w:val="16"/>
              </w:rPr>
              <w:t>Cached list visible immediately; background refresh when online.</w:t>
            </w:r>
          </w:p>
        </w:tc>
      </w:tr>
      <w:tr>
        <w:tc>
          <w:tcPr>
            <w:tcW w:type="dxa" w:w="3816"/>
            <w:vAlign w:val="top"/>
            <w:tcMar>
              <w:top w:w="70" w:type="dxa"/>
              <w:start w:w="80" w:type="dxa"/>
              <w:bottom w:w="70" w:type="dxa"/>
              <w:end w:w="80" w:type="dxa"/>
            </w:tcMar>
            <w:shd w:fill="F4F6F8"/>
          </w:tcPr>
          <w:p>
            <w:pPr>
              <w:spacing w:after="0" w:before="0"/>
            </w:pPr>
            <w:r>
              <w:rPr>
                <w:sz w:val="16"/>
              </w:rPr>
              <w:t>Reminder dispatch</w:t>
            </w:r>
          </w:p>
        </w:tc>
        <w:tc>
          <w:tcPr>
            <w:tcW w:type="dxa" w:w="5832"/>
            <w:vAlign w:val="top"/>
            <w:tcMar>
              <w:top w:w="70" w:type="dxa"/>
              <w:start w:w="80" w:type="dxa"/>
              <w:bottom w:w="70" w:type="dxa"/>
              <w:end w:w="80" w:type="dxa"/>
            </w:tcMar>
            <w:shd w:fill="F4F6F8"/>
          </w:tcPr>
          <w:p>
            <w:pPr>
              <w:spacing w:after="0" w:before="0"/>
            </w:pPr>
            <w:r>
              <w:rPr>
                <w:sz w:val="16"/>
              </w:rPr>
              <w:t>Normally within 2 minutes of due time.</w:t>
            </w:r>
          </w:p>
        </w:tc>
      </w:tr>
      <w:tr>
        <w:tc>
          <w:tcPr>
            <w:tcW w:type="dxa" w:w="3816"/>
            <w:vAlign w:val="top"/>
            <w:tcMar>
              <w:top w:w="70" w:type="dxa"/>
              <w:start w:w="80" w:type="dxa"/>
              <w:bottom w:w="70" w:type="dxa"/>
              <w:end w:w="80" w:type="dxa"/>
            </w:tcMar>
          </w:tcPr>
          <w:p>
            <w:pPr>
              <w:spacing w:after="0" w:before="0"/>
            </w:pPr>
            <w:r>
              <w:rPr>
                <w:sz w:val="16"/>
              </w:rPr>
              <w:t>Report/export</w:t>
            </w:r>
          </w:p>
        </w:tc>
        <w:tc>
          <w:tcPr>
            <w:tcW w:type="dxa" w:w="5832"/>
            <w:vAlign w:val="top"/>
            <w:tcMar>
              <w:top w:w="70" w:type="dxa"/>
              <w:start w:w="80" w:type="dxa"/>
              <w:bottom w:w="70" w:type="dxa"/>
              <w:end w:w="80" w:type="dxa"/>
            </w:tcMar>
          </w:tcPr>
          <w:p>
            <w:pPr>
              <w:spacing w:after="0" w:before="0"/>
            </w:pPr>
            <w:r>
              <w:rPr>
                <w:sz w:val="16"/>
              </w:rPr>
              <w:t>Small reports interactive; large exports asynchronous.</w:t>
            </w:r>
          </w:p>
        </w:tc>
      </w:tr>
      <w:tr>
        <w:tc>
          <w:tcPr>
            <w:tcW w:type="dxa" w:w="3816"/>
            <w:vAlign w:val="top"/>
            <w:tcMar>
              <w:top w:w="70" w:type="dxa"/>
              <w:start w:w="80" w:type="dxa"/>
              <w:bottom w:w="70" w:type="dxa"/>
              <w:end w:w="80" w:type="dxa"/>
            </w:tcMar>
            <w:shd w:fill="F4F6F8"/>
          </w:tcPr>
          <w:p>
            <w:pPr>
              <w:spacing w:after="0" w:before="0"/>
            </w:pPr>
            <w:r>
              <w:rPr>
                <w:sz w:val="16"/>
              </w:rPr>
              <w:t>Concurrent scale gate</w:t>
            </w:r>
          </w:p>
        </w:tc>
        <w:tc>
          <w:tcPr>
            <w:tcW w:type="dxa" w:w="5832"/>
            <w:vAlign w:val="top"/>
            <w:tcMar>
              <w:top w:w="70" w:type="dxa"/>
              <w:start w:w="80" w:type="dxa"/>
              <w:bottom w:w="70" w:type="dxa"/>
              <w:end w:w="80" w:type="dxa"/>
            </w:tcMar>
            <w:shd w:fill="F4F6F8"/>
          </w:tcPr>
          <w:p>
            <w:pPr>
              <w:spacing w:after="0" w:before="0"/>
            </w:pPr>
            <w:r>
              <w:rPr>
                <w:sz w:val="16"/>
              </w:rPr>
              <w:t>75 concurrent API requests plus representative webhook/location load for MVP release.</w:t>
            </w:r>
          </w:p>
        </w:tc>
      </w:tr>
    </w:tbl>
    <w:p>
      <w:pPr>
        <w:spacing w:after="0"/>
      </w:pPr>
    </w:p>
    <w:p>
      <w:pPr>
        <w:pStyle w:val="Heading2"/>
        <w:keepNext/>
      </w:pPr>
      <w:r>
        <w:t>22.1 Idempotency and resilience</w:t>
      </w:r>
    </w:p>
    <w:p>
      <w:pPr>
        <w:pStyle w:val="ListBullet"/>
        <w:spacing w:after="40"/>
      </w:pPr>
      <w:r>
        <w:t>Unique client/provider/external-event IDs and caller-supplied idempotency key on critical create operations.</w:t>
      </w:r>
    </w:p>
    <w:p>
      <w:pPr>
        <w:pStyle w:val="ListBullet"/>
        <w:spacing w:after="40"/>
      </w:pPr>
      <w:r>
        <w:t>Exponential backoff with jitter, per-provider/client concurrency caps, circuit breakers and dead-letter queues.</w:t>
      </w:r>
    </w:p>
    <w:p>
      <w:pPr>
        <w:pStyle w:val="ListBullet"/>
        <w:spacing w:after="40"/>
      </w:pPr>
      <w:r>
        <w:t>PostgreSQL transaction + outbox for changes that must publish events.</w:t>
      </w:r>
    </w:p>
    <w:p>
      <w:pPr>
        <w:pStyle w:val="ListBullet"/>
        <w:spacing w:after="40"/>
      </w:pPr>
      <w:r>
        <w:t>Redis failure may delay work but cannot lose accepted business state.</w:t>
      </w:r>
    </w:p>
    <w:p>
      <w:pPr>
        <w:pStyle w:val="ListBullet"/>
        <w:spacing w:after="40"/>
      </w:pPr>
      <w:r>
        <w:t>UI displays queued, sending, sent, delivered, read, failed, stale and offline-pending states rather than pretending operations are instant.</w:t>
      </w:r>
    </w:p>
    <w:p>
      <w:pPr>
        <w:pStyle w:val="Heading2"/>
        <w:keepNext/>
      </w:pPr>
      <w:r>
        <w:t>22.2 Mobile offline rules</w:t>
      </w:r>
    </w:p>
    <w:p>
      <w:pPr>
        <w:pStyle w:val="ListBullet"/>
        <w:spacing w:after="40"/>
      </w:pPr>
      <w:r>
        <w:t>Cache assigned leads/jobs and required reference data in SQLite with encryption/platform storage controls as appropriate.</w:t>
      </w:r>
    </w:p>
    <w:p>
      <w:pPr>
        <w:pStyle w:val="ListBullet"/>
        <w:spacing w:after="40"/>
      </w:pPr>
      <w:r>
        <w:t>Offline writes enter a local outbox with client-generated ID and base version. Replay is ordered and idempotent.</w:t>
      </w:r>
    </w:p>
    <w:p>
      <w:pPr>
        <w:pStyle w:val="ListBullet"/>
        <w:spacing w:after="40"/>
      </w:pPr>
      <w:r>
        <w:t>High-risk transitions—payment verification, VIN allocation, delivery completion and RC closure—require online server confirmation.</w:t>
      </w:r>
    </w:p>
    <w:p>
      <w:pPr>
        <w:pStyle w:val="ListBullet"/>
        <w:spacing w:after="40"/>
      </w:pPr>
      <w:r>
        <w:t>Location points may buffer briefly during an active job and upload when connectivity returns; retention and battery caps apply.</w:t>
      </w:r>
    </w:p>
    <w:p>
      <w:pPr>
        <w:pStyle w:val="ListBullet"/>
        <w:spacing w:after="40"/>
      </w:pPr>
      <w:r>
        <w:t>Conflicts are resolved by server rules; the user sees a clear conflict/retry state and cannot silently overwrite another actor.</w:t>
      </w:r>
    </w:p>
    <w:p>
      <w:pPr>
        <w:pStyle w:val="Heading1"/>
        <w:keepNext/>
      </w:pPr>
      <w:r>
        <w:t>23. Environments, Deployment, Costs and AWS Migration</w:t>
      </w:r>
    </w:p>
    <w:p>
      <w:pPr>
        <w:pStyle w:val="Heading2"/>
        <w:keepNext/>
      </w:pPr>
      <w:r>
        <w:t>23.1 Environments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1872"/>
            <w:shd w:fill="123447"/>
            <w:vAlign w:val="center"/>
            <w:tcMar>
              <w:top w:w="70" w:type="dxa"/>
              <w:start w:w="80" w:type="dxa"/>
              <w:bottom w:w="70" w:type="dxa"/>
              <w:end w:w="80" w:type="dxa"/>
            </w:tcMar>
          </w:tcPr>
          <w:p>
            <w:pPr>
              <w:jc w:val="left"/>
            </w:pPr>
            <w:r>
              <w:rPr>
                <w:b/>
                <w:color w:val="FFFFFF"/>
                <w:sz w:val="16"/>
              </w:rPr>
              <w:t>Environment</w:t>
            </w:r>
          </w:p>
        </w:tc>
        <w:tc>
          <w:tcPr>
            <w:tcW w:type="dxa" w:w="4176"/>
            <w:shd w:fill="123447"/>
            <w:vAlign w:val="center"/>
            <w:tcMar>
              <w:top w:w="70" w:type="dxa"/>
              <w:start w:w="80" w:type="dxa"/>
              <w:bottom w:w="70" w:type="dxa"/>
              <w:end w:w="80" w:type="dxa"/>
            </w:tcMar>
          </w:tcPr>
          <w:p>
            <w:pPr>
              <w:jc w:val="left"/>
            </w:pPr>
            <w:r>
              <w:rPr>
                <w:b/>
                <w:color w:val="FFFFFF"/>
                <w:sz w:val="16"/>
              </w:rPr>
              <w:t>Purpose</w:t>
            </w:r>
          </w:p>
        </w:tc>
        <w:tc>
          <w:tcPr>
            <w:tcW w:type="dxa" w:w="3600"/>
            <w:shd w:fill="123447"/>
            <w:vAlign w:val="center"/>
            <w:tcMar>
              <w:top w:w="70" w:type="dxa"/>
              <w:start w:w="80" w:type="dxa"/>
              <w:bottom w:w="70" w:type="dxa"/>
              <w:end w:w="80" w:type="dxa"/>
            </w:tcMar>
          </w:tcPr>
          <w:p>
            <w:pPr>
              <w:jc w:val="left"/>
            </w:pPr>
            <w:r>
              <w:rPr>
                <w:b/>
                <w:color w:val="FFFFFF"/>
                <w:sz w:val="16"/>
              </w:rPr>
              <w:t>Data rule</w:t>
            </w:r>
          </w:p>
        </w:tc>
      </w:tr>
      <w:tr>
        <w:tc>
          <w:tcPr>
            <w:tcW w:type="dxa" w:w="1872"/>
            <w:vAlign w:val="top"/>
            <w:tcMar>
              <w:top w:w="70" w:type="dxa"/>
              <w:start w:w="80" w:type="dxa"/>
              <w:bottom w:w="70" w:type="dxa"/>
              <w:end w:w="80" w:type="dxa"/>
            </w:tcMar>
          </w:tcPr>
          <w:p>
            <w:pPr>
              <w:spacing w:after="0" w:before="0"/>
            </w:pPr>
            <w:r>
              <w:rPr>
                <w:sz w:val="16"/>
              </w:rPr>
              <w:t>Local</w:t>
            </w:r>
          </w:p>
        </w:tc>
        <w:tc>
          <w:tcPr>
            <w:tcW w:type="dxa" w:w="4176"/>
            <w:vAlign w:val="top"/>
            <w:tcMar>
              <w:top w:w="70" w:type="dxa"/>
              <w:start w:w="80" w:type="dxa"/>
              <w:bottom w:w="70" w:type="dxa"/>
              <w:end w:w="80" w:type="dxa"/>
            </w:tcMar>
          </w:tcPr>
          <w:p>
            <w:pPr>
              <w:spacing w:after="0" w:before="0"/>
            </w:pPr>
            <w:r>
              <w:rPr>
                <w:sz w:val="16"/>
              </w:rPr>
              <w:t>Developer services and provider fixtures</w:t>
            </w:r>
          </w:p>
        </w:tc>
        <w:tc>
          <w:tcPr>
            <w:tcW w:type="dxa" w:w="3600"/>
            <w:vAlign w:val="top"/>
            <w:tcMar>
              <w:top w:w="70" w:type="dxa"/>
              <w:start w:w="80" w:type="dxa"/>
              <w:bottom w:w="70" w:type="dxa"/>
              <w:end w:w="80" w:type="dxa"/>
            </w:tcMar>
          </w:tcPr>
          <w:p>
            <w:pPr>
              <w:spacing w:after="0" w:before="0"/>
            </w:pPr>
            <w:r>
              <w:rPr>
                <w:sz w:val="16"/>
              </w:rPr>
              <w:t>Synthetic data only.</w:t>
            </w:r>
          </w:p>
        </w:tc>
      </w:tr>
      <w:tr>
        <w:tc>
          <w:tcPr>
            <w:tcW w:type="dxa" w:w="1872"/>
            <w:vAlign w:val="top"/>
            <w:tcMar>
              <w:top w:w="70" w:type="dxa"/>
              <w:start w:w="80" w:type="dxa"/>
              <w:bottom w:w="70" w:type="dxa"/>
              <w:end w:w="80" w:type="dxa"/>
            </w:tcMar>
            <w:shd w:fill="F4F6F8"/>
          </w:tcPr>
          <w:p>
            <w:pPr>
              <w:spacing w:after="0" w:before="0"/>
            </w:pPr>
            <w:r>
              <w:rPr>
                <w:sz w:val="16"/>
              </w:rPr>
              <w:t>Development</w:t>
            </w:r>
          </w:p>
        </w:tc>
        <w:tc>
          <w:tcPr>
            <w:tcW w:type="dxa" w:w="4176"/>
            <w:vAlign w:val="top"/>
            <w:tcMar>
              <w:top w:w="70" w:type="dxa"/>
              <w:start w:w="80" w:type="dxa"/>
              <w:bottom w:w="70" w:type="dxa"/>
              <w:end w:w="80" w:type="dxa"/>
            </w:tcMar>
            <w:shd w:fill="F4F6F8"/>
          </w:tcPr>
          <w:p>
            <w:pPr>
              <w:spacing w:after="0" w:before="0"/>
            </w:pPr>
            <w:r>
              <w:rPr>
                <w:sz w:val="16"/>
              </w:rPr>
              <w:t>Shared integration work</w:t>
            </w:r>
          </w:p>
        </w:tc>
        <w:tc>
          <w:tcPr>
            <w:tcW w:type="dxa" w:w="3600"/>
            <w:vAlign w:val="top"/>
            <w:tcMar>
              <w:top w:w="70" w:type="dxa"/>
              <w:start w:w="80" w:type="dxa"/>
              <w:bottom w:w="70" w:type="dxa"/>
              <w:end w:w="80" w:type="dxa"/>
            </w:tcMar>
            <w:shd w:fill="F4F6F8"/>
          </w:tcPr>
          <w:p>
            <w:pPr>
              <w:spacing w:after="0" w:before="0"/>
            </w:pPr>
            <w:r>
              <w:rPr>
                <w:sz w:val="16"/>
              </w:rPr>
              <w:t>No production customer data.</w:t>
            </w:r>
          </w:p>
        </w:tc>
      </w:tr>
      <w:tr>
        <w:tc>
          <w:tcPr>
            <w:tcW w:type="dxa" w:w="1872"/>
            <w:vAlign w:val="top"/>
            <w:tcMar>
              <w:top w:w="70" w:type="dxa"/>
              <w:start w:w="80" w:type="dxa"/>
              <w:bottom w:w="70" w:type="dxa"/>
              <w:end w:w="80" w:type="dxa"/>
            </w:tcMar>
          </w:tcPr>
          <w:p>
            <w:pPr>
              <w:spacing w:after="0" w:before="0"/>
            </w:pPr>
            <w:r>
              <w:rPr>
                <w:sz w:val="16"/>
              </w:rPr>
              <w:t>Staging</w:t>
            </w:r>
          </w:p>
        </w:tc>
        <w:tc>
          <w:tcPr>
            <w:tcW w:type="dxa" w:w="4176"/>
            <w:vAlign w:val="top"/>
            <w:tcMar>
              <w:top w:w="70" w:type="dxa"/>
              <w:start w:w="80" w:type="dxa"/>
              <w:bottom w:w="70" w:type="dxa"/>
              <w:end w:w="80" w:type="dxa"/>
            </w:tcMar>
          </w:tcPr>
          <w:p>
            <w:pPr>
              <w:spacing w:after="0" w:before="0"/>
            </w:pPr>
            <w:r>
              <w:rPr>
                <w:sz w:val="16"/>
              </w:rPr>
              <w:t>Release candidate, app review and pilot rehearsal</w:t>
            </w:r>
          </w:p>
        </w:tc>
        <w:tc>
          <w:tcPr>
            <w:tcW w:type="dxa" w:w="3600"/>
            <w:vAlign w:val="top"/>
            <w:tcMar>
              <w:top w:w="70" w:type="dxa"/>
              <w:start w:w="80" w:type="dxa"/>
              <w:bottom w:w="70" w:type="dxa"/>
              <w:end w:w="80" w:type="dxa"/>
            </w:tcMar>
          </w:tcPr>
          <w:p>
            <w:pPr>
              <w:spacing w:after="0" w:before="0"/>
            </w:pPr>
            <w:r>
              <w:rPr>
                <w:sz w:val="16"/>
              </w:rPr>
              <w:t>Masked/synthetic; provider test accounts where possible.</w:t>
            </w:r>
          </w:p>
        </w:tc>
      </w:tr>
      <w:tr>
        <w:tc>
          <w:tcPr>
            <w:tcW w:type="dxa" w:w="1872"/>
            <w:vAlign w:val="top"/>
            <w:tcMar>
              <w:top w:w="70" w:type="dxa"/>
              <w:start w:w="80" w:type="dxa"/>
              <w:bottom w:w="70" w:type="dxa"/>
              <w:end w:w="80" w:type="dxa"/>
            </w:tcMar>
            <w:shd w:fill="F4F6F8"/>
          </w:tcPr>
          <w:p>
            <w:pPr>
              <w:spacing w:after="0" w:before="0"/>
            </w:pPr>
            <w:r>
              <w:rPr>
                <w:sz w:val="16"/>
              </w:rPr>
              <w:t>Production</w:t>
            </w:r>
          </w:p>
        </w:tc>
        <w:tc>
          <w:tcPr>
            <w:tcW w:type="dxa" w:w="4176"/>
            <w:vAlign w:val="top"/>
            <w:tcMar>
              <w:top w:w="70" w:type="dxa"/>
              <w:start w:w="80" w:type="dxa"/>
              <w:bottom w:w="70" w:type="dxa"/>
              <w:end w:w="80" w:type="dxa"/>
            </w:tcMar>
            <w:shd w:fill="F4F6F8"/>
          </w:tcPr>
          <w:p>
            <w:pPr>
              <w:spacing w:after="0" w:before="0"/>
            </w:pPr>
            <w:r>
              <w:rPr>
                <w:sz w:val="16"/>
              </w:rPr>
              <w:t>Approved dealerships</w:t>
            </w:r>
          </w:p>
        </w:tc>
        <w:tc>
          <w:tcPr>
            <w:tcW w:type="dxa" w:w="3600"/>
            <w:vAlign w:val="top"/>
            <w:tcMar>
              <w:top w:w="70" w:type="dxa"/>
              <w:start w:w="80" w:type="dxa"/>
              <w:bottom w:w="70" w:type="dxa"/>
              <w:end w:w="80" w:type="dxa"/>
            </w:tcMar>
            <w:shd w:fill="F4F6F8"/>
          </w:tcPr>
          <w:p>
            <w:pPr>
              <w:spacing w:after="0" w:before="0"/>
            </w:pPr>
            <w:r>
              <w:rPr>
                <w:sz w:val="16"/>
              </w:rPr>
              <w:t>Full controls, monitoring, backup and incident response.</w:t>
            </w:r>
          </w:p>
        </w:tc>
      </w:tr>
      <w:tr>
        <w:tc>
          <w:tcPr>
            <w:tcW w:type="dxa" w:w="1872"/>
            <w:vAlign w:val="top"/>
            <w:tcMar>
              <w:top w:w="70" w:type="dxa"/>
              <w:start w:w="80" w:type="dxa"/>
              <w:bottom w:w="70" w:type="dxa"/>
              <w:end w:w="80" w:type="dxa"/>
            </w:tcMar>
          </w:tcPr>
          <w:p>
            <w:pPr>
              <w:spacing w:after="0" w:before="0"/>
            </w:pPr>
            <w:r>
              <w:rPr>
                <w:sz w:val="16"/>
              </w:rPr>
              <w:t>DR/Restore workspace</w:t>
            </w:r>
          </w:p>
        </w:tc>
        <w:tc>
          <w:tcPr>
            <w:tcW w:type="dxa" w:w="4176"/>
            <w:vAlign w:val="top"/>
            <w:tcMar>
              <w:top w:w="70" w:type="dxa"/>
              <w:start w:w="80" w:type="dxa"/>
              <w:bottom w:w="70" w:type="dxa"/>
              <w:end w:w="80" w:type="dxa"/>
            </w:tcMar>
          </w:tcPr>
          <w:p>
            <w:pPr>
              <w:spacing w:after="0" w:before="0"/>
            </w:pPr>
            <w:r>
              <w:rPr>
                <w:sz w:val="16"/>
              </w:rPr>
              <w:t>Periodic recovery exercise</w:t>
            </w:r>
          </w:p>
        </w:tc>
        <w:tc>
          <w:tcPr>
            <w:tcW w:type="dxa" w:w="3600"/>
            <w:vAlign w:val="top"/>
            <w:tcMar>
              <w:top w:w="70" w:type="dxa"/>
              <w:start w:w="80" w:type="dxa"/>
              <w:bottom w:w="70" w:type="dxa"/>
              <w:end w:w="80" w:type="dxa"/>
            </w:tcMar>
          </w:tcPr>
          <w:p>
            <w:pPr>
              <w:spacing w:after="0" w:before="0"/>
            </w:pPr>
            <w:r>
              <w:rPr>
                <w:sz w:val="16"/>
              </w:rPr>
              <w:t>Restricted, temporary and documented.</w:t>
            </w:r>
          </w:p>
        </w:tc>
      </w:tr>
    </w:tbl>
    <w:p>
      <w:pPr>
        <w:spacing w:after="0"/>
      </w:pPr>
    </w:p>
    <w:p>
      <w:pPr>
        <w:pStyle w:val="Heading2"/>
        <w:keepNext/>
      </w:pPr>
      <w:r>
        <w:t>23.2 Initial deployment</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088"/>
            <w:shd w:fill="123447"/>
            <w:vAlign w:val="center"/>
            <w:tcMar>
              <w:top w:w="70" w:type="dxa"/>
              <w:start w:w="80" w:type="dxa"/>
              <w:bottom w:w="70" w:type="dxa"/>
              <w:end w:w="80" w:type="dxa"/>
            </w:tcMar>
          </w:tcPr>
          <w:p>
            <w:pPr>
              <w:jc w:val="left"/>
            </w:pPr>
            <w:r>
              <w:rPr>
                <w:b/>
                <w:color w:val="FFFFFF"/>
                <w:sz w:val="16"/>
              </w:rPr>
              <w:t>Component</w:t>
            </w:r>
          </w:p>
        </w:tc>
        <w:tc>
          <w:tcPr>
            <w:tcW w:type="dxa" w:w="3168"/>
            <w:shd w:fill="123447"/>
            <w:vAlign w:val="center"/>
            <w:tcMar>
              <w:top w:w="70" w:type="dxa"/>
              <w:start w:w="80" w:type="dxa"/>
              <w:bottom w:w="70" w:type="dxa"/>
              <w:end w:w="80" w:type="dxa"/>
            </w:tcMar>
          </w:tcPr>
          <w:p>
            <w:pPr>
              <w:jc w:val="left"/>
            </w:pPr>
            <w:r>
              <w:rPr>
                <w:b/>
                <w:color w:val="FFFFFF"/>
                <w:sz w:val="16"/>
              </w:rPr>
              <w:t>Initial provider</w:t>
            </w:r>
          </w:p>
        </w:tc>
        <w:tc>
          <w:tcPr>
            <w:tcW w:type="dxa" w:w="4392"/>
            <w:shd w:fill="123447"/>
            <w:vAlign w:val="center"/>
            <w:tcMar>
              <w:top w:w="70" w:type="dxa"/>
              <w:start w:w="80" w:type="dxa"/>
              <w:bottom w:w="70" w:type="dxa"/>
              <w:end w:w="80" w:type="dxa"/>
            </w:tcMar>
          </w:tcPr>
          <w:p>
            <w:pPr>
              <w:jc w:val="left"/>
            </w:pPr>
            <w:r>
              <w:rPr>
                <w:b/>
                <w:color w:val="FFFFFF"/>
                <w:sz w:val="16"/>
              </w:rPr>
              <w:t>Portability rule</w:t>
            </w:r>
          </w:p>
        </w:tc>
      </w:tr>
      <w:tr>
        <w:tc>
          <w:tcPr>
            <w:tcW w:type="dxa" w:w="2088"/>
            <w:vAlign w:val="top"/>
            <w:tcMar>
              <w:top w:w="70" w:type="dxa"/>
              <w:start w:w="80" w:type="dxa"/>
              <w:bottom w:w="70" w:type="dxa"/>
              <w:end w:w="80" w:type="dxa"/>
            </w:tcMar>
          </w:tcPr>
          <w:p>
            <w:pPr>
              <w:spacing w:after="0" w:before="0"/>
            </w:pPr>
            <w:r>
              <w:rPr>
                <w:sz w:val="16"/>
              </w:rPr>
              <w:t>Web</w:t>
            </w:r>
          </w:p>
        </w:tc>
        <w:tc>
          <w:tcPr>
            <w:tcW w:type="dxa" w:w="3168"/>
            <w:vAlign w:val="top"/>
            <w:tcMar>
              <w:top w:w="70" w:type="dxa"/>
              <w:start w:w="80" w:type="dxa"/>
              <w:bottom w:w="70" w:type="dxa"/>
              <w:end w:w="80" w:type="dxa"/>
            </w:tcMar>
          </w:tcPr>
          <w:p>
            <w:pPr>
              <w:spacing w:after="0" w:before="0"/>
            </w:pPr>
            <w:r>
              <w:rPr>
                <w:sz w:val="16"/>
              </w:rPr>
              <w:t>Vercel</w:t>
            </w:r>
          </w:p>
        </w:tc>
        <w:tc>
          <w:tcPr>
            <w:tcW w:type="dxa" w:w="4392"/>
            <w:vAlign w:val="top"/>
            <w:tcMar>
              <w:top w:w="70" w:type="dxa"/>
              <w:start w:w="80" w:type="dxa"/>
              <w:bottom w:w="70" w:type="dxa"/>
              <w:end w:w="80" w:type="dxa"/>
            </w:tcMar>
          </w:tcPr>
          <w:p>
            <w:pPr>
              <w:spacing w:after="0" w:before="0"/>
            </w:pPr>
            <w:r>
              <w:rPr>
                <w:sz w:val="16"/>
              </w:rPr>
              <w:t>No business logic dependent on Vercel-only database features.</w:t>
            </w:r>
          </w:p>
        </w:tc>
      </w:tr>
      <w:tr>
        <w:tc>
          <w:tcPr>
            <w:tcW w:type="dxa" w:w="2088"/>
            <w:vAlign w:val="top"/>
            <w:tcMar>
              <w:top w:w="70" w:type="dxa"/>
              <w:start w:w="80" w:type="dxa"/>
              <w:bottom w:w="70" w:type="dxa"/>
              <w:end w:w="80" w:type="dxa"/>
            </w:tcMar>
            <w:shd w:fill="F4F6F8"/>
          </w:tcPr>
          <w:p>
            <w:pPr>
              <w:spacing w:after="0" w:before="0"/>
            </w:pPr>
            <w:r>
              <w:rPr>
                <w:sz w:val="16"/>
              </w:rPr>
              <w:t>API/worker</w:t>
            </w:r>
          </w:p>
        </w:tc>
        <w:tc>
          <w:tcPr>
            <w:tcW w:type="dxa" w:w="3168"/>
            <w:vAlign w:val="top"/>
            <w:tcMar>
              <w:top w:w="70" w:type="dxa"/>
              <w:start w:w="80" w:type="dxa"/>
              <w:bottom w:w="70" w:type="dxa"/>
              <w:end w:w="80" w:type="dxa"/>
            </w:tcMar>
            <w:shd w:fill="F4F6F8"/>
          </w:tcPr>
          <w:p>
            <w:pPr>
              <w:spacing w:after="0" w:before="0"/>
            </w:pPr>
            <w:r>
              <w:rPr>
                <w:sz w:val="16"/>
              </w:rPr>
              <w:t>Render Docker services</w:t>
            </w:r>
          </w:p>
        </w:tc>
        <w:tc>
          <w:tcPr>
            <w:tcW w:type="dxa" w:w="4392"/>
            <w:vAlign w:val="top"/>
            <w:tcMar>
              <w:top w:w="70" w:type="dxa"/>
              <w:start w:w="80" w:type="dxa"/>
              <w:bottom w:w="70" w:type="dxa"/>
              <w:end w:w="80" w:type="dxa"/>
            </w:tcMar>
            <w:shd w:fill="F4F6F8"/>
          </w:tcPr>
          <w:p>
            <w:pPr>
              <w:spacing w:after="0" w:before="0"/>
            </w:pPr>
            <w:r>
              <w:rPr>
                <w:sz w:val="16"/>
              </w:rPr>
              <w:t>Containerised, health checks, graceful shutdown and external config.</w:t>
            </w:r>
          </w:p>
        </w:tc>
      </w:tr>
      <w:tr>
        <w:tc>
          <w:tcPr>
            <w:tcW w:type="dxa" w:w="2088"/>
            <w:vAlign w:val="top"/>
            <w:tcMar>
              <w:top w:w="70" w:type="dxa"/>
              <w:start w:w="80" w:type="dxa"/>
              <w:bottom w:w="70" w:type="dxa"/>
              <w:end w:w="80" w:type="dxa"/>
            </w:tcMar>
          </w:tcPr>
          <w:p>
            <w:pPr>
              <w:spacing w:after="0" w:before="0"/>
            </w:pPr>
            <w:r>
              <w:rPr>
                <w:sz w:val="16"/>
              </w:rPr>
              <w:t>PostgreSQL</w:t>
            </w:r>
          </w:p>
        </w:tc>
        <w:tc>
          <w:tcPr>
            <w:tcW w:type="dxa" w:w="3168"/>
            <w:vAlign w:val="top"/>
            <w:tcMar>
              <w:top w:w="70" w:type="dxa"/>
              <w:start w:w="80" w:type="dxa"/>
              <w:bottom w:w="70" w:type="dxa"/>
              <w:end w:w="80" w:type="dxa"/>
            </w:tcMar>
          </w:tcPr>
          <w:p>
            <w:pPr>
              <w:spacing w:after="0" w:before="0"/>
            </w:pPr>
            <w:r>
              <w:rPr>
                <w:sz w:val="16"/>
              </w:rPr>
              <w:t>Supabase</w:t>
            </w:r>
          </w:p>
        </w:tc>
        <w:tc>
          <w:tcPr>
            <w:tcW w:type="dxa" w:w="4392"/>
            <w:vAlign w:val="top"/>
            <w:tcMar>
              <w:top w:w="70" w:type="dxa"/>
              <w:start w:w="80" w:type="dxa"/>
              <w:bottom w:w="70" w:type="dxa"/>
              <w:end w:w="80" w:type="dxa"/>
            </w:tcMar>
          </w:tcPr>
          <w:p>
            <w:pPr>
              <w:spacing w:after="0" w:before="0"/>
            </w:pPr>
            <w:r>
              <w:rPr>
                <w:sz w:val="16"/>
              </w:rPr>
              <w:t>Standard PostgreSQL and migrations; no irreversible vendor-specific assumptions.</w:t>
            </w:r>
          </w:p>
        </w:tc>
      </w:tr>
      <w:tr>
        <w:tc>
          <w:tcPr>
            <w:tcW w:type="dxa" w:w="2088"/>
            <w:vAlign w:val="top"/>
            <w:tcMar>
              <w:top w:w="70" w:type="dxa"/>
              <w:start w:w="80" w:type="dxa"/>
              <w:bottom w:w="70" w:type="dxa"/>
              <w:end w:w="80" w:type="dxa"/>
            </w:tcMar>
            <w:shd w:fill="F4F6F8"/>
          </w:tcPr>
          <w:p>
            <w:pPr>
              <w:spacing w:after="0" w:before="0"/>
            </w:pPr>
            <w:r>
              <w:rPr>
                <w:sz w:val="16"/>
              </w:rPr>
              <w:t>Redis</w:t>
            </w:r>
          </w:p>
        </w:tc>
        <w:tc>
          <w:tcPr>
            <w:tcW w:type="dxa" w:w="3168"/>
            <w:vAlign w:val="top"/>
            <w:tcMar>
              <w:top w:w="70" w:type="dxa"/>
              <w:start w:w="80" w:type="dxa"/>
              <w:bottom w:w="70" w:type="dxa"/>
              <w:end w:w="80" w:type="dxa"/>
            </w:tcMar>
            <w:shd w:fill="F4F6F8"/>
          </w:tcPr>
          <w:p>
            <w:pPr>
              <w:spacing w:after="0" w:before="0"/>
            </w:pPr>
            <w:r>
              <w:rPr>
                <w:sz w:val="16"/>
              </w:rPr>
              <w:t>Upstash</w:t>
            </w:r>
          </w:p>
        </w:tc>
        <w:tc>
          <w:tcPr>
            <w:tcW w:type="dxa" w:w="4392"/>
            <w:vAlign w:val="top"/>
            <w:tcMar>
              <w:top w:w="70" w:type="dxa"/>
              <w:start w:w="80" w:type="dxa"/>
              <w:bottom w:w="70" w:type="dxa"/>
              <w:end w:w="80" w:type="dxa"/>
            </w:tcMar>
            <w:shd w:fill="F4F6F8"/>
          </w:tcPr>
          <w:p>
            <w:pPr>
              <w:spacing w:after="0" w:before="0"/>
            </w:pPr>
            <w:r>
              <w:rPr>
                <w:sz w:val="16"/>
              </w:rPr>
              <w:t>Standard Redis/BullMQ-compatible behavior with failure fallbacks.</w:t>
            </w:r>
          </w:p>
        </w:tc>
      </w:tr>
      <w:tr>
        <w:tc>
          <w:tcPr>
            <w:tcW w:type="dxa" w:w="2088"/>
            <w:vAlign w:val="top"/>
            <w:tcMar>
              <w:top w:w="70" w:type="dxa"/>
              <w:start w:w="80" w:type="dxa"/>
              <w:bottom w:w="70" w:type="dxa"/>
              <w:end w:w="80" w:type="dxa"/>
            </w:tcMar>
          </w:tcPr>
          <w:p>
            <w:pPr>
              <w:spacing w:after="0" w:before="0"/>
            </w:pPr>
            <w:r>
              <w:rPr>
                <w:sz w:val="16"/>
              </w:rPr>
              <w:t>Object storage</w:t>
            </w:r>
          </w:p>
        </w:tc>
        <w:tc>
          <w:tcPr>
            <w:tcW w:type="dxa" w:w="3168"/>
            <w:vAlign w:val="top"/>
            <w:tcMar>
              <w:top w:w="70" w:type="dxa"/>
              <w:start w:w="80" w:type="dxa"/>
              <w:bottom w:w="70" w:type="dxa"/>
              <w:end w:w="80" w:type="dxa"/>
            </w:tcMar>
          </w:tcPr>
          <w:p>
            <w:pPr>
              <w:spacing w:after="0" w:before="0"/>
            </w:pPr>
            <w:r>
              <w:rPr>
                <w:sz w:val="16"/>
              </w:rPr>
              <w:t>Tigris S3-compatible</w:t>
            </w:r>
          </w:p>
        </w:tc>
        <w:tc>
          <w:tcPr>
            <w:tcW w:type="dxa" w:w="4392"/>
            <w:vAlign w:val="top"/>
            <w:tcMar>
              <w:top w:w="70" w:type="dxa"/>
              <w:start w:w="80" w:type="dxa"/>
              <w:bottom w:w="70" w:type="dxa"/>
              <w:end w:w="80" w:type="dxa"/>
            </w:tcMar>
          </w:tcPr>
          <w:p>
            <w:pPr>
              <w:spacing w:after="0" w:before="0"/>
            </w:pPr>
            <w:r>
              <w:rPr>
                <w:sz w:val="16"/>
              </w:rPr>
              <w:t>AWS SDK interface and bucket abstraction.</w:t>
            </w:r>
          </w:p>
        </w:tc>
      </w:tr>
      <w:tr>
        <w:tc>
          <w:tcPr>
            <w:tcW w:type="dxa" w:w="2088"/>
            <w:vAlign w:val="top"/>
            <w:tcMar>
              <w:top w:w="70" w:type="dxa"/>
              <w:start w:w="80" w:type="dxa"/>
              <w:bottom w:w="70" w:type="dxa"/>
              <w:end w:w="80" w:type="dxa"/>
            </w:tcMar>
            <w:shd w:fill="F4F6F8"/>
          </w:tcPr>
          <w:p>
            <w:pPr>
              <w:spacing w:after="0" w:before="0"/>
            </w:pPr>
            <w:r>
              <w:rPr>
                <w:sz w:val="16"/>
              </w:rPr>
              <w:t>Mobile builds</w:t>
            </w:r>
          </w:p>
        </w:tc>
        <w:tc>
          <w:tcPr>
            <w:tcW w:type="dxa" w:w="3168"/>
            <w:vAlign w:val="top"/>
            <w:tcMar>
              <w:top w:w="70" w:type="dxa"/>
              <w:start w:w="80" w:type="dxa"/>
              <w:bottom w:w="70" w:type="dxa"/>
              <w:end w:w="80" w:type="dxa"/>
            </w:tcMar>
            <w:shd w:fill="F4F6F8"/>
          </w:tcPr>
          <w:p>
            <w:pPr>
              <w:spacing w:after="0" w:before="0"/>
            </w:pPr>
            <w:r>
              <w:rPr>
                <w:sz w:val="16"/>
              </w:rPr>
              <w:t>Expo prebuild / EAS or controlled native CI</w:t>
            </w:r>
          </w:p>
        </w:tc>
        <w:tc>
          <w:tcPr>
            <w:tcW w:type="dxa" w:w="4392"/>
            <w:vAlign w:val="top"/>
            <w:tcMar>
              <w:top w:w="70" w:type="dxa"/>
              <w:start w:w="80" w:type="dxa"/>
              <w:bottom w:w="70" w:type="dxa"/>
              <w:end w:w="80" w:type="dxa"/>
            </w:tcMar>
            <w:shd w:fill="F4F6F8"/>
          </w:tcPr>
          <w:p>
            <w:pPr>
              <w:spacing w:after="0" w:before="0"/>
            </w:pPr>
            <w:r>
              <w:rPr>
                <w:sz w:val="16"/>
              </w:rPr>
              <w:t>Source owns native config; Play release keys controlled by Go Digital organization.</w:t>
            </w:r>
          </w:p>
        </w:tc>
      </w:tr>
      <w:tr>
        <w:tc>
          <w:tcPr>
            <w:tcW w:type="dxa" w:w="2088"/>
            <w:vAlign w:val="top"/>
            <w:tcMar>
              <w:top w:w="70" w:type="dxa"/>
              <w:start w:w="80" w:type="dxa"/>
              <w:bottom w:w="70" w:type="dxa"/>
              <w:end w:w="80" w:type="dxa"/>
            </w:tcMar>
          </w:tcPr>
          <w:p>
            <w:pPr>
              <w:spacing w:after="0" w:before="0"/>
            </w:pPr>
            <w:r>
              <w:rPr>
                <w:sz w:val="16"/>
              </w:rPr>
              <w:t>Monitoring</w:t>
            </w:r>
          </w:p>
        </w:tc>
        <w:tc>
          <w:tcPr>
            <w:tcW w:type="dxa" w:w="3168"/>
            <w:vAlign w:val="top"/>
            <w:tcMar>
              <w:top w:w="70" w:type="dxa"/>
              <w:start w:w="80" w:type="dxa"/>
              <w:bottom w:w="70" w:type="dxa"/>
              <w:end w:w="80" w:type="dxa"/>
            </w:tcMar>
          </w:tcPr>
          <w:p>
            <w:pPr>
              <w:spacing w:after="0" w:before="0"/>
            </w:pPr>
            <w:r>
              <w:rPr>
                <w:sz w:val="16"/>
              </w:rPr>
              <w:t>Sentry + logs + uptime monitor</w:t>
            </w:r>
          </w:p>
        </w:tc>
        <w:tc>
          <w:tcPr>
            <w:tcW w:type="dxa" w:w="4392"/>
            <w:vAlign w:val="top"/>
            <w:tcMar>
              <w:top w:w="70" w:type="dxa"/>
              <w:start w:w="80" w:type="dxa"/>
              <w:bottom w:w="70" w:type="dxa"/>
              <w:end w:w="80" w:type="dxa"/>
            </w:tcMar>
          </w:tcPr>
          <w:p>
            <w:pPr>
              <w:spacing w:after="0" w:before="0"/>
            </w:pPr>
            <w:r>
              <w:rPr>
                <w:sz w:val="16"/>
              </w:rPr>
              <w:t>Exportable dashboards/runbooks and correlation IDs.</w:t>
            </w:r>
          </w:p>
        </w:tc>
      </w:tr>
    </w:tbl>
    <w:p>
      <w:pPr>
        <w:spacing w:after="0"/>
      </w:pPr>
    </w:p>
    <w:p>
      <w:pPr>
        <w:pStyle w:val="Heading2"/>
        <w:keepNext/>
      </w:pPr>
      <w:r>
        <w:t>23.3 Cost boundaries</w:t>
      </w:r>
    </w:p>
    <w:p>
      <w:pPr>
        <w:pStyle w:val="ListBullet"/>
        <w:spacing w:after="40"/>
      </w:pPr>
      <w:r>
        <w:t>Core hosting, database, Redis, storage, maps, monitoring and app-build plans are selected per pilot load and availability requirements.</w:t>
      </w:r>
    </w:p>
    <w:p>
      <w:pPr>
        <w:pStyle w:val="ListBullet"/>
        <w:spacing w:after="40"/>
      </w:pPr>
      <w:r>
        <w:t>Telephony, WhatsApp, email, SMS, Google Maps and other provider usage are variable costs owned by the client or separately contracted.</w:t>
      </w:r>
    </w:p>
    <w:p>
      <w:pPr>
        <w:pStyle w:val="ListBullet"/>
        <w:spacing w:after="40"/>
      </w:pPr>
      <w:r>
        <w:t>No fixed provider price is embedded in the PRD. Pricing, taxes, quotas, free tiers and policy must be refreshed during procurement and before each commercial proposal.</w:t>
      </w:r>
    </w:p>
    <w:p>
      <w:pPr>
        <w:pStyle w:val="ListBullet"/>
        <w:spacing w:after="40"/>
      </w:pPr>
      <w:r>
        <w:t>Production should not depend on free sleeping backend infrastructure when a 2–5 second lead-delivery target is promised.</w:t>
      </w:r>
    </w:p>
    <w:p>
      <w:pPr>
        <w:pStyle w:val="Heading2"/>
        <w:keepNext/>
      </w:pPr>
      <w:r>
        <w:t>23.4 AWS migration mapping</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376"/>
            <w:shd w:fill="123447"/>
            <w:vAlign w:val="center"/>
            <w:tcMar>
              <w:top w:w="70" w:type="dxa"/>
              <w:start w:w="80" w:type="dxa"/>
              <w:bottom w:w="70" w:type="dxa"/>
              <w:end w:w="80" w:type="dxa"/>
            </w:tcMar>
          </w:tcPr>
          <w:p>
            <w:pPr>
              <w:jc w:val="left"/>
            </w:pPr>
            <w:r>
              <w:rPr>
                <w:b/>
                <w:color w:val="FFFFFF"/>
                <w:sz w:val="16"/>
              </w:rPr>
              <w:t>Current</w:t>
            </w:r>
          </w:p>
        </w:tc>
        <w:tc>
          <w:tcPr>
            <w:tcW w:type="dxa" w:w="3384"/>
            <w:shd w:fill="123447"/>
            <w:vAlign w:val="center"/>
            <w:tcMar>
              <w:top w:w="70" w:type="dxa"/>
              <w:start w:w="80" w:type="dxa"/>
              <w:bottom w:w="70" w:type="dxa"/>
              <w:end w:w="80" w:type="dxa"/>
            </w:tcMar>
          </w:tcPr>
          <w:p>
            <w:pPr>
              <w:jc w:val="left"/>
            </w:pPr>
            <w:r>
              <w:rPr>
                <w:b/>
                <w:color w:val="FFFFFF"/>
                <w:sz w:val="16"/>
              </w:rPr>
              <w:t>AWS target</w:t>
            </w:r>
          </w:p>
        </w:tc>
        <w:tc>
          <w:tcPr>
            <w:tcW w:type="dxa" w:w="3888"/>
            <w:shd w:fill="123447"/>
            <w:vAlign w:val="center"/>
            <w:tcMar>
              <w:top w:w="70" w:type="dxa"/>
              <w:start w:w="80" w:type="dxa"/>
              <w:bottom w:w="70" w:type="dxa"/>
              <w:end w:w="80" w:type="dxa"/>
            </w:tcMar>
          </w:tcPr>
          <w:p>
            <w:pPr>
              <w:jc w:val="left"/>
            </w:pPr>
            <w:r>
              <w:rPr>
                <w:b/>
                <w:color w:val="FFFFFF"/>
                <w:sz w:val="16"/>
              </w:rPr>
              <w:t>Code-change expectation</w:t>
            </w:r>
          </w:p>
        </w:tc>
      </w:tr>
      <w:tr>
        <w:tc>
          <w:tcPr>
            <w:tcW w:type="dxa" w:w="2376"/>
            <w:vAlign w:val="top"/>
            <w:tcMar>
              <w:top w:w="70" w:type="dxa"/>
              <w:start w:w="80" w:type="dxa"/>
              <w:bottom w:w="70" w:type="dxa"/>
              <w:end w:w="80" w:type="dxa"/>
            </w:tcMar>
          </w:tcPr>
          <w:p>
            <w:pPr>
              <w:spacing w:after="0" w:before="0"/>
            </w:pPr>
            <w:r>
              <w:rPr>
                <w:sz w:val="16"/>
              </w:rPr>
              <w:t>Vercel Next.js</w:t>
            </w:r>
          </w:p>
        </w:tc>
        <w:tc>
          <w:tcPr>
            <w:tcW w:type="dxa" w:w="3384"/>
            <w:vAlign w:val="top"/>
            <w:tcMar>
              <w:top w:w="70" w:type="dxa"/>
              <w:start w:w="80" w:type="dxa"/>
              <w:bottom w:w="70" w:type="dxa"/>
              <w:end w:w="80" w:type="dxa"/>
            </w:tcMar>
          </w:tcPr>
          <w:p>
            <w:pPr>
              <w:spacing w:after="0" w:before="0"/>
            </w:pPr>
            <w:r>
              <w:rPr>
                <w:sz w:val="16"/>
              </w:rPr>
              <w:t>AWS Amplify/CloudFront + ECS/Lambda as selected</w:t>
            </w:r>
          </w:p>
        </w:tc>
        <w:tc>
          <w:tcPr>
            <w:tcW w:type="dxa" w:w="3888"/>
            <w:vAlign w:val="top"/>
            <w:tcMar>
              <w:top w:w="70" w:type="dxa"/>
              <w:start w:w="80" w:type="dxa"/>
              <w:bottom w:w="70" w:type="dxa"/>
              <w:end w:w="80" w:type="dxa"/>
            </w:tcMar>
          </w:tcPr>
          <w:p>
            <w:pPr>
              <w:spacing w:after="0" w:before="0"/>
            </w:pPr>
            <w:r>
              <w:rPr>
                <w:sz w:val="16"/>
              </w:rPr>
              <w:t>Deployment/config changes; preserve web contracts.</w:t>
            </w:r>
          </w:p>
        </w:tc>
      </w:tr>
      <w:tr>
        <w:tc>
          <w:tcPr>
            <w:tcW w:type="dxa" w:w="2376"/>
            <w:vAlign w:val="top"/>
            <w:tcMar>
              <w:top w:w="70" w:type="dxa"/>
              <w:start w:w="80" w:type="dxa"/>
              <w:bottom w:w="70" w:type="dxa"/>
              <w:end w:w="80" w:type="dxa"/>
            </w:tcMar>
            <w:shd w:fill="F4F6F8"/>
          </w:tcPr>
          <w:p>
            <w:pPr>
              <w:spacing w:after="0" w:before="0"/>
            </w:pPr>
            <w:r>
              <w:rPr>
                <w:sz w:val="16"/>
              </w:rPr>
              <w:t>Render API/worker</w:t>
            </w:r>
          </w:p>
        </w:tc>
        <w:tc>
          <w:tcPr>
            <w:tcW w:type="dxa" w:w="3384"/>
            <w:vAlign w:val="top"/>
            <w:tcMar>
              <w:top w:w="70" w:type="dxa"/>
              <w:start w:w="80" w:type="dxa"/>
              <w:bottom w:w="70" w:type="dxa"/>
              <w:end w:w="80" w:type="dxa"/>
            </w:tcMar>
            <w:shd w:fill="F4F6F8"/>
          </w:tcPr>
          <w:p>
            <w:pPr>
              <w:spacing w:after="0" w:before="0"/>
            </w:pPr>
            <w:r>
              <w:rPr>
                <w:sz w:val="16"/>
              </w:rPr>
              <w:t>ECS Fargate/EKS</w:t>
            </w:r>
          </w:p>
        </w:tc>
        <w:tc>
          <w:tcPr>
            <w:tcW w:type="dxa" w:w="3888"/>
            <w:vAlign w:val="top"/>
            <w:tcMar>
              <w:top w:w="70" w:type="dxa"/>
              <w:start w:w="80" w:type="dxa"/>
              <w:bottom w:w="70" w:type="dxa"/>
              <w:end w:w="80" w:type="dxa"/>
            </w:tcMar>
            <w:shd w:fill="F4F6F8"/>
          </w:tcPr>
          <w:p>
            <w:pPr>
              <w:spacing w:after="0" w:before="0"/>
            </w:pPr>
            <w:r>
              <w:rPr>
                <w:sz w:val="16"/>
              </w:rPr>
              <w:t>Container and infrastructure changes; domain code unchanged.</w:t>
            </w:r>
          </w:p>
        </w:tc>
      </w:tr>
      <w:tr>
        <w:tc>
          <w:tcPr>
            <w:tcW w:type="dxa" w:w="2376"/>
            <w:vAlign w:val="top"/>
            <w:tcMar>
              <w:top w:w="70" w:type="dxa"/>
              <w:start w:w="80" w:type="dxa"/>
              <w:bottom w:w="70" w:type="dxa"/>
              <w:end w:w="80" w:type="dxa"/>
            </w:tcMar>
          </w:tcPr>
          <w:p>
            <w:pPr>
              <w:spacing w:after="0" w:before="0"/>
            </w:pPr>
            <w:r>
              <w:rPr>
                <w:sz w:val="16"/>
              </w:rPr>
              <w:t>Supabase PostgreSQL</w:t>
            </w:r>
          </w:p>
        </w:tc>
        <w:tc>
          <w:tcPr>
            <w:tcW w:type="dxa" w:w="3384"/>
            <w:vAlign w:val="top"/>
            <w:tcMar>
              <w:top w:w="70" w:type="dxa"/>
              <w:start w:w="80" w:type="dxa"/>
              <w:bottom w:w="70" w:type="dxa"/>
              <w:end w:w="80" w:type="dxa"/>
            </w:tcMar>
          </w:tcPr>
          <w:p>
            <w:pPr>
              <w:spacing w:after="0" w:before="0"/>
            </w:pPr>
            <w:r>
              <w:rPr>
                <w:sz w:val="16"/>
              </w:rPr>
              <w:t>Amazon RDS/Aurora PostgreSQL</w:t>
            </w:r>
          </w:p>
        </w:tc>
        <w:tc>
          <w:tcPr>
            <w:tcW w:type="dxa" w:w="3888"/>
            <w:vAlign w:val="top"/>
            <w:tcMar>
              <w:top w:w="70" w:type="dxa"/>
              <w:start w:w="80" w:type="dxa"/>
              <w:bottom w:w="70" w:type="dxa"/>
              <w:end w:w="80" w:type="dxa"/>
            </w:tcMar>
          </w:tcPr>
          <w:p>
            <w:pPr>
              <w:spacing w:after="0" w:before="0"/>
            </w:pPr>
            <w:r>
              <w:rPr>
                <w:sz w:val="16"/>
              </w:rPr>
              <w:t>Migration, extensions and connection tuning; Drizzle schema retained.</w:t>
            </w:r>
          </w:p>
        </w:tc>
      </w:tr>
      <w:tr>
        <w:tc>
          <w:tcPr>
            <w:tcW w:type="dxa" w:w="2376"/>
            <w:vAlign w:val="top"/>
            <w:tcMar>
              <w:top w:w="70" w:type="dxa"/>
              <w:start w:w="80" w:type="dxa"/>
              <w:bottom w:w="70" w:type="dxa"/>
              <w:end w:w="80" w:type="dxa"/>
            </w:tcMar>
            <w:shd w:fill="F4F6F8"/>
          </w:tcPr>
          <w:p>
            <w:pPr>
              <w:spacing w:after="0" w:before="0"/>
            </w:pPr>
            <w:r>
              <w:rPr>
                <w:sz w:val="16"/>
              </w:rPr>
              <w:t>Upstash Redis</w:t>
            </w:r>
          </w:p>
        </w:tc>
        <w:tc>
          <w:tcPr>
            <w:tcW w:type="dxa" w:w="3384"/>
            <w:vAlign w:val="top"/>
            <w:tcMar>
              <w:top w:w="70" w:type="dxa"/>
              <w:start w:w="80" w:type="dxa"/>
              <w:bottom w:w="70" w:type="dxa"/>
              <w:end w:w="80" w:type="dxa"/>
            </w:tcMar>
            <w:shd w:fill="F4F6F8"/>
          </w:tcPr>
          <w:p>
            <w:pPr>
              <w:spacing w:after="0" w:before="0"/>
            </w:pPr>
            <w:r>
              <w:rPr>
                <w:sz w:val="16"/>
              </w:rPr>
              <w:t>ElastiCache/MemoryDB</w:t>
            </w:r>
          </w:p>
        </w:tc>
        <w:tc>
          <w:tcPr>
            <w:tcW w:type="dxa" w:w="3888"/>
            <w:vAlign w:val="top"/>
            <w:tcMar>
              <w:top w:w="70" w:type="dxa"/>
              <w:start w:w="80" w:type="dxa"/>
              <w:bottom w:w="70" w:type="dxa"/>
              <w:end w:w="80" w:type="dxa"/>
            </w:tcMar>
            <w:shd w:fill="F4F6F8"/>
          </w:tcPr>
          <w:p>
            <w:pPr>
              <w:spacing w:after="0" w:before="0"/>
            </w:pPr>
            <w:r>
              <w:rPr>
                <w:sz w:val="16"/>
              </w:rPr>
              <w:t>Connection/config and queue tuning.</w:t>
            </w:r>
          </w:p>
        </w:tc>
      </w:tr>
      <w:tr>
        <w:tc>
          <w:tcPr>
            <w:tcW w:type="dxa" w:w="2376"/>
            <w:vAlign w:val="top"/>
            <w:tcMar>
              <w:top w:w="70" w:type="dxa"/>
              <w:start w:w="80" w:type="dxa"/>
              <w:bottom w:w="70" w:type="dxa"/>
              <w:end w:w="80" w:type="dxa"/>
            </w:tcMar>
          </w:tcPr>
          <w:p>
            <w:pPr>
              <w:spacing w:after="0" w:before="0"/>
            </w:pPr>
            <w:r>
              <w:rPr>
                <w:sz w:val="16"/>
              </w:rPr>
              <w:t>Tigris</w:t>
            </w:r>
          </w:p>
        </w:tc>
        <w:tc>
          <w:tcPr>
            <w:tcW w:type="dxa" w:w="3384"/>
            <w:vAlign w:val="top"/>
            <w:tcMar>
              <w:top w:w="70" w:type="dxa"/>
              <w:start w:w="80" w:type="dxa"/>
              <w:bottom w:w="70" w:type="dxa"/>
              <w:end w:w="80" w:type="dxa"/>
            </w:tcMar>
          </w:tcPr>
          <w:p>
            <w:pPr>
              <w:spacing w:after="0" w:before="0"/>
            </w:pPr>
            <w:r>
              <w:rPr>
                <w:sz w:val="16"/>
              </w:rPr>
              <w:t>Amazon S3</w:t>
            </w:r>
          </w:p>
        </w:tc>
        <w:tc>
          <w:tcPr>
            <w:tcW w:type="dxa" w:w="3888"/>
            <w:vAlign w:val="top"/>
            <w:tcMar>
              <w:top w:w="70" w:type="dxa"/>
              <w:start w:w="80" w:type="dxa"/>
              <w:bottom w:w="70" w:type="dxa"/>
              <w:end w:w="80" w:type="dxa"/>
            </w:tcMar>
          </w:tcPr>
          <w:p>
            <w:pPr>
              <w:spacing w:after="0" w:before="0"/>
            </w:pPr>
            <w:r>
              <w:rPr>
                <w:sz w:val="16"/>
              </w:rPr>
              <w:t>Endpoint/credentials and data migration through same S3 adapter.</w:t>
            </w:r>
          </w:p>
        </w:tc>
      </w:tr>
      <w:tr>
        <w:tc>
          <w:tcPr>
            <w:tcW w:type="dxa" w:w="2376"/>
            <w:vAlign w:val="top"/>
            <w:tcMar>
              <w:top w:w="70" w:type="dxa"/>
              <w:start w:w="80" w:type="dxa"/>
              <w:bottom w:w="70" w:type="dxa"/>
              <w:end w:w="80" w:type="dxa"/>
            </w:tcMar>
            <w:shd w:fill="F4F6F8"/>
          </w:tcPr>
          <w:p>
            <w:pPr>
              <w:spacing w:after="0" w:before="0"/>
            </w:pPr>
            <w:r>
              <w:rPr>
                <w:sz w:val="16"/>
              </w:rPr>
              <w:t>Sentry/logs</w:t>
            </w:r>
          </w:p>
        </w:tc>
        <w:tc>
          <w:tcPr>
            <w:tcW w:type="dxa" w:w="3384"/>
            <w:vAlign w:val="top"/>
            <w:tcMar>
              <w:top w:w="70" w:type="dxa"/>
              <w:start w:w="80" w:type="dxa"/>
              <w:bottom w:w="70" w:type="dxa"/>
              <w:end w:w="80" w:type="dxa"/>
            </w:tcMar>
            <w:shd w:fill="F4F6F8"/>
          </w:tcPr>
          <w:p>
            <w:pPr>
              <w:spacing w:after="0" w:before="0"/>
            </w:pPr>
            <w:r>
              <w:rPr>
                <w:sz w:val="16"/>
              </w:rPr>
              <w:t>CloudWatch/X-Ray/OpenTelemetry platform</w:t>
            </w:r>
          </w:p>
        </w:tc>
        <w:tc>
          <w:tcPr>
            <w:tcW w:type="dxa" w:w="3888"/>
            <w:vAlign w:val="top"/>
            <w:tcMar>
              <w:top w:w="70" w:type="dxa"/>
              <w:start w:w="80" w:type="dxa"/>
              <w:bottom w:w="70" w:type="dxa"/>
              <w:end w:w="80" w:type="dxa"/>
            </w:tcMar>
            <w:shd w:fill="F4F6F8"/>
          </w:tcPr>
          <w:p>
            <w:pPr>
              <w:spacing w:after="0" w:before="0"/>
            </w:pPr>
            <w:r>
              <w:rPr>
                <w:sz w:val="16"/>
              </w:rPr>
              <w:t>Observability exporter/config changes.</w:t>
            </w:r>
          </w:p>
        </w:tc>
      </w:tr>
    </w:tbl>
    <w:p>
      <w:pPr>
        <w:spacing w:after="0"/>
      </w:pPr>
    </w:p>
    <w:p>
      <w:r>
        <w:br w:type="page"/>
      </w:r>
    </w:p>
    <w:p>
      <w:pPr>
        <w:pStyle w:val="Heading1"/>
        <w:keepNext/>
      </w:pPr>
      <w:r>
        <w:t>24. Repository and Directory Structure</w:t>
      </w:r>
    </w:p>
    <w:p>
      <w:pPr>
        <w:pStyle w:val="NoSpacing"/>
      </w:pPr>
      <w:r>
        <w:rPr>
          <w:rFonts w:ascii="Liberation Mono" w:hAnsi="Liberation Mono"/>
          <w:sz w:val="16"/>
        </w:rPr>
        <w:t>automobile-crm/</w:t>
        <w:br/>
        <w:t>├── apps/</w:t>
        <w:br/>
        <w:t>│   ├── web/              # Next.js + shadcn/ui web dashboard</w:t>
        <w:br/>
        <w:t>│   ├── mobile/           # React Native/Expo Android app</w:t>
        <w:br/>
        <w:t>│   ├── api/              # NestJS REST API</w:t>
        <w:br/>
        <w:t>│   └── worker/           # BullMQ jobs and schedules</w:t>
        <w:br/>
        <w:t>├── packages/</w:t>
        <w:br/>
        <w:t>│   ├── contracts/        # API/domain DTO contracts</w:t>
        <w:br/>
        <w:t>│   ├── validation/       # Zod schemas and normalizers</w:t>
        <w:br/>
        <w:t>│   ├── database/         # Drizzle schema/migrations/seeds</w:t>
        <w:br/>
        <w:t>│   ├── permissions/      # RBAC/ABAC policies</w:t>
        <w:br/>
        <w:t>│   ├── workflows/        # State machines and transition rules</w:t>
        <w:br/>
        <w:t>│   ├── design-tokens/    # Shared semantic tokens only</w:t>
        <w:br/>
        <w:t>│   ├── web-ui/           # Project-owned shadcn web components</w:t>
        <w:br/>
        <w:t>│   ├── mobile-ui/        # Project-owned native primitives</w:t>
        <w:br/>
        <w:t>│   ├── integrations/</w:t>
        <w:br/>
        <w:t>│   │   ├── meta-leads/</w:t>
        <w:br/>
        <w:t>│   │   ├── whatsapp/</w:t>
        <w:br/>
        <w:t>│   │   ├── google-ads/</w:t>
        <w:br/>
        <w:t>│   │   ├── google-business-profile/</w:t>
        <w:br/>
        <w:t>│   │   ├── telephony/</w:t>
        <w:br/>
        <w:t>│   │   ├── email/</w:t>
        <w:br/>
        <w:t>│   │   └── sms/</w:t>
        <w:br/>
        <w:t>│   ├── object-storage/</w:t>
        <w:br/>
        <w:t>│   ├── observability/</w:t>
        <w:br/>
        <w:t>│   └── config/</w:t>
        <w:br/>
        <w:t>├── infrastructure/</w:t>
        <w:br/>
        <w:t>│   ├── docker/</w:t>
        <w:br/>
        <w:t>│   ├── render/</w:t>
        <w:br/>
        <w:t>│   ├── vercel/</w:t>
        <w:br/>
        <w:t>│   ├── local/</w:t>
        <w:br/>
        <w:t>│   └── aws/</w:t>
        <w:br/>
        <w:t>└── docs/</w:t>
        <w:br/>
        <w:t xml:space="preserve">    ├── api/</w:t>
        <w:br/>
        <w:t xml:space="preserve">    ├── role-flows/</w:t>
        <w:br/>
        <w:t xml:space="preserve">    ├── integration-guides/</w:t>
        <w:br/>
        <w:t xml:space="preserve">    ├── app-approval/</w:t>
        <w:br/>
        <w:t xml:space="preserve">    ├── runbooks/</w:t>
        <w:br/>
        <w:t xml:space="preserve">    └── adr/</w:t>
      </w:r>
    </w:p>
    <w:p>
      <w:pPr>
        <w:pStyle w:val="Heading2"/>
        <w:keepNext/>
      </w:pPr>
      <w:r>
        <w:t>24.1 NestJS modules</w:t>
      </w:r>
    </w:p>
    <w:p>
      <w:pPr>
        <w:spacing w:after="100"/>
      </w:pPr>
      <w:r>
        <w:t>auth, tenancy, clients, branches, users, permissions, contacts, leads, assignments, activities, followups, telephony, inbox, test-rides, vehicle-catalog, inventory, reservations, allocations, bookings, approvals, payments, finance, deliveries, registrations, customer-vehicles, reminders, files, integrations, webhooks, reports, audit, notifications, privacy, incidents and health.</w:t>
      </w:r>
    </w:p>
    <w:p>
      <w:pPr>
        <w:pStyle w:val="Heading1"/>
        <w:keepNext/>
      </w:pPr>
      <w:r>
        <w:t>25. Testing, Release Gates and Acceptance Criteria</w:t>
      </w:r>
    </w:p>
    <w:p>
      <w:pPr>
        <w:pStyle w:val="Heading2"/>
        <w:keepNext/>
      </w:pPr>
      <w:r>
        <w:t>25.1 Test layers</w:t>
      </w:r>
    </w:p>
    <w:p>
      <w:pPr>
        <w:pStyle w:val="ListBullet"/>
        <w:spacing w:after="40"/>
      </w:pPr>
      <w:r>
        <w:t>Unit: state transitions, source mapping, normalisation, duplicate rules, assignment, reservation/allocation, payment calculations, permissions and template selection.</w:t>
      </w:r>
    </w:p>
    <w:p>
      <w:pPr>
        <w:pStyle w:val="ListBullet"/>
        <w:spacing w:after="40"/>
      </w:pPr>
      <w:r>
        <w:t>Integration: PostgreSQL constraints, outbox/queues, signed uploads, provider adapters, webhook signatures/idempotency and encrypted connection storage.</w:t>
      </w:r>
    </w:p>
    <w:p>
      <w:pPr>
        <w:pStyle w:val="ListBullet"/>
        <w:spacing w:after="40"/>
      </w:pPr>
      <w:r>
        <w:t>Contract: Meta/WhatsApp, telephony, GBP, Google Ads, email/SMS, maps and storage fixtures/mocks.</w:t>
      </w:r>
    </w:p>
    <w:p>
      <w:pPr>
        <w:pStyle w:val="ListBullet"/>
        <w:spacing w:after="40"/>
      </w:pPr>
      <w:r>
        <w:t>End-to-end web/mobile: every role flow, lead lifecycle, test ride, stock allocation, booking, billing, delivery, RC and reminders.</w:t>
      </w:r>
    </w:p>
    <w:p>
      <w:pPr>
        <w:pStyle w:val="ListBullet"/>
        <w:spacing w:after="40"/>
      </w:pPr>
      <w:r>
        <w:t>Security: tenant isolation, privilege escalation, support elevation, token revocation, signed URL ownership, webhook replay and export controls.</w:t>
      </w:r>
    </w:p>
    <w:p>
      <w:pPr>
        <w:pStyle w:val="ListBullet"/>
        <w:spacing w:after="40"/>
      </w:pPr>
      <w:r>
        <w:t>Performance: 75 concurrent requests, webhook bursts, active location updates, inbox lists, reservation expiry and report exports.</w:t>
      </w:r>
    </w:p>
    <w:p>
      <w:pPr>
        <w:pStyle w:val="ListBullet"/>
        <w:spacing w:after="40"/>
      </w:pPr>
      <w:r>
        <w:t>Recovery: database restore, dead-letter replay, provider reconciliation, object inventory and audit continuity.</w:t>
      </w:r>
    </w:p>
    <w:p>
      <w:pPr>
        <w:pStyle w:val="ListBullet"/>
        <w:spacing w:after="40"/>
      </w:pPr>
      <w:r>
        <w:t>Accessibility: keyboard/focus/screen-reader checks for web and touch/permission disclosure checks for mobile.</w:t>
      </w:r>
    </w:p>
    <w:p>
      <w:pPr>
        <w:pStyle w:val="Heading2"/>
        <w:keepNext/>
      </w:pPr>
      <w:r>
        <w:t>25.2 Mandatory release acceptance</w:t>
      </w:r>
    </w:p>
    <w:p>
      <w:pPr>
        <w:pStyle w:val="ListNumber"/>
        <w:spacing w:after="40"/>
      </w:pPr>
      <w:r>
        <w:t>All six lead sources create correctly attributed or explicitly Unknown opportunities and do not duplicate provider events.</w:t>
      </w:r>
    </w:p>
    <w:p>
      <w:pPr>
        <w:pStyle w:val="ListNumber"/>
        <w:spacing w:after="40"/>
      </w:pPr>
      <w:r>
        <w:t>WhatsApp Ads create an opportunity on the first inbound message and retain referral metadata when supplied.</w:t>
      </w:r>
    </w:p>
    <w:p>
      <w:pPr>
        <w:pStyle w:val="ListNumber"/>
        <w:spacing w:after="40"/>
      </w:pPr>
      <w:r>
        <w:t>Rejected/Lost reasons are mandatory, retained, searchable and reopenable with history.</w:t>
      </w:r>
    </w:p>
    <w:p>
      <w:pPr>
        <w:pStyle w:val="ListNumber"/>
        <w:spacing w:after="40"/>
      </w:pPr>
      <w:r>
        <w:t>Role/object scope is enforced: Sales sees assigned leads; ride/delivery users see assigned jobs; cross-tenant tests pass.</w:t>
      </w:r>
    </w:p>
    <w:p>
      <w:pPr>
        <w:pStyle w:val="ListNumber"/>
        <w:spacing w:after="40"/>
      </w:pPr>
      <w:r>
        <w:t>First-response SLA warning, breach and escalation work across business hours and reassignment.</w:t>
      </w:r>
    </w:p>
    <w:p>
      <w:pPr>
        <w:pStyle w:val="ListNumber"/>
        <w:spacing w:after="40"/>
      </w:pPr>
      <w:r>
        <w:t>Test Ride Executive can start/stop tracking; the manager sees a stale-aware active map; no off-duty points are collected.</w:t>
      </w:r>
    </w:p>
    <w:p>
      <w:pPr>
        <w:pStyle w:val="ListNumber"/>
        <w:spacing w:after="40"/>
      </w:pPr>
      <w:r>
        <w:t>Inventory prevents double reservation/allocation and safely releases expired/cancelled reservations.</w:t>
      </w:r>
    </w:p>
    <w:p>
      <w:pPr>
        <w:pStyle w:val="ListNumber"/>
        <w:spacing w:after="40"/>
      </w:pPr>
      <w:r>
        <w:t>Booking supports full, partial, finance, installment and mixed tracking with references, verifier and audit.</w:t>
      </w:r>
    </w:p>
    <w:p>
      <w:pPr>
        <w:pStyle w:val="ListNumber"/>
        <w:spacing w:after="40"/>
      </w:pPr>
      <w:r>
        <w:t>Delivery readiness gate blocks incomplete jobs unless an authorised exception is recorded.</w:t>
      </w:r>
    </w:p>
    <w:p>
      <w:pPr>
        <w:pStyle w:val="ListNumber"/>
        <w:spacing w:after="40"/>
      </w:pPr>
      <w:r>
        <w:t>Delivery captures checklist, OTP/signature/photo as configured and stops tracking on every terminal state.</w:t>
      </w:r>
    </w:p>
    <w:p>
      <w:pPr>
        <w:pStyle w:val="ListNumber"/>
        <w:spacing w:after="40"/>
      </w:pPr>
      <w:r>
        <w:t>RC remains a parallel process after delivery and supports secure customer sharing and aging escalation.</w:t>
      </w:r>
    </w:p>
    <w:p>
      <w:pPr>
        <w:pStyle w:val="ListNumber"/>
        <w:spacing w:after="40"/>
      </w:pPr>
      <w:r>
        <w:t>Unified inbox preserves one customer timeline while process owners change.</w:t>
      </w:r>
    </w:p>
    <w:p>
      <w:pPr>
        <w:pStyle w:val="ListNumber"/>
        <w:spacing w:after="40"/>
      </w:pPr>
      <w:r>
        <w:t>Customer Vehicle supports purchased-from-us and external ownership plus configurable reminder plans.</w:t>
      </w:r>
    </w:p>
    <w:p>
      <w:pPr>
        <w:pStyle w:val="ListNumber"/>
        <w:spacing w:after="40"/>
      </w:pPr>
      <w:r>
        <w:t>WhatsApp, GBP, Google Ads and telephony failures appear in operational dashboards and retry safely.</w:t>
      </w:r>
    </w:p>
    <w:p>
      <w:pPr>
        <w:pStyle w:val="ListNumber"/>
        <w:spacing w:after="40"/>
      </w:pPr>
      <w:r>
        <w:t>Web uses only project-owned shadcn/ui components; no competing UI library is present in dependencies.</w:t>
      </w:r>
    </w:p>
    <w:p>
      <w:pPr>
        <w:pStyle w:val="ListNumber"/>
        <w:spacing w:after="40"/>
      </w:pPr>
      <w:r>
        <w:t>Android targets the current Play requirement, passes permission/disclosure tests and is accepted in production or approved internal distribution path.</w:t>
      </w:r>
    </w:p>
    <w:p>
      <w:pPr>
        <w:pStyle w:val="ListNumber"/>
        <w:spacing w:after="40"/>
      </w:pPr>
      <w:r>
        <w:t>Meta/WhatsApp production permissions and at least one client WABA pilot are approved.</w:t>
      </w:r>
    </w:p>
    <w:p>
      <w:pPr>
        <w:pStyle w:val="ListNumber"/>
        <w:spacing w:after="40"/>
      </w:pPr>
      <w:r>
        <w:t>GBP API access is approved or feature-flagged as unavailable; Pub/Sub/reconciliation tests pass.</w:t>
      </w:r>
    </w:p>
    <w:p>
      <w:pPr>
        <w:pStyle w:val="ListNumber"/>
        <w:spacing w:after="40"/>
      </w:pPr>
      <w:r>
        <w:t>DPDP/privacy, DLT/telecom, retention and incident checklists receive client/legal sign-off.</w:t>
      </w:r>
    </w:p>
    <w:p>
      <w:pPr>
        <w:pStyle w:val="ListNumber"/>
        <w:spacing w:after="40"/>
      </w:pPr>
      <w:r>
        <w:t>Restore, load, security, audit and pilot-user acceptance gates pass.</w:t>
      </w:r>
    </w:p>
    <w:p>
      <w:pPr>
        <w:pStyle w:val="Heading2"/>
        <w:keepNext/>
      </w:pPr>
      <w:r>
        <w:t>25.3 Role acceptance traceability</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376"/>
            <w:shd w:fill="123447"/>
            <w:vAlign w:val="center"/>
            <w:tcMar>
              <w:top w:w="70" w:type="dxa"/>
              <w:start w:w="80" w:type="dxa"/>
              <w:bottom w:w="70" w:type="dxa"/>
              <w:end w:w="80" w:type="dxa"/>
            </w:tcMar>
          </w:tcPr>
          <w:p>
            <w:pPr>
              <w:jc w:val="left"/>
            </w:pPr>
            <w:r>
              <w:rPr>
                <w:b/>
                <w:color w:val="FFFFFF"/>
                <w:sz w:val="16"/>
              </w:rPr>
              <w:t>Role</w:t>
            </w:r>
          </w:p>
        </w:tc>
        <w:tc>
          <w:tcPr>
            <w:tcW w:type="dxa" w:w="7272"/>
            <w:shd w:fill="123447"/>
            <w:vAlign w:val="center"/>
            <w:tcMar>
              <w:top w:w="70" w:type="dxa"/>
              <w:start w:w="80" w:type="dxa"/>
              <w:bottom w:w="70" w:type="dxa"/>
              <w:end w:w="80" w:type="dxa"/>
            </w:tcMar>
          </w:tcPr>
          <w:p>
            <w:pPr>
              <w:jc w:val="left"/>
            </w:pPr>
            <w:r>
              <w:rPr>
                <w:b/>
                <w:color w:val="FFFFFF"/>
                <w:sz w:val="16"/>
              </w:rPr>
              <w:t>Must demonstrate before release</w:t>
            </w:r>
          </w:p>
        </w:tc>
      </w:tr>
      <w:tr>
        <w:tc>
          <w:tcPr>
            <w:tcW w:type="dxa" w:w="2376"/>
            <w:vAlign w:val="top"/>
            <w:tcMar>
              <w:top w:w="70" w:type="dxa"/>
              <w:start w:w="80" w:type="dxa"/>
              <w:bottom w:w="70" w:type="dxa"/>
              <w:end w:w="80" w:type="dxa"/>
            </w:tcMar>
          </w:tcPr>
          <w:p>
            <w:pPr>
              <w:spacing w:after="0" w:before="0"/>
            </w:pPr>
            <w:r>
              <w:rPr>
                <w:sz w:val="16"/>
              </w:rPr>
              <w:t>Agency Admin</w:t>
            </w:r>
          </w:p>
        </w:tc>
        <w:tc>
          <w:tcPr>
            <w:tcW w:type="dxa" w:w="7272"/>
            <w:vAlign w:val="top"/>
            <w:tcMar>
              <w:top w:w="70" w:type="dxa"/>
              <w:start w:w="80" w:type="dxa"/>
              <w:bottom w:w="70" w:type="dxa"/>
              <w:end w:w="80" w:type="dxa"/>
            </w:tcMar>
          </w:tcPr>
          <w:p>
            <w:pPr>
              <w:spacing w:after="0" w:before="0"/>
            </w:pPr>
            <w:r>
              <w:rPr>
                <w:sz w:val="16"/>
              </w:rPr>
              <w:t>Create/suspend client, view health, use time-bound audited support and revoke it.</w:t>
            </w:r>
          </w:p>
        </w:tc>
      </w:tr>
      <w:tr>
        <w:tc>
          <w:tcPr>
            <w:tcW w:type="dxa" w:w="2376"/>
            <w:vAlign w:val="top"/>
            <w:tcMar>
              <w:top w:w="70" w:type="dxa"/>
              <w:start w:w="80" w:type="dxa"/>
              <w:bottom w:w="70" w:type="dxa"/>
              <w:end w:w="80" w:type="dxa"/>
            </w:tcMar>
            <w:shd w:fill="F4F6F8"/>
          </w:tcPr>
          <w:p>
            <w:pPr>
              <w:spacing w:after="0" w:before="0"/>
            </w:pPr>
            <w:r>
              <w:rPr>
                <w:sz w:val="16"/>
              </w:rPr>
              <w:t>Client Admin</w:t>
            </w:r>
          </w:p>
        </w:tc>
        <w:tc>
          <w:tcPr>
            <w:tcW w:type="dxa" w:w="7272"/>
            <w:vAlign w:val="top"/>
            <w:tcMar>
              <w:top w:w="70" w:type="dxa"/>
              <w:start w:w="80" w:type="dxa"/>
              <w:bottom w:w="70" w:type="dxa"/>
              <w:end w:w="80" w:type="dxa"/>
            </w:tcMar>
            <w:shd w:fill="F4F6F8"/>
          </w:tcPr>
          <w:p>
            <w:pPr>
              <w:spacing w:after="0" w:before="0"/>
            </w:pPr>
            <w:r>
              <w:rPr>
                <w:sz w:val="16"/>
              </w:rPr>
              <w:t>Complete onboarding, roles, integrations, catalog/stock and production checklist.</w:t>
            </w:r>
          </w:p>
        </w:tc>
      </w:tr>
      <w:tr>
        <w:tc>
          <w:tcPr>
            <w:tcW w:type="dxa" w:w="2376"/>
            <w:vAlign w:val="top"/>
            <w:tcMar>
              <w:top w:w="70" w:type="dxa"/>
              <w:start w:w="80" w:type="dxa"/>
              <w:bottom w:w="70" w:type="dxa"/>
              <w:end w:w="80" w:type="dxa"/>
            </w:tcMar>
          </w:tcPr>
          <w:p>
            <w:pPr>
              <w:spacing w:after="0" w:before="0"/>
            </w:pPr>
            <w:r>
              <w:rPr>
                <w:sz w:val="16"/>
              </w:rPr>
              <w:t>Manager</w:t>
            </w:r>
          </w:p>
        </w:tc>
        <w:tc>
          <w:tcPr>
            <w:tcW w:type="dxa" w:w="7272"/>
            <w:vAlign w:val="top"/>
            <w:tcMar>
              <w:top w:w="70" w:type="dxa"/>
              <w:start w:w="80" w:type="dxa"/>
              <w:bottom w:w="70" w:type="dxa"/>
              <w:end w:w="80" w:type="dxa"/>
            </w:tcMar>
          </w:tcPr>
          <w:p>
            <w:pPr>
              <w:spacing w:after="0" w:before="0"/>
            </w:pPr>
            <w:r>
              <w:rPr>
                <w:sz w:val="16"/>
              </w:rPr>
              <w:t>Resolve exception, inspect active jobs, review aging and produce operational report.</w:t>
            </w:r>
          </w:p>
        </w:tc>
      </w:tr>
      <w:tr>
        <w:tc>
          <w:tcPr>
            <w:tcW w:type="dxa" w:w="2376"/>
            <w:vAlign w:val="top"/>
            <w:tcMar>
              <w:top w:w="70" w:type="dxa"/>
              <w:start w:w="80" w:type="dxa"/>
              <w:bottom w:w="70" w:type="dxa"/>
              <w:end w:w="80" w:type="dxa"/>
            </w:tcMar>
            <w:shd w:fill="F4F6F8"/>
          </w:tcPr>
          <w:p>
            <w:pPr>
              <w:spacing w:after="0" w:before="0"/>
            </w:pPr>
            <w:r>
              <w:rPr>
                <w:sz w:val="16"/>
              </w:rPr>
              <w:t>Sales Manager</w:t>
            </w:r>
          </w:p>
        </w:tc>
        <w:tc>
          <w:tcPr>
            <w:tcW w:type="dxa" w:w="7272"/>
            <w:vAlign w:val="top"/>
            <w:tcMar>
              <w:top w:w="70" w:type="dxa"/>
              <w:start w:w="80" w:type="dxa"/>
              <w:bottom w:w="70" w:type="dxa"/>
              <w:end w:w="80" w:type="dxa"/>
            </w:tcMar>
            <w:shd w:fill="F4F6F8"/>
          </w:tcPr>
          <w:p>
            <w:pPr>
              <w:spacing w:after="0" w:before="0"/>
            </w:pPr>
            <w:r>
              <w:rPr>
                <w:sz w:val="16"/>
              </w:rPr>
              <w:t>Assign/reassign, monitor SLA and approve controlled exception.</w:t>
            </w:r>
          </w:p>
        </w:tc>
      </w:tr>
      <w:tr>
        <w:tc>
          <w:tcPr>
            <w:tcW w:type="dxa" w:w="2376"/>
            <w:vAlign w:val="top"/>
            <w:tcMar>
              <w:top w:w="70" w:type="dxa"/>
              <w:start w:w="80" w:type="dxa"/>
              <w:bottom w:w="70" w:type="dxa"/>
              <w:end w:w="80" w:type="dxa"/>
            </w:tcMar>
          </w:tcPr>
          <w:p>
            <w:pPr>
              <w:spacing w:after="0" w:before="0"/>
            </w:pPr>
            <w:r>
              <w:rPr>
                <w:sz w:val="16"/>
              </w:rPr>
              <w:t>Telecaller</w:t>
            </w:r>
          </w:p>
        </w:tc>
        <w:tc>
          <w:tcPr>
            <w:tcW w:type="dxa" w:w="7272"/>
            <w:vAlign w:val="top"/>
            <w:tcMar>
              <w:top w:w="70" w:type="dxa"/>
              <w:start w:w="80" w:type="dxa"/>
              <w:bottom w:w="70" w:type="dxa"/>
              <w:end w:w="80" w:type="dxa"/>
            </w:tcMar>
          </w:tcPr>
          <w:p>
            <w:pPr>
              <w:spacing w:after="0" w:before="0"/>
            </w:pPr>
            <w:r>
              <w:rPr>
                <w:sz w:val="16"/>
              </w:rPr>
              <w:t>Call/outcome, reject or accept/handoff with mandatory evidence.</w:t>
            </w:r>
          </w:p>
        </w:tc>
      </w:tr>
      <w:tr>
        <w:tc>
          <w:tcPr>
            <w:tcW w:type="dxa" w:w="2376"/>
            <w:vAlign w:val="top"/>
            <w:tcMar>
              <w:top w:w="70" w:type="dxa"/>
              <w:start w:w="80" w:type="dxa"/>
              <w:bottom w:w="70" w:type="dxa"/>
              <w:end w:w="80" w:type="dxa"/>
            </w:tcMar>
            <w:shd w:fill="F4F6F8"/>
          </w:tcPr>
          <w:p>
            <w:pPr>
              <w:spacing w:after="0" w:before="0"/>
            </w:pPr>
            <w:r>
              <w:rPr>
                <w:sz w:val="16"/>
              </w:rPr>
              <w:t>Salesperson</w:t>
            </w:r>
          </w:p>
        </w:tc>
        <w:tc>
          <w:tcPr>
            <w:tcW w:type="dxa" w:w="7272"/>
            <w:vAlign w:val="top"/>
            <w:tcMar>
              <w:top w:w="70" w:type="dxa"/>
              <w:start w:w="80" w:type="dxa"/>
              <w:bottom w:w="70" w:type="dxa"/>
              <w:end w:w="80" w:type="dxa"/>
            </w:tcMar>
            <w:shd w:fill="F4F6F8"/>
          </w:tcPr>
          <w:p>
            <w:pPr>
              <w:spacing w:after="0" w:before="0"/>
            </w:pPr>
            <w:r>
              <w:rPr>
                <w:sz w:val="16"/>
              </w:rPr>
              <w:t>Qualify, follow-up, test ride, negotiate and create booking request from mobile.</w:t>
            </w:r>
          </w:p>
        </w:tc>
      </w:tr>
      <w:tr>
        <w:tc>
          <w:tcPr>
            <w:tcW w:type="dxa" w:w="2376"/>
            <w:vAlign w:val="top"/>
            <w:tcMar>
              <w:top w:w="70" w:type="dxa"/>
              <w:start w:w="80" w:type="dxa"/>
              <w:bottom w:w="70" w:type="dxa"/>
              <w:end w:w="80" w:type="dxa"/>
            </w:tcMar>
          </w:tcPr>
          <w:p>
            <w:pPr>
              <w:spacing w:after="0" w:before="0"/>
            </w:pPr>
            <w:r>
              <w:rPr>
                <w:sz w:val="16"/>
              </w:rPr>
              <w:t>Test Ride Executive</w:t>
            </w:r>
          </w:p>
        </w:tc>
        <w:tc>
          <w:tcPr>
            <w:tcW w:type="dxa" w:w="7272"/>
            <w:vAlign w:val="top"/>
            <w:tcMar>
              <w:top w:w="70" w:type="dxa"/>
              <w:start w:w="80" w:type="dxa"/>
              <w:bottom w:w="70" w:type="dxa"/>
              <w:end w:w="80" w:type="dxa"/>
            </w:tcMar>
          </w:tcPr>
          <w:p>
            <w:pPr>
              <w:spacing w:after="0" w:before="0"/>
            </w:pPr>
            <w:r>
              <w:rPr>
                <w:sz w:val="16"/>
              </w:rPr>
              <w:t>Accept, precheck, start/stop tracking, complete/cancel and release demo unit.</w:t>
            </w:r>
          </w:p>
        </w:tc>
      </w:tr>
      <w:tr>
        <w:tc>
          <w:tcPr>
            <w:tcW w:type="dxa" w:w="2376"/>
            <w:vAlign w:val="top"/>
            <w:tcMar>
              <w:top w:w="70" w:type="dxa"/>
              <w:start w:w="80" w:type="dxa"/>
              <w:bottom w:w="70" w:type="dxa"/>
              <w:end w:w="80" w:type="dxa"/>
            </w:tcMar>
            <w:shd w:fill="F4F6F8"/>
          </w:tcPr>
          <w:p>
            <w:pPr>
              <w:spacing w:after="0" w:before="0"/>
            </w:pPr>
            <w:r>
              <w:rPr>
                <w:sz w:val="16"/>
              </w:rPr>
              <w:t>Inventory Executive</w:t>
            </w:r>
          </w:p>
        </w:tc>
        <w:tc>
          <w:tcPr>
            <w:tcW w:type="dxa" w:w="7272"/>
            <w:vAlign w:val="top"/>
            <w:tcMar>
              <w:top w:w="70" w:type="dxa"/>
              <w:start w:w="80" w:type="dxa"/>
              <w:bottom w:w="70" w:type="dxa"/>
              <w:end w:w="80" w:type="dxa"/>
            </w:tcMar>
            <w:shd w:fill="F4F6F8"/>
          </w:tcPr>
          <w:p>
            <w:pPr>
              <w:spacing w:after="0" w:before="0"/>
            </w:pPr>
            <w:r>
              <w:rPr>
                <w:sz w:val="16"/>
              </w:rPr>
              <w:t>Receive, reserve, allocate, release and transfer without double allocation.</w:t>
            </w:r>
          </w:p>
        </w:tc>
      </w:tr>
      <w:tr>
        <w:tc>
          <w:tcPr>
            <w:tcW w:type="dxa" w:w="2376"/>
            <w:vAlign w:val="top"/>
            <w:tcMar>
              <w:top w:w="70" w:type="dxa"/>
              <w:start w:w="80" w:type="dxa"/>
              <w:bottom w:w="70" w:type="dxa"/>
              <w:end w:w="80" w:type="dxa"/>
            </w:tcMar>
          </w:tcPr>
          <w:p>
            <w:pPr>
              <w:spacing w:after="0" w:before="0"/>
            </w:pPr>
            <w:r>
              <w:rPr>
                <w:sz w:val="16"/>
              </w:rPr>
              <w:t>Billing Executive</w:t>
            </w:r>
          </w:p>
        </w:tc>
        <w:tc>
          <w:tcPr>
            <w:tcW w:type="dxa" w:w="7272"/>
            <w:vAlign w:val="top"/>
            <w:tcMar>
              <w:top w:w="70" w:type="dxa"/>
              <w:start w:w="80" w:type="dxa"/>
              <w:bottom w:w="70" w:type="dxa"/>
              <w:end w:w="80" w:type="dxa"/>
            </w:tcMar>
          </w:tcPr>
          <w:p>
            <w:pPr>
              <w:spacing w:after="0" w:before="0"/>
            </w:pPr>
            <w:r>
              <w:rPr>
                <w:sz w:val="16"/>
              </w:rPr>
              <w:t>Verify booking/payment/finance/invoice/documents and pass/block readiness.</w:t>
            </w:r>
          </w:p>
        </w:tc>
      </w:tr>
      <w:tr>
        <w:tc>
          <w:tcPr>
            <w:tcW w:type="dxa" w:w="2376"/>
            <w:vAlign w:val="top"/>
            <w:tcMar>
              <w:top w:w="70" w:type="dxa"/>
              <w:start w:w="80" w:type="dxa"/>
              <w:bottom w:w="70" w:type="dxa"/>
              <w:end w:w="80" w:type="dxa"/>
            </w:tcMar>
            <w:shd w:fill="F4F6F8"/>
          </w:tcPr>
          <w:p>
            <w:pPr>
              <w:spacing w:after="0" w:before="0"/>
            </w:pPr>
            <w:r>
              <w:rPr>
                <w:sz w:val="16"/>
              </w:rPr>
              <w:t>Delivery Executive</w:t>
            </w:r>
          </w:p>
        </w:tc>
        <w:tc>
          <w:tcPr>
            <w:tcW w:type="dxa" w:w="7272"/>
            <w:vAlign w:val="top"/>
            <w:tcMar>
              <w:top w:w="70" w:type="dxa"/>
              <w:start w:w="80" w:type="dxa"/>
              <w:bottom w:w="70" w:type="dxa"/>
              <w:end w:w="80" w:type="dxa"/>
            </w:tcMar>
            <w:shd w:fill="F4F6F8"/>
          </w:tcPr>
          <w:p>
            <w:pPr>
              <w:spacing w:after="0" w:before="0"/>
            </w:pPr>
            <w:r>
              <w:rPr>
                <w:sz w:val="16"/>
              </w:rPr>
              <w:t>Start, checklist, proof, complete/delay and stop tracking.</w:t>
            </w:r>
          </w:p>
        </w:tc>
      </w:tr>
      <w:tr>
        <w:tc>
          <w:tcPr>
            <w:tcW w:type="dxa" w:w="2376"/>
            <w:vAlign w:val="top"/>
            <w:tcMar>
              <w:top w:w="70" w:type="dxa"/>
              <w:start w:w="80" w:type="dxa"/>
              <w:bottom w:w="70" w:type="dxa"/>
              <w:end w:w="80" w:type="dxa"/>
            </w:tcMar>
          </w:tcPr>
          <w:p>
            <w:pPr>
              <w:spacing w:after="0" w:before="0"/>
            </w:pPr>
            <w:r>
              <w:rPr>
                <w:sz w:val="16"/>
              </w:rPr>
              <w:t>RC Executive</w:t>
            </w:r>
          </w:p>
        </w:tc>
        <w:tc>
          <w:tcPr>
            <w:tcW w:type="dxa" w:w="7272"/>
            <w:vAlign w:val="top"/>
            <w:tcMar>
              <w:top w:w="70" w:type="dxa"/>
              <w:start w:w="80" w:type="dxa"/>
              <w:bottom w:w="70" w:type="dxa"/>
              <w:end w:w="80" w:type="dxa"/>
            </w:tcMar>
          </w:tcPr>
          <w:p>
            <w:pPr>
              <w:spacing w:after="0" w:before="0"/>
            </w:pPr>
            <w:r>
              <w:rPr>
                <w:sz w:val="16"/>
              </w:rPr>
              <w:t>Submit, update, escalate, upload/share RC and close with audit.</w:t>
            </w:r>
          </w:p>
        </w:tc>
      </w:tr>
    </w:tbl>
    <w:p>
      <w:pPr>
        <w:spacing w:after="0"/>
      </w:pPr>
    </w:p>
    <w:p>
      <w:pPr>
        <w:pStyle w:val="Heading1"/>
        <w:keepNext/>
      </w:pPr>
      <w:r>
        <w:t>26. Delivery Phases, Risks and Definition of Done</w:t>
      </w:r>
    </w:p>
    <w:p>
      <w:pPr>
        <w:pStyle w:val="Heading2"/>
        <w:keepNext/>
      </w:pPr>
      <w:r>
        <w:t>26.1 Recommended phases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232"/>
            <w:shd w:fill="123447"/>
            <w:vAlign w:val="center"/>
            <w:tcMar>
              <w:top w:w="70" w:type="dxa"/>
              <w:start w:w="80" w:type="dxa"/>
              <w:bottom w:w="70" w:type="dxa"/>
              <w:end w:w="80" w:type="dxa"/>
            </w:tcMar>
          </w:tcPr>
          <w:p>
            <w:pPr>
              <w:jc w:val="left"/>
            </w:pPr>
            <w:r>
              <w:rPr>
                <w:b/>
                <w:color w:val="FFFFFF"/>
                <w:sz w:val="15"/>
              </w:rPr>
              <w:t>Phase</w:t>
            </w:r>
          </w:p>
        </w:tc>
        <w:tc>
          <w:tcPr>
            <w:tcW w:type="dxa" w:w="4824"/>
            <w:shd w:fill="123447"/>
            <w:vAlign w:val="center"/>
            <w:tcMar>
              <w:top w:w="70" w:type="dxa"/>
              <w:start w:w="80" w:type="dxa"/>
              <w:bottom w:w="70" w:type="dxa"/>
              <w:end w:w="80" w:type="dxa"/>
            </w:tcMar>
          </w:tcPr>
          <w:p>
            <w:pPr>
              <w:jc w:val="left"/>
            </w:pPr>
            <w:r>
              <w:rPr>
                <w:b/>
                <w:color w:val="FFFFFF"/>
                <w:sz w:val="15"/>
              </w:rPr>
              <w:t>Scope</w:t>
            </w:r>
          </w:p>
        </w:tc>
        <w:tc>
          <w:tcPr>
            <w:tcW w:type="dxa" w:w="2592"/>
            <w:shd w:fill="123447"/>
            <w:vAlign w:val="center"/>
            <w:tcMar>
              <w:top w:w="70" w:type="dxa"/>
              <w:start w:w="80" w:type="dxa"/>
              <w:bottom w:w="70" w:type="dxa"/>
              <w:end w:w="80" w:type="dxa"/>
            </w:tcMar>
          </w:tcPr>
          <w:p>
            <w:pPr>
              <w:jc w:val="left"/>
            </w:pPr>
            <w:r>
              <w:rPr>
                <w:b/>
                <w:color w:val="FFFFFF"/>
                <w:sz w:val="15"/>
              </w:rPr>
              <w:t>Exit gate</w:t>
            </w:r>
          </w:p>
        </w:tc>
      </w:tr>
      <w:tr>
        <w:tc>
          <w:tcPr>
            <w:tcW w:type="dxa" w:w="2232"/>
            <w:vAlign w:val="top"/>
            <w:tcMar>
              <w:top w:w="70" w:type="dxa"/>
              <w:start w:w="80" w:type="dxa"/>
              <w:bottom w:w="70" w:type="dxa"/>
              <w:end w:w="80" w:type="dxa"/>
            </w:tcMar>
          </w:tcPr>
          <w:p>
            <w:pPr>
              <w:spacing w:after="0" w:before="0"/>
            </w:pPr>
            <w:r>
              <w:rPr>
                <w:sz w:val="15"/>
              </w:rPr>
              <w:t>Phase 0 – Foundation</w:t>
            </w:r>
          </w:p>
        </w:tc>
        <w:tc>
          <w:tcPr>
            <w:tcW w:type="dxa" w:w="4824"/>
            <w:vAlign w:val="top"/>
            <w:tcMar>
              <w:top w:w="70" w:type="dxa"/>
              <w:start w:w="80" w:type="dxa"/>
              <w:bottom w:w="70" w:type="dxa"/>
              <w:end w:w="80" w:type="dxa"/>
            </w:tcMar>
          </w:tcPr>
          <w:p>
            <w:pPr>
              <w:spacing w:after="0" w:before="0"/>
            </w:pPr>
            <w:r>
              <w:rPr>
                <w:sz w:val="15"/>
              </w:rPr>
              <w:t>Monorepo, CI/CD, environments, shadcn design system, auth, tenancy, permissions, database, audit, files and observability.</w:t>
            </w:r>
          </w:p>
        </w:tc>
        <w:tc>
          <w:tcPr>
            <w:tcW w:type="dxa" w:w="2592"/>
            <w:vAlign w:val="top"/>
            <w:tcMar>
              <w:top w:w="70" w:type="dxa"/>
              <w:start w:w="80" w:type="dxa"/>
              <w:bottom w:w="70" w:type="dxa"/>
              <w:end w:w="80" w:type="dxa"/>
            </w:tcMar>
          </w:tcPr>
          <w:p>
            <w:pPr>
              <w:spacing w:after="0" w:before="0"/>
            </w:pPr>
            <w:r>
              <w:rPr>
                <w:sz w:val="15"/>
              </w:rPr>
              <w:t>Tenant/security tests and deployment pipeline pass.</w:t>
            </w:r>
          </w:p>
        </w:tc>
      </w:tr>
      <w:tr>
        <w:tc>
          <w:tcPr>
            <w:tcW w:type="dxa" w:w="2232"/>
            <w:vAlign w:val="top"/>
            <w:tcMar>
              <w:top w:w="70" w:type="dxa"/>
              <w:start w:w="80" w:type="dxa"/>
              <w:bottom w:w="70" w:type="dxa"/>
              <w:end w:w="80" w:type="dxa"/>
            </w:tcMar>
            <w:shd w:fill="F4F6F8"/>
          </w:tcPr>
          <w:p>
            <w:pPr>
              <w:spacing w:after="0" w:before="0"/>
            </w:pPr>
            <w:r>
              <w:rPr>
                <w:sz w:val="15"/>
              </w:rPr>
              <w:t>Phase 1 – Leads &amp; Sales</w:t>
            </w:r>
          </w:p>
        </w:tc>
        <w:tc>
          <w:tcPr>
            <w:tcW w:type="dxa" w:w="4824"/>
            <w:vAlign w:val="top"/>
            <w:tcMar>
              <w:top w:w="70" w:type="dxa"/>
              <w:start w:w="80" w:type="dxa"/>
              <w:bottom w:w="70" w:type="dxa"/>
              <w:end w:w="80" w:type="dxa"/>
            </w:tcMar>
            <w:shd w:fill="F4F6F8"/>
          </w:tcPr>
          <w:p>
            <w:pPr>
              <w:spacing w:after="0" w:before="0"/>
            </w:pPr>
            <w:r>
              <w:rPr>
                <w:sz w:val="15"/>
              </w:rPr>
              <w:t>Sources, webhooks/manual entry, dedupe, accepted/rejected/lost, assignment, SLA, follow-ups, telephony and inbox.</w:t>
            </w:r>
          </w:p>
        </w:tc>
        <w:tc>
          <w:tcPr>
            <w:tcW w:type="dxa" w:w="2592"/>
            <w:vAlign w:val="top"/>
            <w:tcMar>
              <w:top w:w="70" w:type="dxa"/>
              <w:start w:w="80" w:type="dxa"/>
              <w:bottom w:w="70" w:type="dxa"/>
              <w:end w:w="80" w:type="dxa"/>
            </w:tcMar>
            <w:shd w:fill="F4F6F8"/>
          </w:tcPr>
          <w:p>
            <w:pPr>
              <w:spacing w:after="0" w:before="0"/>
            </w:pPr>
            <w:r>
              <w:rPr>
                <w:sz w:val="15"/>
              </w:rPr>
              <w:t>Pilot lead-to-follow-up flow and provider fixtures pass.</w:t>
            </w:r>
          </w:p>
        </w:tc>
      </w:tr>
      <w:tr>
        <w:tc>
          <w:tcPr>
            <w:tcW w:type="dxa" w:w="2232"/>
            <w:vAlign w:val="top"/>
            <w:tcMar>
              <w:top w:w="70" w:type="dxa"/>
              <w:start w:w="80" w:type="dxa"/>
              <w:bottom w:w="70" w:type="dxa"/>
              <w:end w:w="80" w:type="dxa"/>
            </w:tcMar>
          </w:tcPr>
          <w:p>
            <w:pPr>
              <w:spacing w:after="0" w:before="0"/>
            </w:pPr>
            <w:r>
              <w:rPr>
                <w:sz w:val="15"/>
              </w:rPr>
              <w:t>Phase 2 – Test Ride &amp; Inventory</w:t>
            </w:r>
          </w:p>
        </w:tc>
        <w:tc>
          <w:tcPr>
            <w:tcW w:type="dxa" w:w="4824"/>
            <w:vAlign w:val="top"/>
            <w:tcMar>
              <w:top w:w="70" w:type="dxa"/>
              <w:start w:w="80" w:type="dxa"/>
              <w:bottom w:w="70" w:type="dxa"/>
              <w:end w:w="80" w:type="dxa"/>
            </w:tcMar>
          </w:tcPr>
          <w:p>
            <w:pPr>
              <w:spacing w:after="0" w:before="0"/>
            </w:pPr>
            <w:r>
              <w:rPr>
                <w:sz w:val="15"/>
              </w:rPr>
              <w:t>Mobile ride role, foreground location, demo booking, catalog, inventory, reservation and allocation.</w:t>
            </w:r>
          </w:p>
        </w:tc>
        <w:tc>
          <w:tcPr>
            <w:tcW w:type="dxa" w:w="2592"/>
            <w:vAlign w:val="top"/>
            <w:tcMar>
              <w:top w:w="70" w:type="dxa"/>
              <w:start w:w="80" w:type="dxa"/>
              <w:bottom w:w="70" w:type="dxa"/>
              <w:end w:w="80" w:type="dxa"/>
            </w:tcMar>
          </w:tcPr>
          <w:p>
            <w:pPr>
              <w:spacing w:after="0" w:before="0"/>
            </w:pPr>
            <w:r>
              <w:rPr>
                <w:sz w:val="15"/>
              </w:rPr>
              <w:t>No double allocation; location/Play disclosure tests pass.</w:t>
            </w:r>
          </w:p>
        </w:tc>
      </w:tr>
      <w:tr>
        <w:tc>
          <w:tcPr>
            <w:tcW w:type="dxa" w:w="2232"/>
            <w:vAlign w:val="top"/>
            <w:tcMar>
              <w:top w:w="70" w:type="dxa"/>
              <w:start w:w="80" w:type="dxa"/>
              <w:bottom w:w="70" w:type="dxa"/>
              <w:end w:w="80" w:type="dxa"/>
            </w:tcMar>
            <w:shd w:fill="F4F6F8"/>
          </w:tcPr>
          <w:p>
            <w:pPr>
              <w:spacing w:after="0" w:before="0"/>
            </w:pPr>
            <w:r>
              <w:rPr>
                <w:sz w:val="15"/>
              </w:rPr>
              <w:t>Phase 3 – Booking &amp; Billing</w:t>
            </w:r>
          </w:p>
        </w:tc>
        <w:tc>
          <w:tcPr>
            <w:tcW w:type="dxa" w:w="4824"/>
            <w:vAlign w:val="top"/>
            <w:tcMar>
              <w:top w:w="70" w:type="dxa"/>
              <w:start w:w="80" w:type="dxa"/>
              <w:bottom w:w="70" w:type="dxa"/>
              <w:end w:w="80" w:type="dxa"/>
            </w:tcMar>
            <w:shd w:fill="F4F6F8"/>
          </w:tcPr>
          <w:p>
            <w:pPr>
              <w:spacing w:after="0" w:before="0"/>
            </w:pPr>
            <w:r>
              <w:rPr>
                <w:sz w:val="15"/>
              </w:rPr>
              <w:t>Booking, approval, payment/finance/invoice/insurance, documents and readiness gate.</w:t>
            </w:r>
          </w:p>
        </w:tc>
        <w:tc>
          <w:tcPr>
            <w:tcW w:type="dxa" w:w="2592"/>
            <w:vAlign w:val="top"/>
            <w:tcMar>
              <w:top w:w="70" w:type="dxa"/>
              <w:start w:w="80" w:type="dxa"/>
              <w:bottom w:w="70" w:type="dxa"/>
              <w:end w:w="80" w:type="dxa"/>
            </w:tcMar>
            <w:shd w:fill="F4F6F8"/>
          </w:tcPr>
          <w:p>
            <w:pPr>
              <w:spacing w:after="0" w:before="0"/>
            </w:pPr>
            <w:r>
              <w:rPr>
                <w:sz w:val="15"/>
              </w:rPr>
              <w:t>Commercial tracking and correction audit pass.</w:t>
            </w:r>
          </w:p>
        </w:tc>
      </w:tr>
      <w:tr>
        <w:tc>
          <w:tcPr>
            <w:tcW w:type="dxa" w:w="2232"/>
            <w:vAlign w:val="top"/>
            <w:tcMar>
              <w:top w:w="70" w:type="dxa"/>
              <w:start w:w="80" w:type="dxa"/>
              <w:bottom w:w="70" w:type="dxa"/>
              <w:end w:w="80" w:type="dxa"/>
            </w:tcMar>
          </w:tcPr>
          <w:p>
            <w:pPr>
              <w:spacing w:after="0" w:before="0"/>
            </w:pPr>
            <w:r>
              <w:rPr>
                <w:sz w:val="15"/>
              </w:rPr>
              <w:t>Phase 4 – Delivery &amp; RC</w:t>
            </w:r>
          </w:p>
        </w:tc>
        <w:tc>
          <w:tcPr>
            <w:tcW w:type="dxa" w:w="4824"/>
            <w:vAlign w:val="top"/>
            <w:tcMar>
              <w:top w:w="70" w:type="dxa"/>
              <w:start w:w="80" w:type="dxa"/>
              <w:bottom w:w="70" w:type="dxa"/>
              <w:end w:w="80" w:type="dxa"/>
            </w:tcMar>
          </w:tcPr>
          <w:p>
            <w:pPr>
              <w:spacing w:after="0" w:before="0"/>
            </w:pPr>
            <w:r>
              <w:rPr>
                <w:sz w:val="15"/>
              </w:rPr>
              <w:t>Delivery mobile flow, active map, proof, registration/RC, secure sharing and customer vehicle.</w:t>
            </w:r>
          </w:p>
        </w:tc>
        <w:tc>
          <w:tcPr>
            <w:tcW w:type="dxa" w:w="2592"/>
            <w:vAlign w:val="top"/>
            <w:tcMar>
              <w:top w:w="70" w:type="dxa"/>
              <w:start w:w="80" w:type="dxa"/>
              <w:bottom w:w="70" w:type="dxa"/>
              <w:end w:w="80" w:type="dxa"/>
            </w:tcMar>
          </w:tcPr>
          <w:p>
            <w:pPr>
              <w:spacing w:after="0" w:before="0"/>
            </w:pPr>
            <w:r>
              <w:rPr>
                <w:sz w:val="15"/>
              </w:rPr>
              <w:t>End-to-end booking-to-close pilot passes.</w:t>
            </w:r>
          </w:p>
        </w:tc>
      </w:tr>
      <w:tr>
        <w:tc>
          <w:tcPr>
            <w:tcW w:type="dxa" w:w="2232"/>
            <w:vAlign w:val="top"/>
            <w:tcMar>
              <w:top w:w="70" w:type="dxa"/>
              <w:start w:w="80" w:type="dxa"/>
              <w:bottom w:w="70" w:type="dxa"/>
              <w:end w:w="80" w:type="dxa"/>
            </w:tcMar>
            <w:shd w:fill="F4F6F8"/>
          </w:tcPr>
          <w:p>
            <w:pPr>
              <w:spacing w:after="0" w:before="0"/>
            </w:pPr>
            <w:r>
              <w:rPr>
                <w:sz w:val="15"/>
              </w:rPr>
              <w:t>Phase 5 – Integrations &amp; Approvals</w:t>
            </w:r>
          </w:p>
        </w:tc>
        <w:tc>
          <w:tcPr>
            <w:tcW w:type="dxa" w:w="4824"/>
            <w:vAlign w:val="top"/>
            <w:tcMar>
              <w:top w:w="70" w:type="dxa"/>
              <w:start w:w="80" w:type="dxa"/>
              <w:bottom w:w="70" w:type="dxa"/>
              <w:end w:w="80" w:type="dxa"/>
            </w:tcMar>
            <w:shd w:fill="F4F6F8"/>
          </w:tcPr>
          <w:p>
            <w:pPr>
              <w:spacing w:after="0" w:before="0"/>
            </w:pPr>
            <w:r>
              <w:rPr>
                <w:sz w:val="15"/>
              </w:rPr>
              <w:t>WhatsApp production, Meta/Google integrations, GBP Pub/Sub, Google Ads forms and operational dashboards.</w:t>
            </w:r>
          </w:p>
        </w:tc>
        <w:tc>
          <w:tcPr>
            <w:tcW w:type="dxa" w:w="2592"/>
            <w:vAlign w:val="top"/>
            <w:tcMar>
              <w:top w:w="70" w:type="dxa"/>
              <w:start w:w="80" w:type="dxa"/>
              <w:bottom w:w="70" w:type="dxa"/>
              <w:end w:w="80" w:type="dxa"/>
            </w:tcMar>
            <w:shd w:fill="F4F6F8"/>
          </w:tcPr>
          <w:p>
            <w:pPr>
              <w:spacing w:after="0" w:before="0"/>
            </w:pPr>
            <w:r>
              <w:rPr>
                <w:sz w:val="15"/>
              </w:rPr>
              <w:t>Provider approvals or explicit feature flags; pilot WABA/location pass.</w:t>
            </w:r>
          </w:p>
        </w:tc>
      </w:tr>
      <w:tr>
        <w:tc>
          <w:tcPr>
            <w:tcW w:type="dxa" w:w="2232"/>
            <w:vAlign w:val="top"/>
            <w:tcMar>
              <w:top w:w="70" w:type="dxa"/>
              <w:start w:w="80" w:type="dxa"/>
              <w:bottom w:w="70" w:type="dxa"/>
              <w:end w:w="80" w:type="dxa"/>
            </w:tcMar>
          </w:tcPr>
          <w:p>
            <w:pPr>
              <w:spacing w:after="0" w:before="0"/>
            </w:pPr>
            <w:r>
              <w:rPr>
                <w:sz w:val="15"/>
              </w:rPr>
              <w:t>Phase 6 – Hardening &amp; Launch</w:t>
            </w:r>
          </w:p>
        </w:tc>
        <w:tc>
          <w:tcPr>
            <w:tcW w:type="dxa" w:w="4824"/>
            <w:vAlign w:val="top"/>
            <w:tcMar>
              <w:top w:w="70" w:type="dxa"/>
              <w:start w:w="80" w:type="dxa"/>
              <w:bottom w:w="70" w:type="dxa"/>
              <w:end w:w="80" w:type="dxa"/>
            </w:tcMar>
          </w:tcPr>
          <w:p>
            <w:pPr>
              <w:spacing w:after="0" w:before="0"/>
            </w:pPr>
            <w:r>
              <w:rPr>
                <w:sz w:val="15"/>
              </w:rPr>
              <w:t>Performance, backup/restore, accessibility, privacy/legal, Play production and support runbooks.</w:t>
            </w:r>
          </w:p>
        </w:tc>
        <w:tc>
          <w:tcPr>
            <w:tcW w:type="dxa" w:w="2592"/>
            <w:vAlign w:val="top"/>
            <w:tcMar>
              <w:top w:w="70" w:type="dxa"/>
              <w:start w:w="80" w:type="dxa"/>
              <w:bottom w:w="70" w:type="dxa"/>
              <w:end w:w="80" w:type="dxa"/>
            </w:tcMar>
          </w:tcPr>
          <w:p>
            <w:pPr>
              <w:spacing w:after="0" w:before="0"/>
            </w:pPr>
            <w:r>
              <w:rPr>
                <w:sz w:val="15"/>
              </w:rPr>
              <w:t>All mandatory acceptance criteria signed off.</w:t>
            </w:r>
          </w:p>
        </w:tc>
      </w:tr>
    </w:tbl>
    <w:p>
      <w:pPr>
        <w:spacing w:after="0"/>
      </w:pPr>
    </w:p>
    <w:p>
      <w:pPr>
        <w:pStyle w:val="Heading2"/>
        <w:keepNext/>
      </w:pPr>
      <w:r>
        <w:t>26.2 Principal risks and mitigations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6"/>
        <w:gridCol w:w="3346"/>
        <w:gridCol w:w="3346"/>
      </w:tblGrid>
      <w:tr>
        <w:trPr>
          <w:tblHeader w:val="true"/>
        </w:trPr>
        <w:tc>
          <w:tcPr>
            <w:tcW w:type="dxa" w:w="2304"/>
            <w:shd w:fill="123447"/>
            <w:vAlign w:val="center"/>
            <w:tcMar>
              <w:top w:w="70" w:type="dxa"/>
              <w:start w:w="80" w:type="dxa"/>
              <w:bottom w:w="70" w:type="dxa"/>
              <w:end w:w="80" w:type="dxa"/>
            </w:tcMar>
          </w:tcPr>
          <w:p>
            <w:pPr>
              <w:jc w:val="left"/>
            </w:pPr>
            <w:r>
              <w:rPr>
                <w:b/>
                <w:color w:val="FFFFFF"/>
                <w:sz w:val="15"/>
              </w:rPr>
              <w:t>Risk</w:t>
            </w:r>
          </w:p>
        </w:tc>
        <w:tc>
          <w:tcPr>
            <w:tcW w:type="dxa" w:w="2232"/>
            <w:shd w:fill="123447"/>
            <w:vAlign w:val="center"/>
            <w:tcMar>
              <w:top w:w="70" w:type="dxa"/>
              <w:start w:w="80" w:type="dxa"/>
              <w:bottom w:w="70" w:type="dxa"/>
              <w:end w:w="80" w:type="dxa"/>
            </w:tcMar>
          </w:tcPr>
          <w:p>
            <w:pPr>
              <w:jc w:val="left"/>
            </w:pPr>
            <w:r>
              <w:rPr>
                <w:b/>
                <w:color w:val="FFFFFF"/>
                <w:sz w:val="15"/>
              </w:rPr>
              <w:t>Impact</w:t>
            </w:r>
          </w:p>
        </w:tc>
        <w:tc>
          <w:tcPr>
            <w:tcW w:type="dxa" w:w="5112"/>
            <w:shd w:fill="123447"/>
            <w:vAlign w:val="center"/>
            <w:tcMar>
              <w:top w:w="70" w:type="dxa"/>
              <w:start w:w="80" w:type="dxa"/>
              <w:bottom w:w="70" w:type="dxa"/>
              <w:end w:w="80" w:type="dxa"/>
            </w:tcMar>
          </w:tcPr>
          <w:p>
            <w:pPr>
              <w:jc w:val="left"/>
            </w:pPr>
            <w:r>
              <w:rPr>
                <w:b/>
                <w:color w:val="FFFFFF"/>
                <w:sz w:val="15"/>
              </w:rPr>
              <w:t>Mitigation</w:t>
            </w:r>
          </w:p>
        </w:tc>
      </w:tr>
      <w:tr>
        <w:tc>
          <w:tcPr>
            <w:tcW w:type="dxa" w:w="2304"/>
            <w:vAlign w:val="top"/>
            <w:tcMar>
              <w:top w:w="70" w:type="dxa"/>
              <w:start w:w="80" w:type="dxa"/>
              <w:bottom w:w="70" w:type="dxa"/>
              <w:end w:w="80" w:type="dxa"/>
            </w:tcMar>
          </w:tcPr>
          <w:p>
            <w:pPr>
              <w:spacing w:after="0" w:before="0"/>
            </w:pPr>
            <w:r>
              <w:rPr>
                <w:sz w:val="15"/>
              </w:rPr>
              <w:t>Provider approval delay</w:t>
            </w:r>
          </w:p>
        </w:tc>
        <w:tc>
          <w:tcPr>
            <w:tcW w:type="dxa" w:w="2232"/>
            <w:vAlign w:val="top"/>
            <w:tcMar>
              <w:top w:w="70" w:type="dxa"/>
              <w:start w:w="80" w:type="dxa"/>
              <w:bottom w:w="70" w:type="dxa"/>
              <w:end w:w="80" w:type="dxa"/>
            </w:tcMar>
          </w:tcPr>
          <w:p>
            <w:pPr>
              <w:spacing w:after="0" w:before="0"/>
            </w:pPr>
            <w:r>
              <w:rPr>
                <w:sz w:val="15"/>
              </w:rPr>
              <w:t>Feature unavailable at launch</w:t>
            </w:r>
          </w:p>
        </w:tc>
        <w:tc>
          <w:tcPr>
            <w:tcW w:type="dxa" w:w="5112"/>
            <w:vAlign w:val="top"/>
            <w:tcMar>
              <w:top w:w="70" w:type="dxa"/>
              <w:start w:w="80" w:type="dxa"/>
              <w:bottom w:w="70" w:type="dxa"/>
              <w:end w:w="80" w:type="dxa"/>
            </w:tcMar>
          </w:tcPr>
          <w:p>
            <w:pPr>
              <w:spacing w:after="0" w:before="0"/>
            </w:pPr>
            <w:r>
              <w:rPr>
                <w:sz w:val="15"/>
              </w:rPr>
              <w:t>Feature flags, early applications, test fixtures and pilot milestones.</w:t>
            </w:r>
          </w:p>
        </w:tc>
      </w:tr>
      <w:tr>
        <w:tc>
          <w:tcPr>
            <w:tcW w:type="dxa" w:w="2304"/>
            <w:vAlign w:val="top"/>
            <w:tcMar>
              <w:top w:w="70" w:type="dxa"/>
              <w:start w:w="80" w:type="dxa"/>
              <w:bottom w:w="70" w:type="dxa"/>
              <w:end w:w="80" w:type="dxa"/>
            </w:tcMar>
            <w:shd w:fill="F4F6F8"/>
          </w:tcPr>
          <w:p>
            <w:pPr>
              <w:spacing w:after="0" w:before="0"/>
            </w:pPr>
            <w:r>
              <w:rPr>
                <w:sz w:val="15"/>
              </w:rPr>
              <w:t>Scope expansion</w:t>
            </w:r>
          </w:p>
        </w:tc>
        <w:tc>
          <w:tcPr>
            <w:tcW w:type="dxa" w:w="2232"/>
            <w:vAlign w:val="top"/>
            <w:tcMar>
              <w:top w:w="70" w:type="dxa"/>
              <w:start w:w="80" w:type="dxa"/>
              <w:bottom w:w="70" w:type="dxa"/>
              <w:end w:w="80" w:type="dxa"/>
            </w:tcMar>
            <w:shd w:fill="F4F6F8"/>
          </w:tcPr>
          <w:p>
            <w:pPr>
              <w:spacing w:after="0" w:before="0"/>
            </w:pPr>
            <w:r>
              <w:rPr>
                <w:sz w:val="15"/>
              </w:rPr>
              <w:t>MVP slips</w:t>
            </w:r>
          </w:p>
        </w:tc>
        <w:tc>
          <w:tcPr>
            <w:tcW w:type="dxa" w:w="5112"/>
            <w:vAlign w:val="top"/>
            <w:tcMar>
              <w:top w:w="70" w:type="dxa"/>
              <w:start w:w="80" w:type="dxa"/>
              <w:bottom w:w="70" w:type="dxa"/>
              <w:end w:w="80" w:type="dxa"/>
            </w:tcMar>
            <w:shd w:fill="F4F6F8"/>
          </w:tcPr>
          <w:p>
            <w:pPr>
              <w:spacing w:after="0" w:before="0"/>
            </w:pPr>
            <w:r>
              <w:rPr>
                <w:sz w:val="15"/>
              </w:rPr>
              <w:t>Locked exclusions; changes require impact estimate and written approval.</w:t>
            </w:r>
          </w:p>
        </w:tc>
      </w:tr>
      <w:tr>
        <w:tc>
          <w:tcPr>
            <w:tcW w:type="dxa" w:w="2304"/>
            <w:vAlign w:val="top"/>
            <w:tcMar>
              <w:top w:w="70" w:type="dxa"/>
              <w:start w:w="80" w:type="dxa"/>
              <w:bottom w:w="70" w:type="dxa"/>
              <w:end w:w="80" w:type="dxa"/>
            </w:tcMar>
          </w:tcPr>
          <w:p>
            <w:pPr>
              <w:spacing w:after="0" w:before="0"/>
            </w:pPr>
            <w:r>
              <w:rPr>
                <w:sz w:val="15"/>
              </w:rPr>
              <w:t>Incorrect role handoff</w:t>
            </w:r>
          </w:p>
        </w:tc>
        <w:tc>
          <w:tcPr>
            <w:tcW w:type="dxa" w:w="2232"/>
            <w:vAlign w:val="top"/>
            <w:tcMar>
              <w:top w:w="70" w:type="dxa"/>
              <w:start w:w="80" w:type="dxa"/>
              <w:bottom w:w="70" w:type="dxa"/>
              <w:end w:w="80" w:type="dxa"/>
            </w:tcMar>
          </w:tcPr>
          <w:p>
            <w:pPr>
              <w:spacing w:after="0" w:before="0"/>
            </w:pPr>
            <w:r>
              <w:rPr>
                <w:sz w:val="15"/>
              </w:rPr>
              <w:t>Lost ownership or unauthorised changes</w:t>
            </w:r>
          </w:p>
        </w:tc>
        <w:tc>
          <w:tcPr>
            <w:tcW w:type="dxa" w:w="5112"/>
            <w:vAlign w:val="top"/>
            <w:tcMar>
              <w:top w:w="70" w:type="dxa"/>
              <w:start w:w="80" w:type="dxa"/>
              <w:bottom w:w="70" w:type="dxa"/>
              <w:end w:w="80" w:type="dxa"/>
            </w:tcMar>
          </w:tcPr>
          <w:p>
            <w:pPr>
              <w:spacing w:after="0" w:before="0"/>
            </w:pPr>
            <w:r>
              <w:rPr>
                <w:sz w:val="15"/>
              </w:rPr>
              <w:t>Three ownership fields, state machines, RACI and audited transitions.</w:t>
            </w:r>
          </w:p>
        </w:tc>
      </w:tr>
      <w:tr>
        <w:tc>
          <w:tcPr>
            <w:tcW w:type="dxa" w:w="2304"/>
            <w:vAlign w:val="top"/>
            <w:tcMar>
              <w:top w:w="70" w:type="dxa"/>
              <w:start w:w="80" w:type="dxa"/>
              <w:bottom w:w="70" w:type="dxa"/>
              <w:end w:w="80" w:type="dxa"/>
            </w:tcMar>
            <w:shd w:fill="F4F6F8"/>
          </w:tcPr>
          <w:p>
            <w:pPr>
              <w:spacing w:after="0" w:before="0"/>
            </w:pPr>
            <w:r>
              <w:rPr>
                <w:sz w:val="15"/>
              </w:rPr>
              <w:t>Inventory mismatch</w:t>
            </w:r>
          </w:p>
        </w:tc>
        <w:tc>
          <w:tcPr>
            <w:tcW w:type="dxa" w:w="2232"/>
            <w:vAlign w:val="top"/>
            <w:tcMar>
              <w:top w:w="70" w:type="dxa"/>
              <w:start w:w="80" w:type="dxa"/>
              <w:bottom w:w="70" w:type="dxa"/>
              <w:end w:w="80" w:type="dxa"/>
            </w:tcMar>
            <w:shd w:fill="F4F6F8"/>
          </w:tcPr>
          <w:p>
            <w:pPr>
              <w:spacing w:after="0" w:before="0"/>
            </w:pPr>
            <w:r>
              <w:rPr>
                <w:sz w:val="15"/>
              </w:rPr>
              <w:t>Double promise/delivery delay</w:t>
            </w:r>
          </w:p>
        </w:tc>
        <w:tc>
          <w:tcPr>
            <w:tcW w:type="dxa" w:w="5112"/>
            <w:vAlign w:val="top"/>
            <w:tcMar>
              <w:top w:w="70" w:type="dxa"/>
              <w:start w:w="80" w:type="dxa"/>
              <w:bottom w:w="70" w:type="dxa"/>
              <w:end w:w="80" w:type="dxa"/>
            </w:tcMar>
            <w:shd w:fill="F4F6F8"/>
          </w:tcPr>
          <w:p>
            <w:pPr>
              <w:spacing w:after="0" w:before="0"/>
            </w:pPr>
            <w:r>
              <w:rPr>
                <w:sz w:val="15"/>
              </w:rPr>
              <w:t>Unique active reservation/allocation constraints, expiry and reconciliation.</w:t>
            </w:r>
          </w:p>
        </w:tc>
      </w:tr>
      <w:tr>
        <w:tc>
          <w:tcPr>
            <w:tcW w:type="dxa" w:w="2304"/>
            <w:vAlign w:val="top"/>
            <w:tcMar>
              <w:top w:w="70" w:type="dxa"/>
              <w:start w:w="80" w:type="dxa"/>
              <w:bottom w:w="70" w:type="dxa"/>
              <w:end w:w="80" w:type="dxa"/>
            </w:tcMar>
          </w:tcPr>
          <w:p>
            <w:pPr>
              <w:spacing w:after="0" w:before="0"/>
            </w:pPr>
            <w:r>
              <w:rPr>
                <w:sz w:val="15"/>
              </w:rPr>
              <w:t>Android location rejection</w:t>
            </w:r>
          </w:p>
        </w:tc>
        <w:tc>
          <w:tcPr>
            <w:tcW w:type="dxa" w:w="2232"/>
            <w:vAlign w:val="top"/>
            <w:tcMar>
              <w:top w:w="70" w:type="dxa"/>
              <w:start w:w="80" w:type="dxa"/>
              <w:bottom w:w="70" w:type="dxa"/>
              <w:end w:w="80" w:type="dxa"/>
            </w:tcMar>
          </w:tcPr>
          <w:p>
            <w:pPr>
              <w:spacing w:after="0" w:before="0"/>
            </w:pPr>
            <w:r>
              <w:rPr>
                <w:sz w:val="15"/>
              </w:rPr>
              <w:t>Play launch blocked</w:t>
            </w:r>
          </w:p>
        </w:tc>
        <w:tc>
          <w:tcPr>
            <w:tcW w:type="dxa" w:w="5112"/>
            <w:vAlign w:val="top"/>
            <w:tcMar>
              <w:top w:w="70" w:type="dxa"/>
              <w:start w:w="80" w:type="dxa"/>
              <w:bottom w:w="70" w:type="dxa"/>
              <w:end w:w="80" w:type="dxa"/>
            </w:tcMar>
          </w:tcPr>
          <w:p>
            <w:pPr>
              <w:spacing w:after="0" w:before="0"/>
            </w:pPr>
            <w:r>
              <w:rPr>
                <w:sz w:val="15"/>
              </w:rPr>
              <w:t>User-started foreground service, minimum permissions, disclosure video and policy review.</w:t>
            </w:r>
          </w:p>
        </w:tc>
      </w:tr>
      <w:tr>
        <w:tc>
          <w:tcPr>
            <w:tcW w:type="dxa" w:w="2304"/>
            <w:vAlign w:val="top"/>
            <w:tcMar>
              <w:top w:w="70" w:type="dxa"/>
              <w:start w:w="80" w:type="dxa"/>
              <w:bottom w:w="70" w:type="dxa"/>
              <w:end w:w="80" w:type="dxa"/>
            </w:tcMar>
            <w:shd w:fill="F4F6F8"/>
          </w:tcPr>
          <w:p>
            <w:pPr>
              <w:spacing w:after="0" w:before="0"/>
            </w:pPr>
            <w:r>
              <w:rPr>
                <w:sz w:val="15"/>
              </w:rPr>
              <w:t>WhatsApp quality/policy issue</w:t>
            </w:r>
          </w:p>
        </w:tc>
        <w:tc>
          <w:tcPr>
            <w:tcW w:type="dxa" w:w="2232"/>
            <w:vAlign w:val="top"/>
            <w:tcMar>
              <w:top w:w="70" w:type="dxa"/>
              <w:start w:w="80" w:type="dxa"/>
              <w:bottom w:w="70" w:type="dxa"/>
              <w:end w:w="80" w:type="dxa"/>
            </w:tcMar>
            <w:shd w:fill="F4F6F8"/>
          </w:tcPr>
          <w:p>
            <w:pPr>
              <w:spacing w:after="0" w:before="0"/>
            </w:pPr>
            <w:r>
              <w:rPr>
                <w:sz w:val="15"/>
              </w:rPr>
              <w:t>Messaging restriction</w:t>
            </w:r>
          </w:p>
        </w:tc>
        <w:tc>
          <w:tcPr>
            <w:tcW w:type="dxa" w:w="5112"/>
            <w:vAlign w:val="top"/>
            <w:tcMar>
              <w:top w:w="70" w:type="dxa"/>
              <w:start w:w="80" w:type="dxa"/>
              <w:bottom w:w="70" w:type="dxa"/>
              <w:end w:w="80" w:type="dxa"/>
            </w:tcMar>
            <w:shd w:fill="F4F6F8"/>
          </w:tcPr>
          <w:p>
            <w:pPr>
              <w:spacing w:after="0" w:before="0"/>
            </w:pPr>
            <w:r>
              <w:rPr>
                <w:sz w:val="15"/>
              </w:rPr>
              <w:t>Client-owned WABA, opt-in evidence, template governance and gradual rollout.</w:t>
            </w:r>
          </w:p>
        </w:tc>
      </w:tr>
      <w:tr>
        <w:tc>
          <w:tcPr>
            <w:tcW w:type="dxa" w:w="2304"/>
            <w:vAlign w:val="top"/>
            <w:tcMar>
              <w:top w:w="70" w:type="dxa"/>
              <w:start w:w="80" w:type="dxa"/>
              <w:bottom w:w="70" w:type="dxa"/>
              <w:end w:w="80" w:type="dxa"/>
            </w:tcMar>
          </w:tcPr>
          <w:p>
            <w:pPr>
              <w:spacing w:after="0" w:before="0"/>
            </w:pPr>
            <w:r>
              <w:rPr>
                <w:sz w:val="15"/>
              </w:rPr>
              <w:t>Cross-tenant data leak</w:t>
            </w:r>
          </w:p>
        </w:tc>
        <w:tc>
          <w:tcPr>
            <w:tcW w:type="dxa" w:w="2232"/>
            <w:vAlign w:val="top"/>
            <w:tcMar>
              <w:top w:w="70" w:type="dxa"/>
              <w:start w:w="80" w:type="dxa"/>
              <w:bottom w:w="70" w:type="dxa"/>
              <w:end w:w="80" w:type="dxa"/>
            </w:tcMar>
          </w:tcPr>
          <w:p>
            <w:pPr>
              <w:spacing w:after="0" w:before="0"/>
            </w:pPr>
            <w:r>
              <w:rPr>
                <w:sz w:val="15"/>
              </w:rPr>
              <w:t>Critical security incident</w:t>
            </w:r>
          </w:p>
        </w:tc>
        <w:tc>
          <w:tcPr>
            <w:tcW w:type="dxa" w:w="5112"/>
            <w:vAlign w:val="top"/>
            <w:tcMar>
              <w:top w:w="70" w:type="dxa"/>
              <w:start w:w="80" w:type="dxa"/>
              <w:bottom w:w="70" w:type="dxa"/>
              <w:end w:w="80" w:type="dxa"/>
            </w:tcMar>
          </w:tcPr>
          <w:p>
            <w:pPr>
              <w:spacing w:after="0" w:before="0"/>
            </w:pPr>
            <w:r>
              <w:rPr>
                <w:sz w:val="15"/>
              </w:rPr>
              <w:t>Composite tenant keys, TenantContext repositories, tests and support-elevation controls.</w:t>
            </w:r>
          </w:p>
        </w:tc>
      </w:tr>
      <w:tr>
        <w:tc>
          <w:tcPr>
            <w:tcW w:type="dxa" w:w="2304"/>
            <w:vAlign w:val="top"/>
            <w:tcMar>
              <w:top w:w="70" w:type="dxa"/>
              <w:start w:w="80" w:type="dxa"/>
              <w:bottom w:w="70" w:type="dxa"/>
              <w:end w:w="80" w:type="dxa"/>
            </w:tcMar>
            <w:shd w:fill="F4F6F8"/>
          </w:tcPr>
          <w:p>
            <w:pPr>
              <w:spacing w:after="0" w:before="0"/>
            </w:pPr>
            <w:r>
              <w:rPr>
                <w:sz w:val="15"/>
              </w:rPr>
              <w:t>Free-tier sleep/capacity</w:t>
            </w:r>
          </w:p>
        </w:tc>
        <w:tc>
          <w:tcPr>
            <w:tcW w:type="dxa" w:w="2232"/>
            <w:vAlign w:val="top"/>
            <w:tcMar>
              <w:top w:w="70" w:type="dxa"/>
              <w:start w:w="80" w:type="dxa"/>
              <w:bottom w:w="70" w:type="dxa"/>
              <w:end w:w="80" w:type="dxa"/>
            </w:tcMar>
            <w:shd w:fill="F4F6F8"/>
          </w:tcPr>
          <w:p>
            <w:pPr>
              <w:spacing w:after="0" w:before="0"/>
            </w:pPr>
            <w:r>
              <w:rPr>
                <w:sz w:val="15"/>
              </w:rPr>
              <w:t>Slow lead delivery</w:t>
            </w:r>
          </w:p>
        </w:tc>
        <w:tc>
          <w:tcPr>
            <w:tcW w:type="dxa" w:w="5112"/>
            <w:vAlign w:val="top"/>
            <w:tcMar>
              <w:top w:w="70" w:type="dxa"/>
              <w:start w:w="80" w:type="dxa"/>
              <w:bottom w:w="70" w:type="dxa"/>
              <w:end w:w="80" w:type="dxa"/>
            </w:tcMar>
            <w:shd w:fill="F4F6F8"/>
          </w:tcPr>
          <w:p>
            <w:pPr>
              <w:spacing w:after="0" w:before="0"/>
            </w:pPr>
            <w:r>
              <w:rPr>
                <w:sz w:val="15"/>
              </w:rPr>
              <w:t>Paid always-on production tier, queue metrics and realistic SLO.</w:t>
            </w:r>
          </w:p>
        </w:tc>
      </w:tr>
      <w:tr>
        <w:tc>
          <w:tcPr>
            <w:tcW w:type="dxa" w:w="2304"/>
            <w:vAlign w:val="top"/>
            <w:tcMar>
              <w:top w:w="70" w:type="dxa"/>
              <w:start w:w="80" w:type="dxa"/>
              <w:bottom w:w="70" w:type="dxa"/>
              <w:end w:w="80" w:type="dxa"/>
            </w:tcMar>
          </w:tcPr>
          <w:p>
            <w:pPr>
              <w:spacing w:after="0" w:before="0"/>
            </w:pPr>
            <w:r>
              <w:rPr>
                <w:sz w:val="15"/>
              </w:rPr>
              <w:t>Offline conflict</w:t>
            </w:r>
          </w:p>
        </w:tc>
        <w:tc>
          <w:tcPr>
            <w:tcW w:type="dxa" w:w="2232"/>
            <w:vAlign w:val="top"/>
            <w:tcMar>
              <w:top w:w="70" w:type="dxa"/>
              <w:start w:w="80" w:type="dxa"/>
              <w:bottom w:w="70" w:type="dxa"/>
              <w:end w:w="80" w:type="dxa"/>
            </w:tcMar>
          </w:tcPr>
          <w:p>
            <w:pPr>
              <w:spacing w:after="0" w:before="0"/>
            </w:pPr>
            <w:r>
              <w:rPr>
                <w:sz w:val="15"/>
              </w:rPr>
              <w:t>Incorrect status</w:t>
            </w:r>
          </w:p>
        </w:tc>
        <w:tc>
          <w:tcPr>
            <w:tcW w:type="dxa" w:w="5112"/>
            <w:vAlign w:val="top"/>
            <w:tcMar>
              <w:top w:w="70" w:type="dxa"/>
              <w:start w:w="80" w:type="dxa"/>
              <w:bottom w:w="70" w:type="dxa"/>
              <w:end w:w="80" w:type="dxa"/>
            </w:tcMar>
          </w:tcPr>
          <w:p>
            <w:pPr>
              <w:spacing w:after="0" w:before="0"/>
            </w:pPr>
            <w:r>
              <w:rPr>
                <w:sz w:val="15"/>
              </w:rPr>
              <w:t>Server-authoritative transitions, version checks and explicit conflict UI.</w:t>
            </w:r>
          </w:p>
        </w:tc>
      </w:tr>
      <w:tr>
        <w:tc>
          <w:tcPr>
            <w:tcW w:type="dxa" w:w="2304"/>
            <w:vAlign w:val="top"/>
            <w:tcMar>
              <w:top w:w="70" w:type="dxa"/>
              <w:start w:w="80" w:type="dxa"/>
              <w:bottom w:w="70" w:type="dxa"/>
              <w:end w:w="80" w:type="dxa"/>
            </w:tcMar>
            <w:shd w:fill="F4F6F8"/>
          </w:tcPr>
          <w:p>
            <w:pPr>
              <w:spacing w:after="0" w:before="0"/>
            </w:pPr>
            <w:r>
              <w:rPr>
                <w:sz w:val="15"/>
              </w:rPr>
              <w:t>Legal/regulatory change</w:t>
            </w:r>
          </w:p>
        </w:tc>
        <w:tc>
          <w:tcPr>
            <w:tcW w:type="dxa" w:w="2232"/>
            <w:vAlign w:val="top"/>
            <w:tcMar>
              <w:top w:w="70" w:type="dxa"/>
              <w:start w:w="80" w:type="dxa"/>
              <w:bottom w:w="70" w:type="dxa"/>
              <w:end w:w="80" w:type="dxa"/>
            </w:tcMar>
            <w:shd w:fill="F4F6F8"/>
          </w:tcPr>
          <w:p>
            <w:pPr>
              <w:spacing w:after="0" w:before="0"/>
            </w:pPr>
            <w:r>
              <w:rPr>
                <w:sz w:val="15"/>
              </w:rPr>
              <w:t>Non-compliant communication/data handling</w:t>
            </w:r>
          </w:p>
        </w:tc>
        <w:tc>
          <w:tcPr>
            <w:tcW w:type="dxa" w:w="5112"/>
            <w:vAlign w:val="top"/>
            <w:tcMar>
              <w:top w:w="70" w:type="dxa"/>
              <w:start w:w="80" w:type="dxa"/>
              <w:bottom w:w="70" w:type="dxa"/>
              <w:end w:w="80" w:type="dxa"/>
            </w:tcMar>
            <w:shd w:fill="F4F6F8"/>
          </w:tcPr>
          <w:p>
            <w:pPr>
              <w:spacing w:after="0" w:before="0"/>
            </w:pPr>
            <w:r>
              <w:rPr>
                <w:sz w:val="15"/>
              </w:rPr>
              <w:t>Launch-time legal review, configurable consent/retention and policy refresh checklist.</w:t>
            </w:r>
          </w:p>
        </w:tc>
      </w:tr>
    </w:tbl>
    <w:p>
      <w:pPr>
        <w:spacing w:after="0"/>
      </w:pPr>
    </w:p>
    <w:p>
      <w:r>
        <w:br w:type="page"/>
      </w:r>
    </w:p>
    <w:p>
      <w:pPr>
        <w:pStyle w:val="Heading2"/>
        <w:keepNext/>
      </w:pPr>
      <w:r>
        <w:t>26.3 Definition of done</w:t>
      </w:r>
    </w:p>
    <w:p>
      <w:pPr>
        <w:spacing w:after="40"/>
      </w:pPr>
      <w:r>
        <w:rPr>
          <w:b/>
        </w:rPr>
        <w:t xml:space="preserve">☐ </w:t>
      </w:r>
      <w:r>
        <w:t>Product requirement has role/scope acceptance tests and a mapped workflow/state transition.</w:t>
      </w:r>
    </w:p>
    <w:p>
      <w:pPr>
        <w:spacing w:after="40"/>
      </w:pPr>
      <w:r>
        <w:rPr>
          <w:b/>
        </w:rPr>
        <w:t xml:space="preserve">☐ </w:t>
      </w:r>
      <w:r>
        <w:t>API contract, validation, database migration and OpenAPI documentation are versioned.</w:t>
      </w:r>
    </w:p>
    <w:p>
      <w:pPr>
        <w:spacing w:after="40"/>
      </w:pPr>
      <w:r>
        <w:rPr>
          <w:b/>
        </w:rPr>
        <w:t xml:space="preserve">☐ </w:t>
      </w:r>
      <w:r>
        <w:t>Tenant constraints, indexes, audit event and permission policy are implemented.</w:t>
      </w:r>
    </w:p>
    <w:p>
      <w:pPr>
        <w:spacing w:after="40"/>
      </w:pPr>
      <w:r>
        <w:rPr>
          <w:b/>
        </w:rPr>
        <w:t xml:space="preserve">☐ </w:t>
      </w:r>
      <w:r>
        <w:t>Loading, empty, error, offline, retry, conflict and permission-denied UI states are implemented.</w:t>
      </w:r>
    </w:p>
    <w:p>
      <w:pPr>
        <w:spacing w:after="40"/>
      </w:pPr>
      <w:r>
        <w:rPr>
          <w:b/>
        </w:rPr>
        <w:t xml:space="preserve">☐ </w:t>
      </w:r>
      <w:r>
        <w:t>No competing web UI library is added; shadcn composition and accessibility review pass.</w:t>
      </w:r>
    </w:p>
    <w:p>
      <w:pPr>
        <w:spacing w:after="40"/>
      </w:pPr>
      <w:r>
        <w:rPr>
          <w:b/>
        </w:rPr>
        <w:t xml:space="preserve">☐ </w:t>
      </w:r>
      <w:r>
        <w:t>Idempotency, outbox, background retry, dead-letter and reconciliation behavior are tested.</w:t>
      </w:r>
    </w:p>
    <w:p>
      <w:pPr>
        <w:spacing w:after="40"/>
      </w:pPr>
      <w:r>
        <w:rPr>
          <w:b/>
        </w:rPr>
        <w:t xml:space="preserve">☐ </w:t>
      </w:r>
      <w:r>
        <w:t>Privacy disclosure, consent, retention, secure documents and incident behavior are reviewed.</w:t>
      </w:r>
    </w:p>
    <w:p>
      <w:pPr>
        <w:spacing w:after="40"/>
      </w:pPr>
      <w:r>
        <w:rPr>
          <w:b/>
        </w:rPr>
        <w:t xml:space="preserve">☐ </w:t>
      </w:r>
      <w:r>
        <w:t>Provider approval evidence, credentials, test users and runbooks are stored securely.</w:t>
      </w:r>
    </w:p>
    <w:p>
      <w:pPr>
        <w:spacing w:after="40"/>
      </w:pPr>
      <w:r>
        <w:rPr>
          <w:b/>
        </w:rPr>
        <w:t xml:space="preserve">☐ </w:t>
      </w:r>
      <w:r>
        <w:t>Observability dashboards, alerts, support and restore procedures exist.</w:t>
      </w:r>
    </w:p>
    <w:p>
      <w:pPr>
        <w:spacing w:after="40"/>
      </w:pPr>
      <w:r>
        <w:rPr>
          <w:b/>
        </w:rPr>
        <w:t xml:space="preserve">☐ </w:t>
      </w:r>
      <w:r>
        <w:t>Google Play, Meta/WhatsApp and GBP release checklists are signed off or feature-flagged.</w:t>
      </w:r>
    </w:p>
    <w:p>
      <w:pPr>
        <w:spacing w:after="40"/>
      </w:pPr>
      <w:r>
        <w:rPr>
          <w:b/>
        </w:rPr>
        <w:t xml:space="preserve">☐ </w:t>
      </w:r>
      <w:r>
        <w:t>Load, security, restore and pilot acceptance tests pass.</w:t>
      </w:r>
    </w:p>
    <w:p>
      <w:pPr>
        <w:spacing w:after="40"/>
      </w:pPr>
      <w:r>
        <w:rPr>
          <w:b/>
        </w:rPr>
        <w:t xml:space="preserve">☐ </w:t>
      </w:r>
      <w:r>
        <w:t>Product owner, engineering, operations and client pilot owner approve the release.</w:t>
      </w:r>
    </w:p>
    <w:p>
      <w:pPr>
        <w:sectPr>
          <w:headerReference w:type="default" r:id="rId9"/>
          <w:footerReference w:type="default" r:id="rId10"/>
          <w:headerReference w:type="first" r:id="rId49"/>
          <w:footerReference w:type="first" r:id="rId50"/>
          <w:pgSz w:w="11909" w:h="16834"/>
          <w:pgMar w:top="936" w:right="936" w:bottom="936" w:left="936" w:header="720" w:footer="720" w:gutter="0"/>
          <w:cols w:space="720"/>
          <w:docGrid w:linePitch="360"/>
        </w:sectPr>
      </w:pPr>
    </w:p>
    <w:p>
      <w:pPr>
        <w:pStyle w:val="Heading1"/>
        <w:keepNext/>
        <w:pageBreakBefore/>
      </w:pPr>
      <w:r>
        <w:t>27. Configuration, Approval Limits and Governance</w:t>
      </w:r>
    </w:p>
    <w:tbl>
      <w:tblPr>
        <w:tblW w:type="auto" w:w="0"/>
        <w:jc w:val="center"/>
        <w:tblLook w:firstColumn="1" w:firstRow="1" w:lastColumn="0" w:lastRow="0" w:noHBand="0" w:noVBand="1" w:val="04A0"/>
        <w:tblBorders>
          <w:top w:val="single" w:sz="8" w:space="0" w:color="1F6F78"/>
          <w:start w:val="single" w:sz="8" w:space="0" w:color="1F6F78"/>
          <w:bottom w:val="single" w:sz="8" w:space="0" w:color="1F6F78"/>
          <w:end w:val="single" w:sz="8" w:space="0" w:color="1F6F78"/>
          <w:insideH w:val="single" w:sz="8" w:space="0" w:color="1F6F78"/>
          <w:insideV w:val="single" w:sz="8" w:space="0" w:color="1F6F78"/>
        </w:tblBorders>
      </w:tblPr>
      <w:tblGrid>
        <w:gridCol w:w="10037"/>
      </w:tblGrid>
      <w:tr>
        <w:tc>
          <w:tcPr>
            <w:tcW w:type="dxa" w:w="10037"/>
            <w:shd w:fill="EAF4F6"/>
            <w:tcMar>
              <w:top w:w="100" w:type="dxa"/>
              <w:start w:w="120" w:type="dxa"/>
              <w:bottom w:w="100" w:type="dxa"/>
              <w:end w:w="120" w:type="dxa"/>
            </w:tcMar>
          </w:tcPr>
          <w:p>
            <w:pPr>
              <w:spacing w:after="0"/>
            </w:pPr>
            <w:r>
              <w:rPr>
                <w:rFonts w:ascii="Lato" w:hAnsi="Lato"/>
                <w:b/>
                <w:color w:val="1F6F78"/>
                <w:sz w:val="18"/>
              </w:rPr>
              <w:t>Configuration principle</w:t>
              <w:br/>
            </w:r>
            <w:r>
              <w:rPr>
                <w:rFonts w:ascii="Lato" w:hAnsi="Lato"/>
                <w:color w:val="123447"/>
                <w:sz w:val="18"/>
              </w:rPr>
              <w:t>No commercial threshold, SLA, retention period, location interval or approval amount is hardcoded. Every tenant configuration is versioned, has an effective date, records the actor/approver and can be rolled back through an audited change.</w:t>
            </w:r>
          </w:p>
        </w:tc>
        <w:trPr>
          <w:tblHeader/>
        </w:trPr>
      </w:tr>
    </w:tbl>
    <w:p>
      <w:pPr>
        <w:pStyle w:val="Heading2"/>
        <w:keepNext/>
      </w:pPr>
      <w:r>
        <w:t>27.1 Tenant configuration registry</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5"/>
              </w:rPr>
              <w:t>Rule key</w:t>
            </w:r>
          </w:p>
        </w:tc>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5"/>
              </w:rPr>
              <w:t>Default recommendation</w:t>
            </w:r>
          </w:p>
        </w:tc>
        <w:tc>
          <w:tcPr>
            <w:tcW w:type="dxa" w:w="1800"/>
            <w:vAlign w:val="center"/>
            <w:tcMar>
              <w:top w:w="70" w:type="dxa"/>
              <w:start w:w="90" w:type="dxa"/>
              <w:bottom w:w="70" w:type="dxa"/>
              <w:end w:w="90" w:type="dxa"/>
            </w:tcMar>
            <w:shd w:fill="123447"/>
          </w:tcPr>
          <w:p>
            <w:pPr>
              <w:spacing w:after="0" w:before="0" w:line="240" w:lineRule="auto"/>
            </w:pPr>
            <w:r>
              <w:rPr>
                <w:rFonts w:ascii="Lato" w:hAnsi="Lato"/>
                <w:b/>
                <w:color w:val="FFFFFF"/>
                <w:sz w:val="15"/>
              </w:rPr>
              <w:t>Owner</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5"/>
              </w:rPr>
              <w:t>Enforcement</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TIMEZONE / WORKING_HOURS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Asia/Kolkata; branch calendar</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Client Admin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5"/>
              </w:rPr>
              <w:t>Used for SLA, reminders and reports; changes are effective-dated.</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FIRST_ACTION_SLA_MIN</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15 minutes recommended pilot value</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Sales Manager + Client Admin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Starts on durable lead receipt; pauses only for configured closed hours.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FOLLOWUP_OVERDUE_MIN</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Configurable by lead stage</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Sales Manager</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5"/>
              </w:rPr>
              <w:t>Creates escalation, never silently reassigns without policy.</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MAX_ACTIVE_LEADS_PER_USER</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Capacity by role/team</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Client Admin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Used by round-robin; manager override requires reason.</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INVENTORY_RESERVATION_TTL</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24 hours recommended</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Inventory Manager/Client Admin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5"/>
              </w:rPr>
              <w:t>Expiry worker releases unconfirmed reservations and records event.</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DISCOUNT_APPROVAL_LIMITS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Role/branch/model-specific</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Client Admin + Manager</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Amounts stored in minor currency units; no frontend-only enforcement.</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DELIVERY_PAYMENT_GATE</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Completed / configured approved threshold</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Client Admin + Finance owner</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5"/>
              </w:rPr>
              <w:t>Backend blocks delivery start until gate passes or approved override exists.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LOCATION_UPDATE / STALE</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30–60 sec / configurable stale threshold</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Client Admin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Active jobs only; foreground disclosure and battery/network tolerance.</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RC_ESCALATION_DAYS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Stage-specific aging thresholds</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Manager</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5"/>
              </w:rPr>
              <w:t>Creates task/escalation; does not invent RTO completion date.</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RETENTION_POLICY_ID</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Client/legal-approved policy</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Client Admin + privacy owner</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Applies to recordings, webhook payloads, exports, location and documents.</w:t>
            </w:r>
          </w:p>
        </w:tc>
      </w:tr>
    </w:tbl>
    <w:p>
      <w:pPr>
        <w:pStyle w:val="Heading2"/>
        <w:keepNext/>
      </w:pPr>
      <w:r>
        <w:t>27.2 Approval and exception matrix</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007"/>
        <w:gridCol w:w="2007"/>
        <w:gridCol w:w="2007"/>
        <w:gridCol w:w="2007"/>
        <w:gridCol w:w="2007"/>
      </w:tblGrid>
      <w:tr>
        <w:trPr>
          <w:tblHeader w:val="true"/>
        </w:trPr>
        <w:tc>
          <w:tcPr>
            <w:tcW w:type="dxa" w:w="2088"/>
            <w:vAlign w:val="center"/>
            <w:tcMar>
              <w:top w:w="70" w:type="dxa"/>
              <w:start w:w="90" w:type="dxa"/>
              <w:bottom w:w="70" w:type="dxa"/>
              <w:end w:w="90" w:type="dxa"/>
            </w:tcMar>
            <w:shd w:fill="123447"/>
          </w:tcPr>
          <w:p>
            <w:pPr>
              <w:spacing w:after="0" w:before="0" w:line="240" w:lineRule="auto"/>
            </w:pPr>
            <w:r>
              <w:rPr>
                <w:rFonts w:ascii="Lato" w:hAnsi="Lato"/>
                <w:b/>
                <w:color w:val="FFFFFF"/>
                <w:sz w:val="14"/>
              </w:rPr>
              <w:t>Action</w:t>
            </w:r>
          </w:p>
        </w:tc>
        <w:tc>
          <w:tcPr>
            <w:tcW w:type="dxa" w:w="1800"/>
            <w:vAlign w:val="center"/>
            <w:tcMar>
              <w:top w:w="70" w:type="dxa"/>
              <w:start w:w="90" w:type="dxa"/>
              <w:bottom w:w="70" w:type="dxa"/>
              <w:end w:w="90" w:type="dxa"/>
            </w:tcMar>
            <w:shd w:fill="123447"/>
          </w:tcPr>
          <w:p>
            <w:pPr>
              <w:spacing w:after="0" w:before="0" w:line="240" w:lineRule="auto"/>
            </w:pPr>
            <w:r>
              <w:rPr>
                <w:rFonts w:ascii="Lato" w:hAnsi="Lato"/>
                <w:b/>
                <w:color w:val="FFFFFF"/>
                <w:sz w:val="14"/>
              </w:rPr>
              <w:t>Initiator</w:t>
            </w:r>
          </w:p>
        </w:tc>
        <w:tc>
          <w:tcPr>
            <w:tcW w:type="dxa" w:w="1800"/>
            <w:vAlign w:val="center"/>
            <w:tcMar>
              <w:top w:w="70" w:type="dxa"/>
              <w:start w:w="90" w:type="dxa"/>
              <w:bottom w:w="70" w:type="dxa"/>
              <w:end w:w="90" w:type="dxa"/>
            </w:tcMar>
            <w:shd w:fill="123447"/>
          </w:tcPr>
          <w:p>
            <w:pPr>
              <w:spacing w:after="0" w:before="0" w:line="240" w:lineRule="auto"/>
            </w:pPr>
            <w:r>
              <w:rPr>
                <w:rFonts w:ascii="Lato" w:hAnsi="Lato"/>
                <w:b/>
                <w:color w:val="FFFFFF"/>
                <w:sz w:val="14"/>
              </w:rPr>
              <w:t>Approver</w:t>
            </w:r>
          </w:p>
        </w:tc>
        <w:tc>
          <w:tcPr>
            <w:tcW w:type="dxa" w:w="2448"/>
            <w:vAlign w:val="center"/>
            <w:tcMar>
              <w:top w:w="70" w:type="dxa"/>
              <w:start w:w="90" w:type="dxa"/>
              <w:bottom w:w="70" w:type="dxa"/>
              <w:end w:w="90" w:type="dxa"/>
            </w:tcMar>
            <w:shd w:fill="123447"/>
          </w:tcPr>
          <w:p>
            <w:pPr>
              <w:spacing w:after="0" w:before="0" w:line="240" w:lineRule="auto"/>
            </w:pPr>
            <w:r>
              <w:rPr>
                <w:rFonts w:ascii="Lato" w:hAnsi="Lato"/>
                <w:b/>
                <w:color w:val="FFFFFF"/>
                <w:sz w:val="14"/>
              </w:rPr>
              <w:t>Evidence</w:t>
            </w:r>
          </w:p>
        </w:tc>
        <w:tc>
          <w:tcPr>
            <w:tcW w:type="dxa" w:w="2304"/>
            <w:vAlign w:val="center"/>
            <w:tcMar>
              <w:top w:w="70" w:type="dxa"/>
              <w:start w:w="90" w:type="dxa"/>
              <w:bottom w:w="70" w:type="dxa"/>
              <w:end w:w="90" w:type="dxa"/>
            </w:tcMar>
            <w:shd w:fill="123447"/>
          </w:tcPr>
          <w:p>
            <w:pPr>
              <w:spacing w:after="0" w:before="0" w:line="240" w:lineRule="auto"/>
            </w:pPr>
            <w:r>
              <w:rPr>
                <w:rFonts w:ascii="Lato" w:hAnsi="Lato"/>
                <w:b/>
                <w:color w:val="FFFFFF"/>
                <w:sz w:val="14"/>
              </w:rPr>
              <w:t>Backend result</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4"/>
              </w:rPr>
              <w:t>Discount above role limit</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Salesperson / Sales Manager</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Configured next-level approver</w:t>
            </w:r>
          </w:p>
        </w:tc>
        <w:tc>
          <w:tcPr>
            <w:tcW w:type="dxa" w:w="2448"/>
            <w:vAlign w:val="center"/>
            <w:tcMar>
              <w:top w:w="70" w:type="dxa"/>
              <w:start w:w="90" w:type="dxa"/>
              <w:bottom w:w="70" w:type="dxa"/>
              <w:end w:w="90" w:type="dxa"/>
            </w:tcMar>
          </w:tcPr>
          <w:p>
            <w:pPr>
              <w:spacing w:after="0" w:before="0" w:line="240" w:lineRule="auto"/>
            </w:pPr>
            <w:r>
              <w:rPr>
                <w:rFonts w:ascii="Lato" w:hAnsi="Lato"/>
                <w:b w:val="0"/>
                <w:color w:val="123447"/>
                <w:sz w:val="14"/>
              </w:rPr>
              <w:t>Quotation, reason, before/after amount</w:t>
            </w:r>
          </w:p>
        </w:tc>
        <w:tc>
          <w:tcPr>
            <w:tcW w:type="dxa" w:w="2304"/>
            <w:vAlign w:val="center"/>
            <w:tcMar>
              <w:top w:w="70" w:type="dxa"/>
              <w:start w:w="90" w:type="dxa"/>
              <w:bottom w:w="70" w:type="dxa"/>
              <w:end w:w="90" w:type="dxa"/>
            </w:tcMar>
          </w:tcPr>
          <w:p>
            <w:pPr>
              <w:spacing w:after="0" w:before="0" w:line="240" w:lineRule="auto"/>
            </w:pPr>
            <w:r>
              <w:rPr>
                <w:rFonts w:ascii="Lato" w:hAnsi="Lato"/>
                <w:b w:val="0"/>
                <w:color w:val="123447"/>
                <w:sz w:val="14"/>
              </w:rPr>
              <w:t>Booking cannot confirm until approved.</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Booking cancellation after payment</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Sales / Billing</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Manager + Billing owner</w:t>
            </w:r>
          </w:p>
        </w:tc>
        <w:tc>
          <w:tcPr>
            <w:tcW w:type="dxa" w:w="244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Customer request, payment impact, cancellation reason</w:t>
            </w:r>
          </w:p>
        </w:tc>
        <w:tc>
          <w:tcPr>
            <w:tcW w:type="dxa" w:w="230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Booking closes; refund is tracked externally unless integrated.</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4"/>
              </w:rPr>
              <w:t>Payment correction/reversal</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Billing</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Manager or configured finance approver</w:t>
            </w:r>
          </w:p>
        </w:tc>
        <w:tc>
          <w:tcPr>
            <w:tcW w:type="dxa" w:w="2448"/>
            <w:vAlign w:val="center"/>
            <w:tcMar>
              <w:top w:w="70" w:type="dxa"/>
              <w:start w:w="90" w:type="dxa"/>
              <w:bottom w:w="70" w:type="dxa"/>
              <w:end w:w="90" w:type="dxa"/>
            </w:tcMar>
          </w:tcPr>
          <w:p>
            <w:pPr>
              <w:spacing w:after="0" w:before="0" w:line="240" w:lineRule="auto"/>
            </w:pPr>
            <w:r>
              <w:rPr>
                <w:rFonts w:ascii="Lato" w:hAnsi="Lato"/>
                <w:b w:val="0"/>
                <w:color w:val="123447"/>
                <w:sz w:val="14"/>
              </w:rPr>
              <w:t>Original entry, correction reason, proof</w:t>
            </w:r>
          </w:p>
        </w:tc>
        <w:tc>
          <w:tcPr>
            <w:tcW w:type="dxa" w:w="2304"/>
            <w:vAlign w:val="center"/>
            <w:tcMar>
              <w:top w:w="70" w:type="dxa"/>
              <w:start w:w="90" w:type="dxa"/>
              <w:bottom w:w="70" w:type="dxa"/>
              <w:end w:w="90" w:type="dxa"/>
            </w:tcMar>
          </w:tcPr>
          <w:p>
            <w:pPr>
              <w:spacing w:after="0" w:before="0" w:line="240" w:lineRule="auto"/>
            </w:pPr>
            <w:r>
              <w:rPr>
                <w:rFonts w:ascii="Lato" w:hAnsi="Lato"/>
                <w:b w:val="0"/>
                <w:color w:val="123447"/>
                <w:sz w:val="14"/>
              </w:rPr>
              <w:t>Append-only correction; original entry is never overwritten.</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VIN reallocation after confirmation</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Inventory</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Manager</w:t>
            </w:r>
          </w:p>
        </w:tc>
        <w:tc>
          <w:tcPr>
            <w:tcW w:type="dxa" w:w="244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Old/new VIN, customer impact, reason</w:t>
            </w:r>
          </w:p>
        </w:tc>
        <w:tc>
          <w:tcPr>
            <w:tcW w:type="dxa" w:w="230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Old allocation released atomically; duplicate allocation blocked.</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4"/>
              </w:rPr>
              <w:t>Delivery readiness override</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Billing/Inventory</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Manager</w:t>
            </w:r>
          </w:p>
        </w:tc>
        <w:tc>
          <w:tcPr>
            <w:tcW w:type="dxa" w:w="2448"/>
            <w:vAlign w:val="center"/>
            <w:tcMar>
              <w:top w:w="70" w:type="dxa"/>
              <w:start w:w="90" w:type="dxa"/>
              <w:bottom w:w="70" w:type="dxa"/>
              <w:end w:w="90" w:type="dxa"/>
            </w:tcMar>
          </w:tcPr>
          <w:p>
            <w:pPr>
              <w:spacing w:after="0" w:before="0" w:line="240" w:lineRule="auto"/>
            </w:pPr>
            <w:r>
              <w:rPr>
                <w:rFonts w:ascii="Lato" w:hAnsi="Lato"/>
                <w:b w:val="0"/>
                <w:color w:val="123447"/>
                <w:sz w:val="14"/>
              </w:rPr>
              <w:t>Blocked gate, risk acceptance and expiry</w:t>
            </w:r>
          </w:p>
        </w:tc>
        <w:tc>
          <w:tcPr>
            <w:tcW w:type="dxa" w:w="2304"/>
            <w:vAlign w:val="center"/>
            <w:tcMar>
              <w:top w:w="70" w:type="dxa"/>
              <w:start w:w="90" w:type="dxa"/>
              <w:bottom w:w="70" w:type="dxa"/>
              <w:end w:w="90" w:type="dxa"/>
            </w:tcMar>
          </w:tcPr>
          <w:p>
            <w:pPr>
              <w:spacing w:after="0" w:before="0" w:line="240" w:lineRule="auto"/>
            </w:pPr>
            <w:r>
              <w:rPr>
                <w:rFonts w:ascii="Lato" w:hAnsi="Lato"/>
                <w:b w:val="0"/>
                <w:color w:val="123447"/>
                <w:sz w:val="14"/>
              </w:rPr>
              <w:t>One-time scoped override; Delivery cannot edit gate data.</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RC closure without RC copy</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RC Executive</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Manager</w:t>
            </w:r>
          </w:p>
        </w:tc>
        <w:tc>
          <w:tcPr>
            <w:tcW w:type="dxa" w:w="244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Reason and alternative evidence</w:t>
            </w:r>
          </w:p>
        </w:tc>
        <w:tc>
          <w:tcPr>
            <w:tcW w:type="dxa" w:w="230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Case marked exception-closed and remains reportable.</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4"/>
              </w:rPr>
              <w:t>Bulk export / high-volume download</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Authorized office role</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4"/>
              </w:rPr>
              <w:t>Client Admin policy</w:t>
            </w:r>
          </w:p>
        </w:tc>
        <w:tc>
          <w:tcPr>
            <w:tcW w:type="dxa" w:w="2448"/>
            <w:vAlign w:val="center"/>
            <w:tcMar>
              <w:top w:w="70" w:type="dxa"/>
              <w:start w:w="90" w:type="dxa"/>
              <w:bottom w:w="70" w:type="dxa"/>
              <w:end w:w="90" w:type="dxa"/>
            </w:tcMar>
          </w:tcPr>
          <w:p>
            <w:pPr>
              <w:spacing w:after="0" w:before="0" w:line="240" w:lineRule="auto"/>
            </w:pPr>
            <w:r>
              <w:rPr>
                <w:rFonts w:ascii="Lato" w:hAnsi="Lato"/>
                <w:b w:val="0"/>
                <w:color w:val="123447"/>
                <w:sz w:val="14"/>
              </w:rPr>
              <w:t>Purpose, filters, record count</w:t>
            </w:r>
          </w:p>
        </w:tc>
        <w:tc>
          <w:tcPr>
            <w:tcW w:type="dxa" w:w="2304"/>
            <w:vAlign w:val="center"/>
            <w:tcMar>
              <w:top w:w="70" w:type="dxa"/>
              <w:start w:w="90" w:type="dxa"/>
              <w:bottom w:w="70" w:type="dxa"/>
              <w:end w:w="90" w:type="dxa"/>
            </w:tcMar>
          </w:tcPr>
          <w:p>
            <w:pPr>
              <w:spacing w:after="0" w:before="0" w:line="240" w:lineRule="auto"/>
            </w:pPr>
            <w:r>
              <w:rPr>
                <w:rFonts w:ascii="Lato" w:hAnsi="Lato"/>
                <w:b w:val="0"/>
                <w:color w:val="123447"/>
                <w:sz w:val="14"/>
              </w:rPr>
              <w:t>Short-lived export, watermark/audit and automatic expiry.</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Agency support impersonation</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Agency Admin</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Time-bound platform policy</w:t>
            </w:r>
          </w:p>
        </w:tc>
        <w:tc>
          <w:tcPr>
            <w:tcW w:type="dxa" w:w="244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Ticket, reason, duration</w:t>
            </w:r>
          </w:p>
        </w:tc>
        <w:tc>
          <w:tcPr>
            <w:tcW w:type="dxa" w:w="230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Visible banner, immutable audit and automatic revocation.</w:t>
            </w:r>
          </w:p>
        </w:tc>
      </w:tr>
    </w:tbl>
    <w:p>
      <w:pPr>
        <w:pStyle w:val="Heading2"/>
        <w:keepNext/>
      </w:pPr>
      <w:r>
        <w:t>27.3 Change governance</w:t>
      </w:r>
    </w:p>
    <w:p>
      <w:pPr>
        <w:pStyle w:val="ListBullet"/>
        <w:spacing w:after="50"/>
      </w:pPr>
      <w:r>
        <w:rPr>
          <w:rFonts w:ascii="Lato" w:hAnsi="Lato"/>
          <w:color w:val="123447"/>
          <w:sz w:val="18"/>
        </w:rPr>
        <w:t>Configuration changes are written through command APIs; direct production database edits are prohibited except an incident runbook with two-person review.</w:t>
      </w:r>
    </w:p>
    <w:p>
      <w:pPr>
        <w:pStyle w:val="ListBullet"/>
        <w:spacing w:after="50"/>
      </w:pPr>
      <w:r>
        <w:rPr>
          <w:rFonts w:ascii="Lato" w:hAnsi="Lato"/>
          <w:color w:val="123447"/>
          <w:sz w:val="18"/>
        </w:rPr>
        <w:t>Workflow, permission and template changes are drafted, validated, approved and activated as a version. Historical records retain the version that governed them.</w:t>
      </w:r>
    </w:p>
    <w:p>
      <w:pPr>
        <w:pStyle w:val="ListBullet"/>
        <w:spacing w:after="50"/>
      </w:pPr>
      <w:r>
        <w:rPr>
          <w:rFonts w:ascii="Lato" w:hAnsi="Lato"/>
          <w:color w:val="123447"/>
          <w:sz w:val="18"/>
        </w:rPr>
        <w:t>Feature flags are tenant-scoped and environment-scoped. A disabled provider feature must show a clear reason and must not expose incomplete UI actions.</w:t>
      </w:r>
    </w:p>
    <w:p>
      <w:pPr>
        <w:pStyle w:val="ListBullet"/>
        <w:spacing w:after="50"/>
      </w:pPr>
      <w:r>
        <w:rPr>
          <w:rFonts w:ascii="Lato" w:hAnsi="Lato"/>
          <w:color w:val="123447"/>
          <w:sz w:val="18"/>
        </w:rPr>
        <w:t>Scope changes after baseline require a written impact note covering product behavior, data model, permissions, mobile/web UI, integrations, testing, cost and timeline.</w:t>
      </w:r>
    </w:p>
    <w:p>
      <w:pPr>
        <w:pStyle w:val="Heading1"/>
        <w:keepNext/>
        <w:pageBreakBefore/>
      </w:pPr>
      <w:r>
        <w:t>28. State Machines and Transition Contracts</w:t>
      </w:r>
    </w:p>
    <w:tbl>
      <w:tblPr>
        <w:tblW w:type="auto" w:w="0"/>
        <w:jc w:val="center"/>
        <w:tblLook w:firstColumn="1" w:firstRow="1" w:lastColumn="0" w:lastRow="0" w:noHBand="0" w:noVBand="1" w:val="04A0"/>
        <w:tblBorders>
          <w:top w:val="single" w:sz="8" w:space="0" w:color="1F6F78"/>
          <w:start w:val="single" w:sz="8" w:space="0" w:color="1F6F78"/>
          <w:bottom w:val="single" w:sz="8" w:space="0" w:color="1F6F78"/>
          <w:end w:val="single" w:sz="8" w:space="0" w:color="1F6F78"/>
          <w:insideH w:val="single" w:sz="8" w:space="0" w:color="1F6F78"/>
          <w:insideV w:val="single" w:sz="8" w:space="0" w:color="1F6F78"/>
        </w:tblBorders>
      </w:tblPr>
      <w:tblGrid>
        <w:gridCol w:w="10037"/>
      </w:tblGrid>
      <w:tr>
        <w:tc>
          <w:tcPr>
            <w:tcW w:type="dxa" w:w="10037"/>
            <w:shd w:fill="EAF4F6"/>
            <w:tcMar>
              <w:top w:w="100" w:type="dxa"/>
              <w:start w:w="120" w:type="dxa"/>
              <w:bottom w:w="100" w:type="dxa"/>
              <w:end w:w="120" w:type="dxa"/>
            </w:tcMar>
          </w:tcPr>
          <w:p>
            <w:pPr>
              <w:spacing w:after="0"/>
            </w:pPr>
            <w:r>
              <w:rPr>
                <w:rFonts w:ascii="Lato" w:hAnsi="Lato"/>
                <w:b/>
                <w:color w:val="1F6F78"/>
                <w:sz w:val="18"/>
              </w:rPr>
              <w:t>Universal transition contract</w:t>
              <w:br/>
            </w:r>
            <w:r>
              <w:rPr>
                <w:rFonts w:ascii="Lato" w:hAnsi="Lato"/>
                <w:color w:val="123447"/>
                <w:sz w:val="18"/>
              </w:rPr>
              <w:t>Every business transition executes in the NestJS backend with tenant authorization, expected entity version, mandatory evidence, a status-history record, an audit event and an outbox/domain event in one database transaction. Invalid transitions return a conflict response and never partially update related records.</w:t>
            </w:r>
          </w:p>
        </w:tc>
        <w:trPr>
          <w:tblHeader/>
        </w:trPr>
      </w:tr>
    </w:tbl>
    <w:p>
      <w:pPr>
        <w:pStyle w:val="Heading2"/>
        <w:keepNext/>
      </w:pPr>
      <w:r>
        <w:t>28.1 Lead and opportunity transitions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Transition</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Allowed actor</w:t>
            </w:r>
          </w:p>
        </w:tc>
        <w:tc>
          <w:tcPr>
            <w:tcW w:type="dxa" w:w="288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evidence</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4"/>
              </w:rPr>
              <w:t>Side effects / guards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NEW → PENDING_REVIEW</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System ingestion</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Normalized phone/source/branch and durable webhook/form receipt</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Start SLA; dedupe before assignment.</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PENDING_REVIEW → CONTACT_ATTEMPT</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Telecaller/Salesperson</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Call/message action or manual attempt note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Record first-action timestamp.</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PENDING_REVIEW / CONTACT_ATTEMPT → ACCEPTED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Telecaller/Salesperson; manager override</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Qualification, model interest and next action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Assign/freeze relationship owner; create sales task.</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PENDING_REVIEW / CONTACT_ATTEMPT → REJECTED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Telecaller/Salesperson</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Mandatory rejection reason and evidence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Inactive but searchable; duplicate link retained.</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ACCEPTED → CONTACTED / INTERESTED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Salesperson</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Successful customer interaction and qualification update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Update funnel timestamps; keep source unchanged.</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ACCEPTED/CONTACTED/INTERESTED → FOLLOW_UP</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Salesperson</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Future due date, purpose and channel</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Create reminder; no lead may remain active without next action.</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INTERESTED/FOLLOW_UP → SHOWROOM_VISIT</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Salesperson</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Visit date/branch/result</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Create visit event; owner unchanged.</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INTERESTED/FOLLOW_UP/SHOWROOM_VISIT → TEST_RIDE_REQUESTED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Salesperson</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Model, time/location preference and confirmation state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Create test-ride job request.</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Any accepted active stage → NEGOTIATION</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Salesperson</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Quotation/version and notes</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Discount approvals enforced separately.</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NEGOTIATION → BOOKING_CONFIRMED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Salesperson + booking rules</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Customer confirmation, approved price and booking evidence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Create booking, parallel billing/inventory tasks.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Any accepted active stage → LOST</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Salesperson; manager review policy</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Mandatory lost reason and note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Inactive; original owner/source/history retained.</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REJECTED/LOST → REOPENED/ACCEPTED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Sales Manager/authorized role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Reopen reason and new next action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New lifecycle event; old outcome remains immutable.</w:t>
            </w:r>
          </w:p>
        </w:tc>
      </w:tr>
    </w:tbl>
    <w:p>
      <w:pPr>
        <w:pStyle w:val="Heading2"/>
        <w:keepNext/>
      </w:pPr>
      <w:r>
        <w:t>28.2 Test ride transitions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Transition</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Allowed actor</w:t>
            </w:r>
          </w:p>
        </w:tc>
        <w:tc>
          <w:tcPr>
            <w:tcW w:type="dxa" w:w="288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evidence</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4"/>
              </w:rPr>
              <w:t>Side effects / guards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REQUESTED → BOOKED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Salesperson/Sales Manager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Branch, time, vehicle class/unit and customer preference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Conflict check; no double-booked demo unit.</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BOOKED → CUSTOMER_CONFIRMED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Salesperson/System</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Confirmation timestamp/channel</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Notify assigned queue.</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CUSTOMER_CONFIRMED → EXECUTIVE_ASSIGNED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Manager/Sales Manager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Eligible executive and demo unit</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Create mobile task/push.</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EXECUTIVE_ASSIGNED → ACTIVE</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Assigned Ride Executive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Explicit Start, permission, foreground notice, optional OTP/checklist</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Start active location session.</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ACTIVE → COMPLETED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Assigned Ride Executive</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End km, checklist, feedback and completion time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Stop tracking immediately; notify Salesperson.</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REQUESTED/BOOKED/ASSIGNED/ACTIVE → CANCELLED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Authorized actor by stage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Cancellation reason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Release demo reservation and stop tracking.</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BOOKED/ASSIGNED → NO_SHOW</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Ride Executive/Manager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Wait/attempt evidence and reason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Release vehicle; create Sales follow-up.</w:t>
            </w:r>
          </w:p>
        </w:tc>
      </w:tr>
    </w:tbl>
    <w:p>
      <w:pPr>
        <w:pStyle w:val="Heading2"/>
        <w:keepNext/>
      </w:pPr>
      <w:r>
        <w:t>28.3 Inventory and vehicle-unit transitions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Transition</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Allowed actor</w:t>
            </w:r>
          </w:p>
        </w:tc>
        <w:tc>
          <w:tcPr>
            <w:tcW w:type="dxa" w:w="288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evidence</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4"/>
              </w:rPr>
              <w:t>Side effects / guards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IN_TRANSIT → RECEIVED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Inventory role</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Supplier/OEM reference, branch, receipt date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Create stock intake event.</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RECEIVED → AVAILABLE</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Inventory role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VIN/engine verification and intake checklist</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VIN unique inside client; searchable stock.</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AVAILABLE → RESERVED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Inventory role/System</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Booking/lead, expiry and model match</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One active reservation per unit.</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RESERVED → AVAILABLE</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System/Inventory role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Expiry, cancellation or manual release reason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Reservation history retained.</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RESERVED → ALLOCATED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Inventory role</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Confirmed booking and approved variant/colour</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One active allocation per booking and unit.</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AVAILABLE ↔ DEMO</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Inventory Manager</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Demo designation and effective date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Demo unit excluded from sale allocation unless released.</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AVAILABLE/RESERVED → BLOCKED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Inventory/Manager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Damage/compliance/hold reason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Cannot allocate or deliver.</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ALLOCATED → PDI</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Inventory/Delivery prep role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Readiness task and planned delivery</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Delivery gate tracks PDI separately.</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PDI → DELIVERED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Delivery completion event</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Signed/OTP/photo proof and booking match</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Unit becomes customer-owned vehicle; immutable VIN link.</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AVAILABLE/BLOCKED → TRANSFERRED/RETURNED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Inventory Manager</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Destination/reference and approval</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Atomic branch/status update and audit.</w:t>
            </w:r>
          </w:p>
        </w:tc>
      </w:tr>
    </w:tbl>
    <w:p>
      <w:pPr>
        <w:pStyle w:val="Heading2"/>
        <w:keepNext/>
      </w:pPr>
      <w:r>
        <w:t>28.4 Booking, payment and finance transitions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Transition</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Allowed actor</w:t>
            </w:r>
          </w:p>
        </w:tc>
        <w:tc>
          <w:tcPr>
            <w:tcW w:type="dxa" w:w="288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evidence</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4"/>
              </w:rPr>
              <w:t>Side effects / guards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DRAFT → CONFIRMED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Salesperson + approval policy</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Customer, price components, model, branch and confirmation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Create billing/inventory/registration tasks.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CONFIRMED → CANCELLED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Authorized Sales/Billing</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Cancellation reason, payment impact and approval</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Release stock; preserve financial history.</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PAYMENT_PENDING → PARTIAL</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Billing</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Verified payment entry</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Recompute balance from append-only entries.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PAYMENT_PENDING/PARTIAL → COMPLETED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Billing</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Verified entries equal payable amount or configured gate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Payment gate passes; emit event.</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Any payment state → CORRECTION_POSTED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Billing + approver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Linked original entry and reason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Original remains immutable; totals recompute.</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FINANCE_APPLIED → APPROVED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Billing</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Partner approval/reference and sanctioned amount</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Expected disbursement tracked.</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FINANCE_APPLIED → REJECTED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Billing</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Partner response/reason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Sales follow-up and alternate payment task.</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FINANCE_APPROVED → DISBURSED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Billing</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Disbursement reference/date/amount</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Finance gate passes according to policy.</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Readiness blocked → READY_FOR_DELIVERY</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Backend after all gates</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Booking, vehicle, payment/finance, invoice/insurance/document checks</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Delivery may be scheduled/started.</w:t>
            </w:r>
          </w:p>
        </w:tc>
      </w:tr>
    </w:tbl>
    <w:p>
      <w:pPr>
        <w:pStyle w:val="Heading2"/>
        <w:keepNext/>
      </w:pPr>
      <w:r>
        <w:rPr>
          <w:rFonts w:ascii="Lato" w:hAnsi="Lato"/>
          <w:b/>
          <w:color w:val="1F6F78"/>
          <w:sz w:val="26"/>
        </w:rPr>
        <w:t>28.5 Delivery transitions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Delivery transition</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Allowed actor</w:t>
            </w:r>
          </w:p>
        </w:tc>
        <w:tc>
          <w:tcPr>
            <w:tcW w:type="dxa" w:w="288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evidence</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4"/>
              </w:rPr>
              <w:t>Side effects / guards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VEHICLE_ALLOCATED → PREPARATION</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Delivery prep/Inventory</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Allocated VIN and checklist owner</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Create readiness tasks.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PREPARATION → READY</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Backend/authorized role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All mandatory readiness gate items pass</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Schedule enabled.</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READY → SCHEDULED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Manager/Billing/Delivery coordinator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Date/time/address and assigned executive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Customer notification queued.</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SCHEDULED → OUT_FOR_DELIVERY</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Assigned Delivery Executive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Explicit Start and readiness re-check</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Start foreground tracking.</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OUT_FOR_DELIVERY → DELIVERED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Assigned Delivery Executive</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OTP/signature/photo, recipient and completion time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Stop tracking; create customer vehicle/reminders.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SCHEDULED/OUT_FOR_DELIVERY → DELAYED/FAILED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Delivery Executive/Manager</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Reason, next action and customer update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Stop tracking if job ended; reschedule task.</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DELAYED/FAILED → RESCHEDULED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Manager/Delivery coordinator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New time and issue resolution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New assignment notification.</w:t>
            </w:r>
          </w:p>
        </w:tc>
      </w:tr>
    </w:tbl>
    <w:p>
      <w:pPr>
        <w:pStyle w:val="Heading2"/>
        <w:keepNext/>
      </w:pPr>
      <w:r>
        <w:rPr>
          <w:rFonts w:ascii="Lato" w:hAnsi="Lato"/>
          <w:b/>
          <w:color w:val="1F6F78"/>
          <w:sz w:val="26"/>
        </w:rPr>
        <w:t>28.6 Registration and RC transitions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Registration transition</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Allowed actor</w:t>
            </w:r>
          </w:p>
        </w:tc>
        <w:tc>
          <w:tcPr>
            <w:tcW w:type="dxa" w:w="288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evidence</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4"/>
              </w:rPr>
              <w:t>Side effects / guards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DOCUMENTS_READY → REGISTRATION_STARTED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RC Executive</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Document checklist and application initiation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Start aging clock.</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REGISTRATION_STARTED → RTO_SUBMITTED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RC Executive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RTO/application reference and date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Notify customer if configured.</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RTO_SUBMITTED → NUMBER_ALLOTTED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RC Executive/authorized integration</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Temporary/permanent number evidence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Update customer vehicle identity.</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RTO_SUBMITTED/NUMBER_ALLOTTED → RC_PENDING</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System/RC Executive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Expected date or pending reason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Aging/escalation rules apply.</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RC_PENDING → RC_RECEIVED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RC Executive</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Received date and secure RC file/reference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Customer delivery task created.</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RC_RECEIVED → RC_SHARED/COLLECTED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RC Executive</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Channel, recipient and delivery/download evidence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Customer notification timestamp stored.</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RC_SHARED/COLLECTED → CASE_CLOSED</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RC Executive; exception may need Manager</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All mandatory fields or approved exception</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4"/>
              </w:rPr>
              <w:t>Closure immutable except reopen command.</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CASE_CLOSED → REOPENED</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Manager/RC Executive policy</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Reason and next action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New event; prior close retained.</w:t>
            </w:r>
          </w:p>
        </w:tc>
      </w:tr>
    </w:tbl>
    <w:p>
      <w:pPr>
        <w:pStyle w:val="Heading1"/>
        <w:keepNext/>
        <w:pageBreakBefore/>
      </w:pPr>
      <w:r>
        <w:t>29. Logical Data Model and Implementation Data Dictionary</w:t>
      </w:r>
    </w:p>
    <w:p>
      <w:pPr>
        <w:spacing w:after="80" w:line="254" w:lineRule="auto"/>
      </w:pPr>
      <w:r>
        <w:rPr>
          <w:rFonts w:ascii="Lato" w:hAnsi="Lato"/>
          <w:color w:val="123447"/>
          <w:sz w:val="19"/>
        </w:rPr>
        <w:t>The ERD below is the implementation-level logical baseline. Physical migrations may split high-volume history tables or add provider-specific extension tables, but the tenant key, ownership links, append-only history and unique business constraints must remain intact.</w:t>
      </w:r>
    </w:p>
    <w:p>
      <w:pPr>
        <w:jc w:val="center"/>
      </w:pPr>
      <w:r>
        <w:drawing>
          <wp:inline xmlns:a="http://schemas.openxmlformats.org/drawingml/2006/main" xmlns:pic="http://schemas.openxmlformats.org/drawingml/2006/picture">
            <wp:extent cx="6080760" cy="2417197"/>
            <wp:docPr id="16" name="Picture 16" descr="Image: image16.png"/>
            <wp:cNvGraphicFramePr>
              <a:graphicFrameLocks noChangeAspect="1"/>
            </wp:cNvGraphicFramePr>
            <a:graphic>
              <a:graphicData uri="http://schemas.openxmlformats.org/drawingml/2006/picture">
                <pic:pic>
                  <pic:nvPicPr>
                    <pic:cNvPr id="0" name="30_logical_erd.png"/>
                    <pic:cNvPicPr/>
                  </pic:nvPicPr>
                  <pic:blipFill>
                    <a:blip r:embed="rId51"/>
                    <a:stretch>
                      <a:fillRect/>
                    </a:stretch>
                  </pic:blipFill>
                  <pic:spPr>
                    <a:xfrm>
                      <a:off x="0" y="0"/>
                      <a:ext cx="6080760" cy="2417197"/>
                    </a:xfrm>
                    <a:prstGeom prst="rect"/>
                  </pic:spPr>
                </pic:pic>
              </a:graphicData>
            </a:graphic>
          </wp:inline>
        </w:drawing>
      </w:r>
    </w:p>
    <w:p>
      <w:pPr>
        <w:spacing w:before="40" w:after="120"/>
        <w:jc w:val="center"/>
      </w:pPr>
      <w:r>
        <w:rPr>
          <w:rFonts w:ascii="Lato" w:hAnsi="Lato"/>
          <w:i/>
          <w:color w:val="587780"/>
          <w:sz w:val="16"/>
        </w:rPr>
        <w:t>Figure 29-1. Logical multi-tenant ERD and principal lifecycle relationships.</w:t>
      </w:r>
    </w:p>
    <w:p>
      <w:pPr>
        <w:pStyle w:val="Heading2"/>
        <w:keepNext/>
      </w:pPr>
      <w:r>
        <w:t>29.1 Required data conventions</w:t>
      </w:r>
    </w:p>
    <w:p>
      <w:pPr>
        <w:pStyle w:val="ListBullet"/>
        <w:spacing w:after="50"/>
      </w:pPr>
      <w:r>
        <w:rPr>
          <w:rFonts w:ascii="Lato" w:hAnsi="Lato"/>
          <w:color w:val="123447"/>
          <w:sz w:val="18"/>
        </w:rPr>
        <w:t>Primary identifiers use UUID/ULID-compatible values generated server-side; all timestamps use timestamptz and are stored in UTC while displaying the branch timezone.</w:t>
      </w:r>
    </w:p>
    <w:p>
      <w:pPr>
        <w:pStyle w:val="ListBullet"/>
        <w:spacing w:after="50"/>
      </w:pPr>
      <w:r>
        <w:rPr>
          <w:rFonts w:ascii="Lato" w:hAnsi="Lato"/>
          <w:color w:val="123447"/>
          <w:sz w:val="18"/>
        </w:rPr>
        <w:t>Currency values use BIGINT minor units plus ISO currency code. Floating-point monetary storage is prohibited.</w:t>
      </w:r>
    </w:p>
    <w:p>
      <w:pPr>
        <w:pStyle w:val="ListBullet"/>
        <w:spacing w:after="50"/>
      </w:pPr>
      <w:r>
        <w:rPr>
          <w:rFonts w:ascii="Lato" w:hAnsi="Lato"/>
          <w:color w:val="123447"/>
          <w:sz w:val="18"/>
        </w:rPr>
        <w:t>Customer phone numbers are normalized to E.164 where possible. Duplicate lookup uses a tenant-scoped keyed hash; phone/email are not globally unique across clients.</w:t>
      </w:r>
    </w:p>
    <w:p>
      <w:pPr>
        <w:pStyle w:val="ListBullet"/>
        <w:spacing w:after="50"/>
      </w:pPr>
      <w:r>
        <w:rPr>
          <w:rFonts w:ascii="Lato" w:hAnsi="Lato"/>
          <w:color w:val="123447"/>
          <w:sz w:val="18"/>
        </w:rPr>
        <w:t>Mutable business entities carry version INTEGER for optimistic concurrency. Status history, financial corrections, consent, audit and provider events are append-only.</w:t>
      </w:r>
    </w:p>
    <w:p>
      <w:pPr>
        <w:pStyle w:val="ListBullet"/>
        <w:spacing w:after="50"/>
      </w:pPr>
      <w:r>
        <w:rPr>
          <w:rFonts w:ascii="Lato" w:hAnsi="Lato"/>
          <w:color w:val="123447"/>
          <w:sz w:val="18"/>
        </w:rPr>
        <w:t>Every client-owned table includes client_organization_id NOT NULL, and composite foreign keys prevent cross-client relationships.</w:t>
      </w:r>
    </w:p>
    <w:p>
      <w:pPr>
        <w:pStyle w:val="ListBullet"/>
        <w:spacing w:after="50"/>
      </w:pPr>
      <w:r>
        <w:rPr>
          <w:rFonts w:ascii="Lato" w:hAnsi="Lato"/>
          <w:color w:val="123447"/>
          <w:sz w:val="18"/>
        </w:rPr>
        <w:t>Files store metadata and object keys only; private documents are accessed through short-lived signed URLs and authorization is re-checked before signing.</w:t>
      </w:r>
    </w:p>
    <w:p>
      <w:pPr>
        <w:pStyle w:val="Heading2"/>
        <w:keepNext/>
      </w:pPr>
      <w:r>
        <w:t>29.2 Key entity dictionary</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1800"/>
            <w:vAlign w:val="center"/>
            <w:tcMar>
              <w:top w:w="70" w:type="dxa"/>
              <w:start w:w="90" w:type="dxa"/>
              <w:bottom w:w="70" w:type="dxa"/>
              <w:end w:w="90" w:type="dxa"/>
            </w:tcMar>
            <w:shd w:fill="123447"/>
          </w:tcPr>
          <w:p>
            <w:pPr>
              <w:spacing w:after="0" w:before="0" w:line="240" w:lineRule="auto"/>
            </w:pPr>
            <w:r>
              <w:rPr>
                <w:rFonts w:ascii="Lato" w:hAnsi="Lato"/>
                <w:b/>
                <w:color w:val="FFFFFF"/>
                <w:sz w:val="13"/>
              </w:rPr>
              <w:t>Entity/group</w:t>
            </w:r>
          </w:p>
        </w:tc>
        <w:tc>
          <w:tcPr>
            <w:tcW w:type="dxa" w:w="3240"/>
            <w:vAlign w:val="center"/>
            <w:tcMar>
              <w:top w:w="70" w:type="dxa"/>
              <w:start w:w="90" w:type="dxa"/>
              <w:bottom w:w="70" w:type="dxa"/>
              <w:end w:w="90" w:type="dxa"/>
            </w:tcMar>
            <w:shd w:fill="123447"/>
          </w:tcPr>
          <w:p>
            <w:pPr>
              <w:spacing w:after="0" w:before="0" w:line="240" w:lineRule="auto"/>
            </w:pPr>
            <w:r>
              <w:rPr>
                <w:rFonts w:ascii="Lato" w:hAnsi="Lato"/>
                <w:b/>
                <w:color w:val="FFFFFF"/>
                <w:sz w:val="13"/>
              </w:rPr>
              <w:t>Required keys and fields</w:t>
            </w:r>
          </w:p>
        </w:tc>
        <w:tc>
          <w:tcPr>
            <w:tcW w:type="dxa" w:w="2952"/>
            <w:vAlign w:val="center"/>
            <w:tcMar>
              <w:top w:w="70" w:type="dxa"/>
              <w:start w:w="90" w:type="dxa"/>
              <w:bottom w:w="70" w:type="dxa"/>
              <w:end w:w="90" w:type="dxa"/>
            </w:tcMar>
            <w:shd w:fill="123447"/>
          </w:tcPr>
          <w:p>
            <w:pPr>
              <w:spacing w:after="0" w:before="0" w:line="240" w:lineRule="auto"/>
            </w:pPr>
            <w:r>
              <w:rPr>
                <w:rFonts w:ascii="Lato" w:hAnsi="Lato"/>
                <w:b/>
                <w:color w:val="FFFFFF"/>
                <w:sz w:val="13"/>
              </w:rPr>
              <w:t>Constraints / indexes</w:t>
            </w:r>
          </w:p>
        </w:tc>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3"/>
              </w:rPr>
              <w:t>Classification / lifecycle</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client_organizations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id, status, legal_name, settings_version, timezone</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Unique legal/display keys as required; status index</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Confidential; retain tenant audit after closure.</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branches / teams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id, client_org_id, code, name, timezone, active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UNIQUE(client_org_id, code); active/scope index</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Internal business data.</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users / memberships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user_id, client_org_id, role_id, branch/team scope, effective dates</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Unique active membership; session/device indexes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Personal employee data; deactivate, do not delete audit.</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contacts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id, client_org_id, name, phone_e164, email, lookup_hash</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Index(client_org_id, lookup_hash); fuzzy duplicate support</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Customer PII; rights/retention workflow.</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consent_records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contact_id, purpose, status, notice_version, source, captured_at, withdrawn_at</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Append-only; index(contact_id, purpose, captured_at)</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Restricted compliance evidence.</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lead_opportunities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contact_id, branch_id, source, status, owners, next_action_at, version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Index(client_org_id,status,owner,next_action); unique external lead</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Customer/business record.</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lead_assignments/status_history</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entity_id, from/to owner/status, actor, reason, created_at</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Append-only chronological index</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Audit-critical; no normal edits.</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conversations/messages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contact/lead, channel, direction, provider ids, content/media refs, status</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Unique provider message id per client; timeline index</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Communication PII; retention/channel policy.</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calls/recordings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lead, provider_call_id, parties, status, duration, outcome, recording_ref</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Unique provider call id; outcome/due indexes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Restricted; recording consent and retention.</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test_ride_jobs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lead, executive, demo unit, schedule, status, start/end, version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No overlapping active demo booking; assigned/status index</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Operational + limited location.</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active_locations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job_type/id, user_id, lat/lng, accuracy, captured_at, expires_at</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One current position per active job; TTL/history policy</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Highly sensitive employee location.</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inventory_units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branch, model/variant/colour, VIN, engine no, status, version</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UNIQUE(client_org_id,VIN); active status/branch/model indexes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Confidential stock data.</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reservations/allocations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inventory_unit, lead/booking, status, expires_at, actor</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Partial unique active reservation/allocation indexes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Commercial operational data.</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bookings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lead/contact, branch, amounts, status, selected unit, expected delivery</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Unique active booking reference; status/date indexes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Customer financial/business data.</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payment_entries/finance_cases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booking, amount_minor, method, reference, verifier, status</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Append-only; unique client/reference when reliable</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Restricted financial evidence.</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delivery_jobs/proofs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booking, executive, schedule, status, checklist, proof refs</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One active delivery job per booking; status/date index</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Customer address/proof; restricted.</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registration_cases/rc_events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booking, RTO, application, numbers, status, expected dates, RC ref</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One active case per booking; status/aging indexes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Government identity/document data; restricted.</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customer_vehicles/reminders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contact, booking, VIN/registration, coverage dates, next due</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Unique client+VIN/registration when known; due index</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Customer asset data.</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integration_connections/webhook_events</w:t>
            </w:r>
          </w:p>
        </w:tc>
        <w:tc>
          <w:tcPr>
            <w:tcW w:type="dxa" w:w="3240"/>
            <w:vAlign w:val="center"/>
            <w:tcMar>
              <w:top w:w="70" w:type="dxa"/>
              <w:start w:w="90" w:type="dxa"/>
              <w:bottom w:w="70" w:type="dxa"/>
              <w:end w:w="90" w:type="dxa"/>
            </w:tcMar>
          </w:tcPr>
          <w:p>
            <w:pPr>
              <w:spacing w:after="0" w:before="0" w:line="240" w:lineRule="auto"/>
            </w:pPr>
            <w:r>
              <w:rPr>
                <w:rFonts w:ascii="Lato" w:hAnsi="Lato"/>
                <w:b w:val="0"/>
                <w:color w:val="123447"/>
                <w:sz w:val="13"/>
              </w:rPr>
              <w:t>client, provider, encrypted secret ref, status, external event id</w:t>
            </w:r>
          </w:p>
        </w:tc>
        <w:tc>
          <w:tcPr>
            <w:tcW w:type="dxa" w:w="2952"/>
            <w:vAlign w:val="center"/>
            <w:tcMar>
              <w:top w:w="70" w:type="dxa"/>
              <w:start w:w="90" w:type="dxa"/>
              <w:bottom w:w="70" w:type="dxa"/>
              <w:end w:w="90" w:type="dxa"/>
            </w:tcMar>
          </w:tcPr>
          <w:p>
            <w:pPr>
              <w:spacing w:after="0" w:before="0" w:line="240" w:lineRule="auto"/>
            </w:pPr>
            <w:r>
              <w:rPr>
                <w:rFonts w:ascii="Lato" w:hAnsi="Lato"/>
                <w:b w:val="0"/>
                <w:color w:val="123447"/>
                <w:sz w:val="13"/>
              </w:rPr>
              <w:t>Unique(client,provider,external_event_id); retry/status indexes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Secrets restricted; raw payload short retention.</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audit_logs/outbox_events/files/exports</w:t>
            </w:r>
          </w:p>
        </w:tc>
        <w:tc>
          <w:tcPr>
            <w:tcW w:type="dxa" w:w="324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client, actor, entity/action, correlation, object key, expiry</w:t>
            </w:r>
          </w:p>
        </w:tc>
        <w:tc>
          <w:tcPr>
            <w:tcW w:type="dxa" w:w="295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Append-only; entity/time and pending outbox indexes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Security/compliance; export auto-expiry.</w:t>
            </w:r>
          </w:p>
        </w:tc>
      </w:tr>
    </w:tbl>
    <w:p>
      <w:pPr>
        <w:pStyle w:val="Heading2"/>
        <w:keepNext/>
      </w:pPr>
      <w:r>
        <w:t>29.3 Mandatory database constraints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5018"/>
        <w:gridCol w:w="5018"/>
      </w:tblGrid>
      <w:tr>
        <w:trPr>
          <w:tblHeader w:val="true"/>
        </w:trPr>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6"/>
              </w:rPr>
              <w:t>Control</w:t>
            </w:r>
          </w:p>
        </w:tc>
        <w:tc>
          <w:tcPr>
            <w:tcW w:type="dxa" w:w="7344"/>
            <w:vAlign w:val="center"/>
            <w:tcMar>
              <w:top w:w="70" w:type="dxa"/>
              <w:start w:w="90" w:type="dxa"/>
              <w:bottom w:w="70" w:type="dxa"/>
              <w:end w:w="90" w:type="dxa"/>
            </w:tcMar>
            <w:shd w:fill="123447"/>
          </w:tcPr>
          <w:p>
            <w:pPr>
              <w:spacing w:after="0" w:before="0" w:line="240" w:lineRule="auto"/>
            </w:pPr>
            <w:r>
              <w:rPr>
                <w:rFonts w:ascii="Lato" w:hAnsi="Lato"/>
                <w:b/>
                <w:color w:val="FFFFFF"/>
                <w:sz w:val="16"/>
              </w:rPr>
              <w:t>Required database behavior</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External ingestion</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UNIQUE(client_organization_id, provider, external_event_id) prevents duplicate webhook processing.</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Lead source</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UNIQUE(client_organization_id, source_code, external_lead_id) WHERE external_lead_id IS NOT NULL.</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Vehicle identity</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UNIQUE(client_organization_id, vin) and optional unique engine number after client validation.</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Active stock allocation</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Only one ACTIVE reservation/allocation per inventory unit and only one ACTIVE allocated unit per booking.</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Conversation messages</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UNIQUE(client_organization_id, channel, provider_message_id) where provider_message_id exists.</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Financial evidence</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Payment entries are never UPDATE/DELETE in normal workflow; corrections link to original_entry_id.</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Tenant links</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Composite foreign keys include client_organization_id for contact→lead→booking→delivery/RC relationships.</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Audit/outbox</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Business command commits entity mutation, history, audit and outbox record atomically.</w:t>
            </w:r>
          </w:p>
        </w:tc>
      </w:tr>
    </w:tbl>
    <w:p>
      <w:pPr>
        <w:pStyle w:val="Heading1"/>
        <w:keepNext/>
        <w:pageBreakBefore/>
      </w:pPr>
      <w:r>
        <w:t>30. API Standards, Concurrency and Webhook Contracts</w:t>
      </w:r>
    </w:p>
    <w:p>
      <w:pPr>
        <w:pStyle w:val="Heading2"/>
        <w:keepNext/>
      </w:pPr>
      <w:r>
        <w:t>30.1 REST contract</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5018"/>
        <w:gridCol w:w="5018"/>
      </w:tblGrid>
      <w:tr>
        <w:trPr>
          <w:tblHeader w:val="true"/>
        </w:trPr>
        <w:tc>
          <w:tcPr>
            <w:tcW w:type="dxa" w:w="2088"/>
            <w:vAlign w:val="center"/>
            <w:tcMar>
              <w:top w:w="70" w:type="dxa"/>
              <w:start w:w="90" w:type="dxa"/>
              <w:bottom w:w="70" w:type="dxa"/>
              <w:end w:w="90" w:type="dxa"/>
            </w:tcMar>
            <w:shd w:fill="123447"/>
          </w:tcPr>
          <w:p>
            <w:pPr>
              <w:spacing w:after="0" w:before="0" w:line="240" w:lineRule="auto"/>
            </w:pPr>
            <w:r>
              <w:rPr>
                <w:rFonts w:ascii="Lato" w:hAnsi="Lato"/>
                <w:b/>
                <w:color w:val="FFFFFF"/>
                <w:sz w:val="16"/>
              </w:rPr>
              <w:t>Concern</w:t>
            </w:r>
          </w:p>
        </w:tc>
        <w:tc>
          <w:tcPr>
            <w:tcW w:type="dxa" w:w="7632"/>
            <w:vAlign w:val="center"/>
            <w:tcMar>
              <w:top w:w="70" w:type="dxa"/>
              <w:start w:w="90" w:type="dxa"/>
              <w:bottom w:w="70" w:type="dxa"/>
              <w:end w:w="90" w:type="dxa"/>
            </w:tcMar>
            <w:shd w:fill="123447"/>
          </w:tcPr>
          <w:p>
            <w:pPr>
              <w:spacing w:after="0" w:before="0" w:line="240" w:lineRule="auto"/>
            </w:pPr>
            <w:r>
              <w:rPr>
                <w:rFonts w:ascii="Lato" w:hAnsi="Lato"/>
                <w:b/>
                <w:color w:val="FFFFFF"/>
                <w:sz w:val="16"/>
              </w:rPr>
              <w:t>Mandatory contract</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6"/>
              </w:rPr>
              <w:t>Versioning</w:t>
            </w:r>
          </w:p>
        </w:tc>
        <w:tc>
          <w:tcPr>
            <w:tcW w:type="dxa" w:w="7632"/>
            <w:vAlign w:val="center"/>
            <w:tcMar>
              <w:top w:w="70" w:type="dxa"/>
              <w:start w:w="90" w:type="dxa"/>
              <w:bottom w:w="70" w:type="dxa"/>
              <w:end w:w="90" w:type="dxa"/>
            </w:tcMar>
          </w:tcPr>
          <w:p>
            <w:pPr>
              <w:spacing w:after="0" w:before="0" w:line="240" w:lineRule="auto"/>
            </w:pPr>
            <w:r>
              <w:rPr>
                <w:rFonts w:ascii="Lato" w:hAnsi="Lato"/>
                <w:b w:val="0"/>
                <w:color w:val="123447"/>
                <w:sz w:val="16"/>
              </w:rPr>
              <w:t>All production routes use /v1. Breaking behavior requires /v2 or an explicitly announced compatibility window.</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Authentication</w:t>
            </w:r>
          </w:p>
        </w:tc>
        <w:tc>
          <w:tcPr>
            <w:tcW w:type="dxa" w:w="76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Bearer access token; rotating refresh/session; every request resolves TenantContext, membership, scope and object authorization.</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6"/>
              </w:rPr>
              <w:t>Correlation</w:t>
            </w:r>
          </w:p>
        </w:tc>
        <w:tc>
          <w:tcPr>
            <w:tcW w:type="dxa" w:w="7632"/>
            <w:vAlign w:val="center"/>
            <w:tcMar>
              <w:top w:w="70" w:type="dxa"/>
              <w:start w:w="90" w:type="dxa"/>
              <w:bottom w:w="70" w:type="dxa"/>
              <w:end w:w="90" w:type="dxa"/>
            </w:tcMar>
          </w:tcPr>
          <w:p>
            <w:pPr>
              <w:spacing w:after="0" w:before="0" w:line="240" w:lineRule="auto"/>
            </w:pPr>
            <w:r>
              <w:rPr>
                <w:rFonts w:ascii="Lato" w:hAnsi="Lato"/>
                <w:b w:val="0"/>
                <w:color w:val="123447"/>
                <w:sz w:val="16"/>
              </w:rPr>
              <w:t>Accept/generate X-Correlation-Id and propagate it through API, worker, provider call, audit and logs.</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Idempotency</w:t>
            </w:r>
          </w:p>
        </w:tc>
        <w:tc>
          <w:tcPr>
            <w:tcW w:type="dxa" w:w="76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POST commands that create/send/pay/transition accept Idempotency-Key scoped to tenant+actor+route; replay returns the original result.</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6"/>
              </w:rPr>
              <w:t>Concurrency</w:t>
            </w:r>
          </w:p>
        </w:tc>
        <w:tc>
          <w:tcPr>
            <w:tcW w:type="dxa" w:w="7632"/>
            <w:vAlign w:val="center"/>
            <w:tcMar>
              <w:top w:w="70" w:type="dxa"/>
              <w:start w:w="90" w:type="dxa"/>
              <w:bottom w:w="70" w:type="dxa"/>
              <w:end w:w="90" w:type="dxa"/>
            </w:tcMar>
          </w:tcPr>
          <w:p>
            <w:pPr>
              <w:spacing w:after="0" w:before="0" w:line="240" w:lineRule="auto"/>
            </w:pPr>
            <w:r>
              <w:rPr>
                <w:rFonts w:ascii="Lato" w:hAnsi="Lato"/>
                <w:b w:val="0"/>
                <w:color w:val="123447"/>
                <w:sz w:val="16"/>
              </w:rPr>
              <w:t>Mutable resources expose version/ETag. Commands require expected version; stale writes return 409 CONFLICT with current summary.</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Pagination</w:t>
            </w:r>
          </w:p>
        </w:tc>
        <w:tc>
          <w:tcPr>
            <w:tcW w:type="dxa" w:w="76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Cursor pagination for timeline/large lists; bounded page size. Offset pagination only for small administrative tables.</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6"/>
              </w:rPr>
              <w:t>Filtering/sorting</w:t>
            </w:r>
          </w:p>
        </w:tc>
        <w:tc>
          <w:tcPr>
            <w:tcW w:type="dxa" w:w="7632"/>
            <w:vAlign w:val="center"/>
            <w:tcMar>
              <w:top w:w="70" w:type="dxa"/>
              <w:start w:w="90" w:type="dxa"/>
              <w:bottom w:w="70" w:type="dxa"/>
              <w:end w:w="90" w:type="dxa"/>
            </w:tcMar>
          </w:tcPr>
          <w:p>
            <w:pPr>
              <w:spacing w:after="0" w:before="0" w:line="240" w:lineRule="auto"/>
            </w:pPr>
            <w:r>
              <w:rPr>
                <w:rFonts w:ascii="Lato" w:hAnsi="Lato"/>
                <w:b w:val="0"/>
                <w:color w:val="123447"/>
                <w:sz w:val="16"/>
              </w:rPr>
              <w:t>Allowlisted fields only; server-side validation; stable secondary sort by id/time.</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Money/time</w:t>
            </w:r>
          </w:p>
        </w:tc>
        <w:tc>
          <w:tcPr>
            <w:tcW w:type="dxa" w:w="76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Amounts are minor-unit integers; timestamps ISO-8601 UTC; branch timezone returned as metadata when relevant.</w:t>
            </w:r>
          </w:p>
        </w:tc>
      </w:tr>
      <w:tr>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6"/>
              </w:rPr>
              <w:t>Files</w:t>
            </w:r>
          </w:p>
        </w:tc>
        <w:tc>
          <w:tcPr>
            <w:tcW w:type="dxa" w:w="7632"/>
            <w:vAlign w:val="center"/>
            <w:tcMar>
              <w:top w:w="70" w:type="dxa"/>
              <w:start w:w="90" w:type="dxa"/>
              <w:bottom w:w="70" w:type="dxa"/>
              <w:end w:w="90" w:type="dxa"/>
            </w:tcMar>
          </w:tcPr>
          <w:p>
            <w:pPr>
              <w:spacing w:after="0" w:before="0" w:line="240" w:lineRule="auto"/>
            </w:pPr>
            <w:r>
              <w:rPr>
                <w:rFonts w:ascii="Lato" w:hAnsi="Lato"/>
                <w:b w:val="0"/>
                <w:color w:val="123447"/>
                <w:sz w:val="16"/>
              </w:rPr>
              <w:t>Presign-upload → complete/scan → authorized download; never accept public object URLs as trusted evidence.</w:t>
            </w:r>
          </w:p>
        </w:tc>
      </w:tr>
      <w:tr>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Deprecation</w:t>
            </w:r>
          </w:p>
        </w:tc>
        <w:tc>
          <w:tcPr>
            <w:tcW w:type="dxa" w:w="7632"/>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Document deprecation date, replacement and telemetry; remove only after supported clients migrate.</w:t>
            </w:r>
          </w:p>
        </w:tc>
      </w:tr>
    </w:tbl>
    <w:p>
      <w:pPr>
        <w:pStyle w:val="Heading2"/>
        <w:keepNext/>
      </w:pPr>
      <w:r>
        <w:t>30.2 Standard error envelope</w:t>
      </w:r>
    </w:p>
    <w:tbl>
      <w:tblPr>
        <w:tblW w:type="auto" w:w="0"/>
        <w:jc w:val="center"/>
        <w:tblLook w:firstColumn="1" w:firstRow="1" w:lastColumn="0" w:lastRow="0" w:noHBand="0" w:noVBand="1" w:val="04A0"/>
        <w:tblBorders>
          <w:top w:val="single" w:sz="6" w:space="0" w:color="B8C4C8"/>
          <w:start w:val="single" w:sz="6" w:space="0" w:color="B8C4C8"/>
          <w:bottom w:val="single" w:sz="6" w:space="0" w:color="B8C4C8"/>
          <w:end w:val="single" w:sz="6" w:space="0" w:color="B8C4C8"/>
          <w:insideH w:val="single" w:sz="6" w:space="0" w:color="B8C4C8"/>
          <w:insideV w:val="single" w:sz="6" w:space="0" w:color="B8C4C8"/>
        </w:tblBorders>
      </w:tblPr>
      <w:tblGrid>
        <w:gridCol w:w="10037"/>
      </w:tblGrid>
      <w:tr>
        <w:tc>
          <w:tcPr>
            <w:tcW w:type="dxa" w:w="10037"/>
            <w:shd w:fill="F7F8F9"/>
            <w:tcMar>
              <w:top w:w="90" w:type="dxa"/>
              <w:start w:w="120" w:type="dxa"/>
              <w:bottom w:w="90" w:type="dxa"/>
              <w:end w:w="120" w:type="dxa"/>
            </w:tcMar>
          </w:tcPr>
          <w:p>
            <w:pPr>
              <w:spacing w:after="0"/>
            </w:pPr>
            <w:r>
              <w:rPr>
                <w:rFonts w:ascii="Consolas" w:hAnsi="Consolas"/>
                <w:color w:val="263238"/>
                <w:sz w:val="16"/>
              </w:rPr>
              <w:t>{</w:t>
              <w:br/>
              <w:t xml:space="preserve">  "error": {</w:t>
              <w:br/>
              <w:t xml:space="preserve">    "code": "INVALID_TRANSITION",</w:t>
              <w:br/>
              <w:t xml:space="preserve">    "message": "Delivery cannot start while payment gate is blocked.",</w:t>
              <w:br/>
              <w:t xml:space="preserve">    "correlation_id": "01J...",</w:t>
              <w:br/>
              <w:t xml:space="preserve">    "details": [{"field": "payment_status", "reason": "required"}],</w:t>
              <w:br/>
              <w:t xml:space="preserve">    "retryable": false</w:t>
              <w:br/>
              <w:t xml:space="preserve">  }</w:t>
              <w:br/>
              <w:t>}</w:t>
            </w:r>
          </w:p>
        </w:tc>
        <w:trPr>
          <w:tblHeader/>
        </w:trPr>
      </w:tr>
    </w:tbl>
    <w:p>
      <w:pPr>
        <w:spacing w:after="80" w:line="254" w:lineRule="auto"/>
      </w:pPr>
      <w:r>
        <w:rPr>
          <w:rFonts w:ascii="Lato" w:hAnsi="Lato"/>
          <w:color w:val="123447"/>
          <w:sz w:val="19"/>
        </w:rPr>
        <w:t>Stable error codes include VALIDATION_ERROR, UNAUTHENTICATED, FORBIDDEN, NOT_FOUND, CONFLICT, INVALID_TRANSITION, IDEMPOTENCY_MISMATCH, RATE_LIMITED, PROVIDER_UNAVAILABLE and INTERNAL_ERROR. User-facing text may be localized, but code semantics remain stable.</w:t>
      </w:r>
    </w:p>
    <w:p>
      <w:pPr>
        <w:pStyle w:val="Heading2"/>
        <w:keepNext/>
      </w:pPr>
      <w:r>
        <w:t>30.3 Webhook ingestion contract</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5018"/>
        <w:gridCol w:w="5018"/>
      </w:tblGrid>
      <w:tr>
        <w:trPr>
          <w:tblHeader w:val="true"/>
        </w:trPr>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6"/>
              </w:rPr>
              <w:t>Stage</w:t>
            </w:r>
          </w:p>
        </w:tc>
        <w:tc>
          <w:tcPr>
            <w:tcW w:type="dxa" w:w="7776"/>
            <w:vAlign w:val="center"/>
            <w:tcMar>
              <w:top w:w="70" w:type="dxa"/>
              <w:start w:w="90" w:type="dxa"/>
              <w:bottom w:w="70" w:type="dxa"/>
              <w:end w:w="90" w:type="dxa"/>
            </w:tcMar>
            <w:shd w:fill="123447"/>
          </w:tcPr>
          <w:p>
            <w:pPr>
              <w:spacing w:after="0" w:before="0" w:line="240" w:lineRule="auto"/>
            </w:pPr>
            <w:r>
              <w:rPr>
                <w:rFonts w:ascii="Lato" w:hAnsi="Lato"/>
                <w:b/>
                <w:color w:val="FFFFFF"/>
                <w:sz w:val="16"/>
              </w:rPr>
              <w:t>Required behavior</w:t>
            </w:r>
          </w:p>
        </w:tc>
      </w:tr>
      <w:tr>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6"/>
              </w:rPr>
              <w:t>1. Verify</w:t>
            </w:r>
          </w:p>
        </w:tc>
        <w:tc>
          <w:tcPr>
            <w:tcW w:type="dxa" w:w="7776"/>
            <w:vAlign w:val="center"/>
            <w:tcMar>
              <w:top w:w="70" w:type="dxa"/>
              <w:start w:w="90" w:type="dxa"/>
              <w:bottom w:w="70" w:type="dxa"/>
              <w:end w:w="90" w:type="dxa"/>
            </w:tcMar>
          </w:tcPr>
          <w:p>
            <w:pPr>
              <w:spacing w:after="0" w:before="0" w:line="240" w:lineRule="auto"/>
            </w:pPr>
            <w:r>
              <w:rPr>
                <w:rFonts w:ascii="Lato" w:hAnsi="Lato"/>
                <w:b w:val="0"/>
                <w:color w:val="123447"/>
                <w:sz w:val="16"/>
              </w:rPr>
              <w:t>Validate provider signature/token, timestamp/replay policy and expected endpoint/client mapping before business processing.</w:t>
            </w:r>
          </w:p>
        </w:tc>
      </w:tr>
      <w:tr>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2. Persist</w:t>
            </w:r>
          </w:p>
        </w:tc>
        <w:tc>
          <w:tcPr>
            <w:tcW w:type="dxa" w:w="77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Store normalized envelope and minimal raw payload within a short transaction; assign unique external event key.</w:t>
            </w:r>
          </w:p>
        </w:tc>
      </w:tr>
      <w:tr>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6"/>
              </w:rPr>
              <w:t>3. Acknowledge</w:t>
            </w:r>
          </w:p>
        </w:tc>
        <w:tc>
          <w:tcPr>
            <w:tcW w:type="dxa" w:w="7776"/>
            <w:vAlign w:val="center"/>
            <w:tcMar>
              <w:top w:w="70" w:type="dxa"/>
              <w:start w:w="90" w:type="dxa"/>
              <w:bottom w:w="70" w:type="dxa"/>
              <w:end w:w="90" w:type="dxa"/>
            </w:tcMar>
          </w:tcPr>
          <w:p>
            <w:pPr>
              <w:spacing w:after="0" w:before="0" w:line="240" w:lineRule="auto"/>
            </w:pPr>
            <w:r>
              <w:rPr>
                <w:rFonts w:ascii="Lato" w:hAnsi="Lato"/>
                <w:b w:val="0"/>
                <w:color w:val="123447"/>
                <w:sz w:val="16"/>
              </w:rPr>
              <w:t>Return provider-required 2xx normally within two seconds after durable receipt.</w:t>
            </w:r>
          </w:p>
        </w:tc>
      </w:tr>
      <w:tr>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4. Process async</w:t>
            </w:r>
          </w:p>
        </w:tc>
        <w:tc>
          <w:tcPr>
            <w:tcW w:type="dxa" w:w="77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Worker normalizes, deduplicates, resolves tenant/contact/lead and executes domain command.</w:t>
            </w:r>
          </w:p>
        </w:tc>
      </w:tr>
      <w:tr>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6"/>
              </w:rPr>
              <w:t>5. Retry/DLQ</w:t>
            </w:r>
          </w:p>
        </w:tc>
        <w:tc>
          <w:tcPr>
            <w:tcW w:type="dxa" w:w="7776"/>
            <w:vAlign w:val="center"/>
            <w:tcMar>
              <w:top w:w="70" w:type="dxa"/>
              <w:start w:w="90" w:type="dxa"/>
              <w:bottom w:w="70" w:type="dxa"/>
              <w:end w:w="90" w:type="dxa"/>
            </w:tcMar>
          </w:tcPr>
          <w:p>
            <w:pPr>
              <w:spacing w:after="0" w:before="0" w:line="240" w:lineRule="auto"/>
            </w:pPr>
            <w:r>
              <w:rPr>
                <w:rFonts w:ascii="Lato" w:hAnsi="Lato"/>
                <w:b w:val="0"/>
                <w:color w:val="123447"/>
                <w:sz w:val="16"/>
              </w:rPr>
              <w:t>Exponential backoff with jitter, provider/client concurrency cap and dead-letter reason.</w:t>
            </w:r>
          </w:p>
        </w:tc>
      </w:tr>
      <w:tr>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6. Reconcile</w:t>
            </w:r>
          </w:p>
        </w:tc>
        <w:tc>
          <w:tcPr>
            <w:tcW w:type="dxa" w:w="77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Scheduled provider sync repairs missing callbacks; reconciliation is idempotent.</w:t>
            </w:r>
          </w:p>
        </w:tc>
      </w:tr>
      <w:tr>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6"/>
              </w:rPr>
              <w:t>7. Observe</w:t>
            </w:r>
          </w:p>
        </w:tc>
        <w:tc>
          <w:tcPr>
            <w:tcW w:type="dxa" w:w="7776"/>
            <w:vAlign w:val="center"/>
            <w:tcMar>
              <w:top w:w="70" w:type="dxa"/>
              <w:start w:w="90" w:type="dxa"/>
              <w:bottom w:w="70" w:type="dxa"/>
              <w:end w:w="90" w:type="dxa"/>
            </w:tcMar>
          </w:tcPr>
          <w:p>
            <w:pPr>
              <w:spacing w:after="0" w:before="0" w:line="240" w:lineRule="auto"/>
            </w:pPr>
            <w:r>
              <w:rPr>
                <w:rFonts w:ascii="Lato" w:hAnsi="Lato"/>
                <w:b w:val="0"/>
                <w:color w:val="123447"/>
                <w:sz w:val="16"/>
              </w:rPr>
              <w:t>Dashboard shows received, processed, duplicate, failed, dead-letter and last-success state per client/provider.</w:t>
            </w:r>
          </w:p>
        </w:tc>
      </w:tr>
    </w:tbl>
    <w:p>
      <w:pPr>
        <w:pStyle w:val="Heading2"/>
        <w:keepNext/>
      </w:pPr>
      <w:r>
        <w:t>30.4 Provider adapter compliance</w:t>
      </w:r>
    </w:p>
    <w:p>
      <w:pPr>
        <w:pStyle w:val="ListBullet"/>
        <w:spacing w:after="50"/>
      </w:pPr>
      <w:r>
        <w:rPr>
          <w:rFonts w:ascii="Lato" w:hAnsi="Lato"/>
          <w:color w:val="123447"/>
          <w:sz w:val="18"/>
        </w:rPr>
        <w:t>Every adapter provides connect/health, credential validation, webhook verification, normalization, send/start action, status reconciliation, rate-limit mapping and test fixtures.</w:t>
      </w:r>
    </w:p>
    <w:p>
      <w:pPr>
        <w:pStyle w:val="ListBullet"/>
        <w:spacing w:after="50"/>
      </w:pPr>
      <w:r>
        <w:rPr>
          <w:rFonts w:ascii="Lato" w:hAnsi="Lato"/>
          <w:color w:val="123447"/>
          <w:sz w:val="18"/>
        </w:rPr>
        <w:t>Domain services receive canonical commands/events only. Provider-specific fields remain in adapter metadata and never determine core authorization or workflow rules.</w:t>
      </w:r>
    </w:p>
    <w:p>
      <w:pPr>
        <w:pStyle w:val="ListBullet"/>
        <w:spacing w:after="50"/>
      </w:pPr>
      <w:r>
        <w:rPr>
          <w:rFonts w:ascii="Lato" w:hAnsi="Lato"/>
          <w:color w:val="123447"/>
          <w:sz w:val="18"/>
        </w:rPr>
        <w:t>Contract tests run the same behavior suite against each adapter, including duplicate webhook, timeout, 429, 5xx, malformed payload and delayed status cases.</w:t>
      </w:r>
    </w:p>
    <w:p>
      <w:pPr>
        <w:pStyle w:val="Heading1"/>
        <w:keepNext/>
        <w:pageBreakBefore/>
      </w:pPr>
      <w:r>
        <w:t>31. Screen Inventory, Accessibility and UX Contract</w:t>
      </w:r>
    </w:p>
    <w:tbl>
      <w:tblPr>
        <w:tblW w:type="auto" w:w="0"/>
        <w:jc w:val="center"/>
        <w:tblLook w:firstColumn="1" w:firstRow="1" w:lastColumn="0" w:lastRow="0" w:noHBand="0" w:noVBand="1" w:val="04A0"/>
        <w:tblBorders>
          <w:top w:val="single" w:sz="8" w:space="0" w:color="1F6F78"/>
          <w:start w:val="single" w:sz="8" w:space="0" w:color="1F6F78"/>
          <w:bottom w:val="single" w:sz="8" w:space="0" w:color="1F6F78"/>
          <w:end w:val="single" w:sz="8" w:space="0" w:color="1F6F78"/>
          <w:insideH w:val="single" w:sz="8" w:space="0" w:color="1F6F78"/>
          <w:insideV w:val="single" w:sz="8" w:space="0" w:color="1F6F78"/>
        </w:tblBorders>
      </w:tblPr>
      <w:tblGrid>
        <w:gridCol w:w="10037"/>
      </w:tblGrid>
      <w:tr>
        <w:tc>
          <w:tcPr>
            <w:tcW w:type="dxa" w:w="10037"/>
            <w:shd w:fill="EAF4F6"/>
            <w:tcMar>
              <w:top w:w="100" w:type="dxa"/>
              <w:start w:w="120" w:type="dxa"/>
              <w:bottom w:w="100" w:type="dxa"/>
              <w:end w:w="120" w:type="dxa"/>
            </w:tcMar>
          </w:tcPr>
          <w:p>
            <w:pPr>
              <w:spacing w:after="0"/>
            </w:pPr>
            <w:r>
              <w:rPr>
                <w:rFonts w:ascii="Lato" w:hAnsi="Lato"/>
                <w:b/>
                <w:color w:val="1F6F78"/>
                <w:sz w:val="18"/>
              </w:rPr>
              <w:t>shadcn-only web contract</w:t>
              <w:br/>
            </w:r>
            <w:r>
              <w:rPr>
                <w:rFonts w:ascii="Lato" w:hAnsi="Lato"/>
                <w:color w:val="123447"/>
                <w:sz w:val="18"/>
              </w:rPr>
              <w:t>Every reusable web control is project-owned shadcn/ui code. Tailwind composes layout and design tokens. No competing component library may be installed. Complex screens are compositions of shadcn primitives rather than custom inaccessible widgets.</w:t>
            </w:r>
          </w:p>
        </w:tc>
        <w:trPr>
          <w:tblHeader/>
        </w:trPr>
      </w:tr>
    </w:tbl>
    <w:p>
      <w:pPr>
        <w:pStyle w:val="Heading2"/>
        <w:keepNext/>
      </w:pPr>
      <w:r>
        <w:t>31.1 Web screen inventory</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1584"/>
            <w:vAlign w:val="center"/>
            <w:tcMar>
              <w:top w:w="70" w:type="dxa"/>
              <w:start w:w="90" w:type="dxa"/>
              <w:bottom w:w="70" w:type="dxa"/>
              <w:end w:w="90" w:type="dxa"/>
            </w:tcMar>
            <w:shd w:fill="123447"/>
          </w:tcPr>
          <w:p>
            <w:pPr>
              <w:spacing w:after="0" w:before="0" w:line="240" w:lineRule="auto"/>
            </w:pPr>
            <w:r>
              <w:rPr>
                <w:rFonts w:ascii="Lato" w:hAnsi="Lato"/>
                <w:b/>
                <w:color w:val="FFFFFF"/>
                <w:sz w:val="13"/>
              </w:rPr>
              <w:t>Role/group</w:t>
            </w:r>
          </w:p>
        </w:tc>
        <w:tc>
          <w:tcPr>
            <w:tcW w:type="dxa" w:w="3672"/>
            <w:vAlign w:val="center"/>
            <w:tcMar>
              <w:top w:w="70" w:type="dxa"/>
              <w:start w:w="90" w:type="dxa"/>
              <w:bottom w:w="70" w:type="dxa"/>
              <w:end w:w="90" w:type="dxa"/>
            </w:tcMar>
            <w:shd w:fill="123447"/>
          </w:tcPr>
          <w:p>
            <w:pPr>
              <w:spacing w:after="0" w:before="0" w:line="240" w:lineRule="auto"/>
            </w:pPr>
            <w:r>
              <w:rPr>
                <w:rFonts w:ascii="Lato" w:hAnsi="Lato"/>
                <w:b/>
                <w:color w:val="FFFFFF"/>
                <w:sz w:val="13"/>
              </w:rPr>
              <w:t>Required screens</w:t>
            </w:r>
          </w:p>
        </w:tc>
        <w:tc>
          <w:tcPr>
            <w:tcW w:type="dxa" w:w="2592"/>
            <w:vAlign w:val="center"/>
            <w:tcMar>
              <w:top w:w="70" w:type="dxa"/>
              <w:start w:w="90" w:type="dxa"/>
              <w:bottom w:w="70" w:type="dxa"/>
              <w:end w:w="90" w:type="dxa"/>
            </w:tcMar>
            <w:shd w:fill="123447"/>
          </w:tcPr>
          <w:p>
            <w:pPr>
              <w:spacing w:after="0" w:before="0" w:line="240" w:lineRule="auto"/>
            </w:pPr>
            <w:r>
              <w:rPr>
                <w:rFonts w:ascii="Lato" w:hAnsi="Lato"/>
                <w:b/>
                <w:color w:val="FFFFFF"/>
                <w:sz w:val="13"/>
              </w:rPr>
              <w:t>Primary actions</w:t>
            </w:r>
          </w:p>
        </w:tc>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3"/>
              </w:rPr>
              <w:t>shadcn composition</w:t>
            </w:r>
          </w:p>
        </w:tc>
      </w:tr>
      <w:tr>
        <w:tc>
          <w:tcPr>
            <w:tcW w:type="dxa" w:w="1584"/>
            <w:vAlign w:val="center"/>
            <w:tcMar>
              <w:top w:w="70" w:type="dxa"/>
              <w:start w:w="90" w:type="dxa"/>
              <w:bottom w:w="70" w:type="dxa"/>
              <w:end w:w="90" w:type="dxa"/>
            </w:tcMar>
          </w:tcPr>
          <w:p>
            <w:pPr>
              <w:spacing w:after="0" w:before="0" w:line="240" w:lineRule="auto"/>
            </w:pPr>
            <w:r>
              <w:rPr>
                <w:rFonts w:ascii="Lato" w:hAnsi="Lato"/>
                <w:b w:val="0"/>
                <w:color w:val="123447"/>
                <w:sz w:val="13"/>
              </w:rPr>
              <w:t>Agency Admin</w:t>
            </w:r>
          </w:p>
        </w:tc>
        <w:tc>
          <w:tcPr>
            <w:tcW w:type="dxa" w:w="3672"/>
            <w:vAlign w:val="center"/>
            <w:tcMar>
              <w:top w:w="70" w:type="dxa"/>
              <w:start w:w="90" w:type="dxa"/>
              <w:bottom w:w="70" w:type="dxa"/>
              <w:end w:w="90" w:type="dxa"/>
            </w:tcMar>
          </w:tcPr>
          <w:p>
            <w:pPr>
              <w:spacing w:after="0" w:before="0" w:line="240" w:lineRule="auto"/>
            </w:pPr>
            <w:r>
              <w:rPr>
                <w:rFonts w:ascii="Lato" w:hAnsi="Lato"/>
                <w:b w:val="0"/>
                <w:color w:val="123447"/>
                <w:sz w:val="13"/>
              </w:rPr>
              <w:t>Platform overview; clients; client detail; integration health; webhook/DLQ; incidents; support elevation; global feature flags</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3"/>
              </w:rPr>
              <w:t>Create/suspend client, inspect health, approve/revoke support session</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Sidebar, Data Table, Tabs, Sheet, Dialog, Alert, Chart</w:t>
            </w:r>
          </w:p>
        </w:tc>
      </w:tr>
      <w:tr>
        <w:tc>
          <w:tcPr>
            <w:tcW w:type="dxa" w:w="158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Client Admin</w:t>
            </w:r>
          </w:p>
        </w:tc>
        <w:tc>
          <w:tcPr>
            <w:tcW w:type="dxa" w:w="367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Onboarding; branches/teams; users/roles; catalog/stock settings; integrations; templates; retention; audit; reports</w:t>
            </w:r>
          </w:p>
        </w:tc>
        <w:tc>
          <w:tcPr>
            <w:tcW w:type="dxa" w:w="259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Configure client, invite users, connect providers, approve go-live</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Stepper, Form, Data Table, Command, Select, Dialog, Badge</w:t>
            </w:r>
          </w:p>
        </w:tc>
      </w:tr>
      <w:tr>
        <w:tc>
          <w:tcPr>
            <w:tcW w:type="dxa" w:w="1584"/>
            <w:vAlign w:val="center"/>
            <w:tcMar>
              <w:top w:w="70" w:type="dxa"/>
              <w:start w:w="90" w:type="dxa"/>
              <w:bottom w:w="70" w:type="dxa"/>
              <w:end w:w="90" w:type="dxa"/>
            </w:tcMar>
          </w:tcPr>
          <w:p>
            <w:pPr>
              <w:spacing w:after="0" w:before="0" w:line="240" w:lineRule="auto"/>
            </w:pPr>
            <w:r>
              <w:rPr>
                <w:rFonts w:ascii="Lato" w:hAnsi="Lato"/>
                <w:b w:val="0"/>
                <w:color w:val="123447"/>
                <w:sz w:val="13"/>
              </w:rPr>
              <w:t>Manager</w:t>
            </w:r>
          </w:p>
        </w:tc>
        <w:tc>
          <w:tcPr>
            <w:tcW w:type="dxa" w:w="3672"/>
            <w:vAlign w:val="center"/>
            <w:tcMar>
              <w:top w:w="70" w:type="dxa"/>
              <w:start w:w="90" w:type="dxa"/>
              <w:bottom w:w="70" w:type="dxa"/>
              <w:end w:w="90" w:type="dxa"/>
            </w:tcMar>
          </w:tcPr>
          <w:p>
            <w:pPr>
              <w:spacing w:after="0" w:before="0" w:line="240" w:lineRule="auto"/>
            </w:pPr>
            <w:r>
              <w:rPr>
                <w:rFonts w:ascii="Lato" w:hAnsi="Lato"/>
                <w:b w:val="0"/>
                <w:color w:val="123447"/>
                <w:sz w:val="13"/>
              </w:rPr>
              <w:t>Operations command centre; funnel; active map; stock/payment/delivery/RC aging; approvals; exception queue; reports</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3"/>
              </w:rPr>
              <w:t>Resolve bottlenecks, approve controlled exceptions, reassign with reason</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Cards, Chart, Data Table, Map container, Drawer, Alert Dialog</w:t>
            </w:r>
          </w:p>
        </w:tc>
      </w:tr>
      <w:tr>
        <w:tc>
          <w:tcPr>
            <w:tcW w:type="dxa" w:w="158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Sales Manager</w:t>
            </w:r>
          </w:p>
        </w:tc>
        <w:tc>
          <w:tcPr>
            <w:tcW w:type="dxa" w:w="367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Lead queue; team capacity; SLA; follow-ups; test rides; quotations/discount approvals; booking review</w:t>
            </w:r>
          </w:p>
        </w:tc>
        <w:tc>
          <w:tcPr>
            <w:tcW w:type="dxa" w:w="259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Assign/reassign, coach, approve, escalate</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Data Table, Kanban composition, Calendar, Popover, Dialog</w:t>
            </w:r>
          </w:p>
        </w:tc>
      </w:tr>
      <w:tr>
        <w:tc>
          <w:tcPr>
            <w:tcW w:type="dxa" w:w="1584"/>
            <w:vAlign w:val="center"/>
            <w:tcMar>
              <w:top w:w="70" w:type="dxa"/>
              <w:start w:w="90" w:type="dxa"/>
              <w:bottom w:w="70" w:type="dxa"/>
              <w:end w:w="90" w:type="dxa"/>
            </w:tcMar>
          </w:tcPr>
          <w:p>
            <w:pPr>
              <w:spacing w:after="0" w:before="0" w:line="240" w:lineRule="auto"/>
            </w:pPr>
            <w:r>
              <w:rPr>
                <w:rFonts w:ascii="Lato" w:hAnsi="Lato"/>
                <w:b w:val="0"/>
                <w:color w:val="123447"/>
                <w:sz w:val="13"/>
              </w:rPr>
              <w:t>Telecaller</w:t>
            </w:r>
          </w:p>
        </w:tc>
        <w:tc>
          <w:tcPr>
            <w:tcW w:type="dxa" w:w="3672"/>
            <w:vAlign w:val="center"/>
            <w:tcMar>
              <w:top w:w="70" w:type="dxa"/>
              <w:start w:w="90" w:type="dxa"/>
              <w:bottom w:w="70" w:type="dxa"/>
              <w:end w:w="90" w:type="dxa"/>
            </w:tcMar>
          </w:tcPr>
          <w:p>
            <w:pPr>
              <w:spacing w:after="0" w:before="0" w:line="240" w:lineRule="auto"/>
            </w:pPr>
            <w:r>
              <w:rPr>
                <w:rFonts w:ascii="Lato" w:hAnsi="Lato"/>
                <w:b w:val="0"/>
                <w:color w:val="123447"/>
                <w:sz w:val="13"/>
              </w:rPr>
              <w:t>Pending-review queue; lead detail; call panel; qualification; callback; reject/accept handoff</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3"/>
              </w:rPr>
              <w:t>Call, classify, schedule, handoff</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Resizable panels, Form, Radio Group, Date Picker, Sonner</w:t>
            </w:r>
          </w:p>
        </w:tc>
      </w:tr>
      <w:tr>
        <w:tc>
          <w:tcPr>
            <w:tcW w:type="dxa" w:w="158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Billing/Inventory/RC</w:t>
            </w:r>
          </w:p>
        </w:tc>
        <w:tc>
          <w:tcPr>
            <w:tcW w:type="dxa" w:w="367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Role work queues; booking detail; payment/finance; inventory allocation; readiness; registration/RC; document centre</w:t>
            </w:r>
          </w:p>
        </w:tc>
        <w:tc>
          <w:tcPr>
            <w:tcW w:type="dxa" w:w="2592"/>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Verify evidence, transition owned process, raise exception</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Tabs, Data Table, File upload, Badge, Timeline composition</w:t>
            </w:r>
          </w:p>
        </w:tc>
      </w:tr>
      <w:tr>
        <w:tc>
          <w:tcPr>
            <w:tcW w:type="dxa" w:w="1584"/>
            <w:vAlign w:val="center"/>
            <w:tcMar>
              <w:top w:w="70" w:type="dxa"/>
              <w:start w:w="90" w:type="dxa"/>
              <w:bottom w:w="70" w:type="dxa"/>
              <w:end w:w="90" w:type="dxa"/>
            </w:tcMar>
          </w:tcPr>
          <w:p>
            <w:pPr>
              <w:spacing w:after="0" w:before="0" w:line="240" w:lineRule="auto"/>
            </w:pPr>
            <w:r>
              <w:rPr>
                <w:rFonts w:ascii="Lato" w:hAnsi="Lato"/>
                <w:b w:val="0"/>
                <w:color w:val="123447"/>
                <w:sz w:val="13"/>
              </w:rPr>
              <w:t>Shared</w:t>
            </w:r>
          </w:p>
        </w:tc>
        <w:tc>
          <w:tcPr>
            <w:tcW w:type="dxa" w:w="3672"/>
            <w:vAlign w:val="center"/>
            <w:tcMar>
              <w:top w:w="70" w:type="dxa"/>
              <w:start w:w="90" w:type="dxa"/>
              <w:bottom w:w="70" w:type="dxa"/>
              <w:end w:w="90" w:type="dxa"/>
            </w:tcMar>
          </w:tcPr>
          <w:p>
            <w:pPr>
              <w:spacing w:after="0" w:before="0" w:line="240" w:lineRule="auto"/>
            </w:pPr>
            <w:r>
              <w:rPr>
                <w:rFonts w:ascii="Lato" w:hAnsi="Lato"/>
                <w:b w:val="0"/>
                <w:color w:val="123447"/>
                <w:sz w:val="13"/>
              </w:rPr>
              <w:t>Login/MFA; notifications; global search; profile/devices; help; audit-visible errors; secure download</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3"/>
              </w:rPr>
              <w:t>Find, act, recover and understand permission/state</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Command, Breadcrumb, Dropdown, Alert, Skeleton, Empty state</w:t>
            </w:r>
          </w:p>
        </w:tc>
      </w:tr>
    </w:tbl>
    <w:p>
      <w:pPr>
        <w:pStyle w:val="Heading2"/>
        <w:keepNext/>
      </w:pPr>
      <w:r>
        <w:t>31.2 Android mobile screen inventory</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3346"/>
        <w:gridCol w:w="3346"/>
        <w:gridCol w:w="3346"/>
      </w:tblGrid>
      <w:tr>
        <w:trPr>
          <w:tblHeader w:val="true"/>
        </w:trPr>
        <w:tc>
          <w:tcPr>
            <w:tcW w:type="dxa" w:w="1800"/>
            <w:vAlign w:val="center"/>
            <w:tcMar>
              <w:top w:w="70" w:type="dxa"/>
              <w:start w:w="90" w:type="dxa"/>
              <w:bottom w:w="70" w:type="dxa"/>
              <w:end w:w="90" w:type="dxa"/>
            </w:tcMar>
            <w:shd w:fill="123447"/>
          </w:tcPr>
          <w:p>
            <w:pPr>
              <w:spacing w:after="0" w:before="0" w:line="240" w:lineRule="auto"/>
            </w:pPr>
            <w:r>
              <w:rPr>
                <w:rFonts w:ascii="Lato" w:hAnsi="Lato"/>
                <w:b/>
                <w:color w:val="FFFFFF"/>
                <w:sz w:val="15"/>
              </w:rPr>
              <w:t>Role</w:t>
            </w:r>
          </w:p>
        </w:tc>
        <w:tc>
          <w:tcPr>
            <w:tcW w:type="dxa" w:w="5256"/>
            <w:vAlign w:val="center"/>
            <w:tcMar>
              <w:top w:w="70" w:type="dxa"/>
              <w:start w:w="90" w:type="dxa"/>
              <w:bottom w:w="70" w:type="dxa"/>
              <w:end w:w="90" w:type="dxa"/>
            </w:tcMar>
            <w:shd w:fill="123447"/>
          </w:tcPr>
          <w:p>
            <w:pPr>
              <w:spacing w:after="0" w:before="0" w:line="240" w:lineRule="auto"/>
            </w:pPr>
            <w:r>
              <w:rPr>
                <w:rFonts w:ascii="Lato" w:hAnsi="Lato"/>
                <w:b/>
                <w:color w:val="FFFFFF"/>
                <w:sz w:val="15"/>
              </w:rPr>
              <w:t>Required screens</w:t>
            </w:r>
          </w:p>
        </w:tc>
        <w:tc>
          <w:tcPr>
            <w:tcW w:type="dxa" w:w="3096"/>
            <w:vAlign w:val="center"/>
            <w:tcMar>
              <w:top w:w="70" w:type="dxa"/>
              <w:start w:w="90" w:type="dxa"/>
              <w:bottom w:w="70" w:type="dxa"/>
              <w:end w:w="90" w:type="dxa"/>
            </w:tcMar>
            <w:shd w:fill="123447"/>
          </w:tcPr>
          <w:p>
            <w:pPr>
              <w:spacing w:after="0" w:before="0" w:line="240" w:lineRule="auto"/>
            </w:pPr>
            <w:r>
              <w:rPr>
                <w:rFonts w:ascii="Lato" w:hAnsi="Lato"/>
                <w:b/>
                <w:color w:val="FFFFFF"/>
                <w:sz w:val="15"/>
              </w:rPr>
              <w:t>Critical contract</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All mobile roles</w:t>
            </w:r>
          </w:p>
        </w:tc>
        <w:tc>
          <w:tcPr>
            <w:tcW w:type="dxa" w:w="5256"/>
            <w:vAlign w:val="center"/>
            <w:tcMar>
              <w:top w:w="70" w:type="dxa"/>
              <w:start w:w="90" w:type="dxa"/>
              <w:bottom w:w="70" w:type="dxa"/>
              <w:end w:w="90" w:type="dxa"/>
            </w:tcMar>
          </w:tcPr>
          <w:p>
            <w:pPr>
              <w:spacing w:after="0" w:before="0" w:line="240" w:lineRule="auto"/>
            </w:pPr>
            <w:r>
              <w:rPr>
                <w:rFonts w:ascii="Lato" w:hAnsi="Lato"/>
                <w:b w:val="0"/>
                <w:color w:val="123447"/>
                <w:sz w:val="15"/>
              </w:rPr>
              <w:t>Login/device registration; Home; assigned work; notifications; offline status; profile/logout</w:t>
            </w:r>
          </w:p>
        </w:tc>
        <w:tc>
          <w:tcPr>
            <w:tcW w:type="dxa" w:w="3096"/>
            <w:vAlign w:val="center"/>
            <w:tcMar>
              <w:top w:w="70" w:type="dxa"/>
              <w:start w:w="90" w:type="dxa"/>
              <w:bottom w:w="70" w:type="dxa"/>
              <w:end w:w="90" w:type="dxa"/>
            </w:tcMar>
          </w:tcPr>
          <w:p>
            <w:pPr>
              <w:spacing w:after="0" w:before="0" w:line="240" w:lineRule="auto"/>
            </w:pPr>
            <w:r>
              <w:rPr>
                <w:rFonts w:ascii="Lato" w:hAnsi="Lato"/>
                <w:b w:val="0"/>
                <w:color w:val="123447"/>
                <w:sz w:val="15"/>
              </w:rPr>
              <w:t>JWT/session, FCM, SQLite outbox, permission education</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Salesperson</w:t>
            </w:r>
          </w:p>
        </w:tc>
        <w:tc>
          <w:tcPr>
            <w:tcW w:type="dxa" w:w="525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Lead queue; lead detail; timeline/inbox; call outcome; follow-up; test-ride request; quotation/booking request</w:t>
            </w:r>
          </w:p>
        </w:tc>
        <w:tc>
          <w:tcPr>
            <w:tcW w:type="dxa" w:w="309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Assigned leads only; offline notes/outcomes replay idempotently</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Test Ride Executive</w:t>
            </w:r>
          </w:p>
        </w:tc>
        <w:tc>
          <w:tcPr>
            <w:tcW w:type="dxa" w:w="5256"/>
            <w:vAlign w:val="center"/>
            <w:tcMar>
              <w:top w:w="70" w:type="dxa"/>
              <w:start w:w="90" w:type="dxa"/>
              <w:bottom w:w="70" w:type="dxa"/>
              <w:end w:w="90" w:type="dxa"/>
            </w:tcMar>
          </w:tcPr>
          <w:p>
            <w:pPr>
              <w:spacing w:after="0" w:before="0" w:line="240" w:lineRule="auto"/>
            </w:pPr>
            <w:r>
              <w:rPr>
                <w:rFonts w:ascii="Lato" w:hAnsi="Lato"/>
                <w:b w:val="0"/>
                <w:color w:val="123447"/>
                <w:sz w:val="15"/>
              </w:rPr>
              <w:t>Today/upcoming rides; ride detail; customer call/navigation; start disclosure; active tracking; checklist; complete/cancel/no-show</w:t>
            </w:r>
          </w:p>
        </w:tc>
        <w:tc>
          <w:tcPr>
            <w:tcW w:type="dxa" w:w="3096"/>
            <w:vAlign w:val="center"/>
            <w:tcMar>
              <w:top w:w="70" w:type="dxa"/>
              <w:start w:w="90" w:type="dxa"/>
              <w:bottom w:w="70" w:type="dxa"/>
              <w:end w:w="90" w:type="dxa"/>
            </w:tcMar>
          </w:tcPr>
          <w:p>
            <w:pPr>
              <w:spacing w:after="0" w:before="0" w:line="240" w:lineRule="auto"/>
            </w:pPr>
            <w:r>
              <w:rPr>
                <w:rFonts w:ascii="Lato" w:hAnsi="Lato"/>
                <w:b w:val="0"/>
                <w:color w:val="123447"/>
                <w:sz w:val="15"/>
              </w:rPr>
              <w:t>Foreground location only for explicit active ride</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Delivery Executive</w:t>
            </w:r>
          </w:p>
        </w:tc>
        <w:tc>
          <w:tcPr>
            <w:tcW w:type="dxa" w:w="525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Today/upcoming deliveries; readiness summary; customer call/navigation; start disclosure; active tracking; checklist; proof/OTP/signature; delay/fail</w:t>
            </w:r>
          </w:p>
        </w:tc>
        <w:tc>
          <w:tcPr>
            <w:tcW w:type="dxa" w:w="309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Cannot edit payment/inventory truth; offline proof upload queue</w:t>
            </w:r>
          </w:p>
        </w:tc>
      </w:tr>
    </w:tbl>
    <w:p>
      <w:pPr>
        <w:pStyle w:val="Heading2"/>
        <w:keepNext/>
      </w:pPr>
      <w:r>
        <w:t>31.3 Mandatory UI states and accessibility</w:t>
      </w:r>
    </w:p>
    <w:p>
      <w:pPr>
        <w:pStyle w:val="ListBullet"/>
        <w:spacing w:after="50"/>
      </w:pPr>
      <w:r>
        <w:rPr>
          <w:rFonts w:ascii="Lato" w:hAnsi="Lato"/>
          <w:color w:val="123447"/>
          <w:sz w:val="18"/>
        </w:rPr>
        <w:t>Every data surface implements loading/skeleton, empty, filtered-empty, error, retry, stale, offline, syncing, conflict, permission-denied and feature-disabled states.</w:t>
      </w:r>
    </w:p>
    <w:p>
      <w:pPr>
        <w:pStyle w:val="ListBullet"/>
        <w:spacing w:after="50"/>
      </w:pPr>
      <w:r>
        <w:rPr>
          <w:rFonts w:ascii="Lato" w:hAnsi="Lato"/>
          <w:color w:val="123447"/>
          <w:sz w:val="18"/>
        </w:rPr>
        <w:t>Target WCAG 2.2 AA for web: semantic headings/landmarks, keyboard navigation, visible focus, labels/descriptions, error association, contrast and reduced-motion support.</w:t>
      </w:r>
    </w:p>
    <w:p>
      <w:pPr>
        <w:pStyle w:val="ListBullet"/>
        <w:spacing w:after="50"/>
      </w:pPr>
      <w:r>
        <w:rPr>
          <w:rFonts w:ascii="Lato" w:hAnsi="Lato"/>
          <w:color w:val="123447"/>
          <w:sz w:val="18"/>
        </w:rPr>
        <w:t>Do not communicate state by colour alone. Charts provide text summaries and accessible data tables or downloadable equivalents.</w:t>
      </w:r>
    </w:p>
    <w:p>
      <w:pPr>
        <w:pStyle w:val="ListBullet"/>
        <w:spacing w:after="50"/>
      </w:pPr>
      <w:r>
        <w:rPr>
          <w:rFonts w:ascii="Lato" w:hAnsi="Lato"/>
          <w:color w:val="123447"/>
          <w:sz w:val="18"/>
        </w:rPr>
        <w:t>Mobile touch targets prefer at least 44 dp; permission prompts are preceded by a plain-language explanation and are requested only at the action that needs them.</w:t>
      </w:r>
    </w:p>
    <w:p>
      <w:pPr>
        <w:pStyle w:val="ListBullet"/>
        <w:spacing w:after="50"/>
      </w:pPr>
      <w:r>
        <w:rPr>
          <w:rFonts w:ascii="Lato" w:hAnsi="Lato"/>
          <w:color w:val="123447"/>
          <w:sz w:val="18"/>
        </w:rPr>
        <w:t>English is the initial product language, with string keys and layout prepared for Kannada/Hindi and longer translated labels. Customer template language is stored per contact/tenant.</w:t>
      </w:r>
    </w:p>
    <w:p>
      <w:pPr>
        <w:pStyle w:val="ListBullet"/>
        <w:spacing w:after="50"/>
      </w:pPr>
      <w:r>
        <w:rPr>
          <w:rFonts w:ascii="Lato" w:hAnsi="Lato"/>
          <w:color w:val="123447"/>
          <w:sz w:val="18"/>
        </w:rPr>
        <w:t>Destructive or irreversible actions require impact summary, reason and explicit confirmation; normal corrections use append-only events rather than hidden overwrite.</w:t>
      </w:r>
    </w:p>
    <w:p>
      <w:pPr>
        <w:pStyle w:val="Heading1"/>
        <w:keepNext/>
        <w:pageBreakBefore/>
      </w:pPr>
      <w:r>
        <w:t>32. Data Migration and Client Onboarding</w:t>
      </w:r>
    </w:p>
    <w:p>
      <w:pPr>
        <w:spacing w:after="80" w:line="254" w:lineRule="auto"/>
      </w:pPr>
      <w:r>
        <w:rPr>
          <w:rFonts w:ascii="Lato" w:hAnsi="Lato"/>
          <w:color w:val="123447"/>
          <w:sz w:val="19"/>
        </w:rPr>
        <w:t>Onboarding is a controlled production workflow, not a one-time spreadsheet upload. Every imported record has a batch ID, source row reference, validation result and actor approval so the client can reconcile or roll back the cutover.</w:t>
      </w:r>
    </w:p>
    <w:p>
      <w:pPr>
        <w:jc w:val="center"/>
      </w:pPr>
      <w:r>
        <w:drawing>
          <wp:inline xmlns:a="http://schemas.openxmlformats.org/drawingml/2006/main" xmlns:pic="http://schemas.openxmlformats.org/drawingml/2006/picture">
            <wp:extent cx="6035040" cy="406616"/>
            <wp:docPr id="17" name="Picture 17" descr="Image: image17.png"/>
            <wp:cNvGraphicFramePr>
              <a:graphicFrameLocks noChangeAspect="1"/>
            </wp:cNvGraphicFramePr>
            <a:graphic>
              <a:graphicData uri="http://schemas.openxmlformats.org/drawingml/2006/picture">
                <pic:pic>
                  <pic:nvPicPr>
                    <pic:cNvPr id="0" name="31_client_onboarding_flow.png"/>
                    <pic:cNvPicPr/>
                  </pic:nvPicPr>
                  <pic:blipFill>
                    <a:blip r:embed="rId52"/>
                    <a:stretch>
                      <a:fillRect/>
                    </a:stretch>
                  </pic:blipFill>
                  <pic:spPr>
                    <a:xfrm>
                      <a:off x="0" y="0"/>
                      <a:ext cx="6035040" cy="406616"/>
                    </a:xfrm>
                    <a:prstGeom prst="rect"/>
                  </pic:spPr>
                </pic:pic>
              </a:graphicData>
            </a:graphic>
          </wp:inline>
        </w:drawing>
      </w:r>
    </w:p>
    <w:p>
      <w:pPr>
        <w:spacing w:before="40" w:after="120"/>
        <w:jc w:val="center"/>
      </w:pPr>
      <w:r>
        <w:rPr>
          <w:rFonts w:ascii="Lato" w:hAnsi="Lato"/>
          <w:i/>
          <w:color w:val="587780"/>
          <w:sz w:val="16"/>
        </w:rPr>
        <w:t>Figure 32-1. Client onboarding, migration and pilot cutover flow.</w:t>
      </w:r>
    </w:p>
    <w:p>
      <w:pPr>
        <w:pStyle w:val="Heading2"/>
        <w:keepNext/>
      </w:pPr>
      <w:r>
        <w:t>32.1 Onboarding phases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1512"/>
            <w:vAlign w:val="center"/>
            <w:tcMar>
              <w:top w:w="70" w:type="dxa"/>
              <w:start w:w="90" w:type="dxa"/>
              <w:bottom w:w="70" w:type="dxa"/>
              <w:end w:w="90" w:type="dxa"/>
            </w:tcMar>
            <w:shd w:fill="123447"/>
          </w:tcPr>
          <w:p>
            <w:pPr>
              <w:spacing w:after="0" w:before="0" w:line="240" w:lineRule="auto"/>
            </w:pPr>
            <w:r>
              <w:rPr>
                <w:rFonts w:ascii="Lato" w:hAnsi="Lato"/>
                <w:b/>
                <w:color w:val="FFFFFF"/>
                <w:sz w:val="14"/>
              </w:rPr>
              <w:t>Phase</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Owner</w:t>
            </w:r>
          </w:p>
        </w:tc>
        <w:tc>
          <w:tcPr>
            <w:tcW w:type="dxa" w:w="432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work</w:t>
            </w:r>
          </w:p>
        </w:tc>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4"/>
              </w:rPr>
              <w:t>Exit evidence</w:t>
            </w:r>
          </w:p>
        </w:tc>
      </w:tr>
      <w:tr>
        <w:tc>
          <w:tcPr>
            <w:tcW w:type="dxa" w:w="1512"/>
            <w:vAlign w:val="center"/>
            <w:tcMar>
              <w:top w:w="70" w:type="dxa"/>
              <w:start w:w="90" w:type="dxa"/>
              <w:bottom w:w="70" w:type="dxa"/>
              <w:end w:w="90" w:type="dxa"/>
            </w:tcMar>
          </w:tcPr>
          <w:p>
            <w:pPr>
              <w:spacing w:after="0" w:before="0" w:line="240" w:lineRule="auto"/>
            </w:pPr>
            <w:r>
              <w:rPr>
                <w:rFonts w:ascii="Lato" w:hAnsi="Lato"/>
                <w:b w:val="0"/>
                <w:color w:val="123447"/>
                <w:sz w:val="14"/>
              </w:rPr>
              <w:t>1. Discovery</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Client owner + Go Digital</w:t>
            </w:r>
          </w:p>
        </w:tc>
        <w:tc>
          <w:tcPr>
            <w:tcW w:type="dxa" w:w="4320"/>
            <w:vAlign w:val="center"/>
            <w:tcMar>
              <w:top w:w="70" w:type="dxa"/>
              <w:start w:w="90" w:type="dxa"/>
              <w:bottom w:w="70" w:type="dxa"/>
              <w:end w:w="90" w:type="dxa"/>
            </w:tcMar>
          </w:tcPr>
          <w:p>
            <w:pPr>
              <w:spacing w:after="0" w:before="0" w:line="240" w:lineRule="auto"/>
            </w:pPr>
            <w:r>
              <w:rPr>
                <w:rFonts w:ascii="Lato" w:hAnsi="Lato"/>
                <w:b w:val="0"/>
                <w:color w:val="123447"/>
                <w:sz w:val="14"/>
              </w:rPr>
              <w:t>Branches, roles, current systems, providers, consent, data sets, volume and go-live date</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Signed discovery checklist and scope.</w:t>
            </w:r>
          </w:p>
        </w:tc>
      </w:tr>
      <w:tr>
        <w:tc>
          <w:tcPr>
            <w:tcW w:type="dxa" w:w="151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2. Tenant setup</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Client Admin + Platform</w:t>
            </w:r>
          </w:p>
        </w:tc>
        <w:tc>
          <w:tcPr>
            <w:tcW w:type="dxa" w:w="432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Tenant, branches, teams, working hours, SLAs, permissions and feature flags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Configuration version approved.</w:t>
            </w:r>
          </w:p>
        </w:tc>
      </w:tr>
      <w:tr>
        <w:tc>
          <w:tcPr>
            <w:tcW w:type="dxa" w:w="1512"/>
            <w:vAlign w:val="center"/>
            <w:tcMar>
              <w:top w:w="70" w:type="dxa"/>
              <w:start w:w="90" w:type="dxa"/>
              <w:bottom w:w="70" w:type="dxa"/>
              <w:end w:w="90" w:type="dxa"/>
            </w:tcMar>
          </w:tcPr>
          <w:p>
            <w:pPr>
              <w:spacing w:after="0" w:before="0" w:line="240" w:lineRule="auto"/>
            </w:pPr>
            <w:r>
              <w:rPr>
                <w:rFonts w:ascii="Lato" w:hAnsi="Lato"/>
                <w:b w:val="0"/>
                <w:color w:val="123447"/>
                <w:sz w:val="14"/>
              </w:rPr>
              <w:t>3. Mapping</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Migration owner</w:t>
            </w:r>
          </w:p>
        </w:tc>
        <w:tc>
          <w:tcPr>
            <w:tcW w:type="dxa" w:w="4320"/>
            <w:vAlign w:val="center"/>
            <w:tcMar>
              <w:top w:w="70" w:type="dxa"/>
              <w:start w:w="90" w:type="dxa"/>
              <w:bottom w:w="70" w:type="dxa"/>
              <w:end w:w="90" w:type="dxa"/>
            </w:tcMar>
          </w:tcPr>
          <w:p>
            <w:pPr>
              <w:spacing w:after="0" w:before="0" w:line="240" w:lineRule="auto"/>
            </w:pPr>
            <w:r>
              <w:rPr>
                <w:rFonts w:ascii="Lato" w:hAnsi="Lato"/>
                <w:b w:val="0"/>
                <w:color w:val="123447"/>
                <w:sz w:val="14"/>
              </w:rPr>
              <w:t>Column mapping, normalization, status/source mapping, duplicate rules and document strategy</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Mapping specification and sample file.</w:t>
            </w:r>
          </w:p>
        </w:tc>
      </w:tr>
      <w:tr>
        <w:tc>
          <w:tcPr>
            <w:tcW w:type="dxa" w:w="151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4. Dry run</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Migration worker</w:t>
            </w:r>
          </w:p>
        </w:tc>
        <w:tc>
          <w:tcPr>
            <w:tcW w:type="dxa" w:w="432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Import synthetic/copy, validate, dedupe preview, rejected-row report and totals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No production mutation; client receives report.</w:t>
            </w:r>
          </w:p>
        </w:tc>
      </w:tr>
      <w:tr>
        <w:tc>
          <w:tcPr>
            <w:tcW w:type="dxa" w:w="1512"/>
            <w:vAlign w:val="center"/>
            <w:tcMar>
              <w:top w:w="70" w:type="dxa"/>
              <w:start w:w="90" w:type="dxa"/>
              <w:bottom w:w="70" w:type="dxa"/>
              <w:end w:w="90" w:type="dxa"/>
            </w:tcMar>
          </w:tcPr>
          <w:p>
            <w:pPr>
              <w:spacing w:after="0" w:before="0" w:line="240" w:lineRule="auto"/>
            </w:pPr>
            <w:r>
              <w:rPr>
                <w:rFonts w:ascii="Lato" w:hAnsi="Lato"/>
                <w:b w:val="0"/>
                <w:color w:val="123447"/>
                <w:sz w:val="14"/>
              </w:rPr>
              <w:t>5. Client validation</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Client business owners</w:t>
            </w:r>
          </w:p>
        </w:tc>
        <w:tc>
          <w:tcPr>
            <w:tcW w:type="dxa" w:w="4320"/>
            <w:vAlign w:val="center"/>
            <w:tcMar>
              <w:top w:w="70" w:type="dxa"/>
              <w:start w:w="90" w:type="dxa"/>
              <w:bottom w:w="70" w:type="dxa"/>
              <w:end w:w="90" w:type="dxa"/>
            </w:tcMar>
          </w:tcPr>
          <w:p>
            <w:pPr>
              <w:spacing w:after="0" w:before="0" w:line="240" w:lineRule="auto"/>
            </w:pPr>
            <w:r>
              <w:rPr>
                <w:rFonts w:ascii="Lato" w:hAnsi="Lato"/>
                <w:b w:val="0"/>
                <w:color w:val="123447"/>
                <w:sz w:val="14"/>
              </w:rPr>
              <w:t>Sample records, balances, stock/VIN, owner assignment, open tasks and totals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Written approval or corrected mapping.</w:t>
            </w:r>
          </w:p>
        </w:tc>
      </w:tr>
      <w:tr>
        <w:tc>
          <w:tcPr>
            <w:tcW w:type="dxa" w:w="151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6. Provider setup</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Client Admin + Integration owner</w:t>
            </w:r>
          </w:p>
        </w:tc>
        <w:tc>
          <w:tcPr>
            <w:tcW w:type="dxa" w:w="432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WhatsApp/telephony/Google/email/SMS connections, templates, webhooks and test messages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Health checks and approval state recorded.</w:t>
            </w:r>
          </w:p>
        </w:tc>
      </w:tr>
      <w:tr>
        <w:tc>
          <w:tcPr>
            <w:tcW w:type="dxa" w:w="1512"/>
            <w:vAlign w:val="center"/>
            <w:tcMar>
              <w:top w:w="70" w:type="dxa"/>
              <w:start w:w="90" w:type="dxa"/>
              <w:bottom w:w="70" w:type="dxa"/>
              <w:end w:w="90" w:type="dxa"/>
            </w:tcMar>
          </w:tcPr>
          <w:p>
            <w:pPr>
              <w:spacing w:after="0" w:before="0" w:line="240" w:lineRule="auto"/>
            </w:pPr>
            <w:r>
              <w:rPr>
                <w:rFonts w:ascii="Lato" w:hAnsi="Lato"/>
                <w:b w:val="0"/>
                <w:color w:val="123447"/>
                <w:sz w:val="14"/>
              </w:rPr>
              <w:t>7. Pilot cutover</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Go Digital + pilot branch</w:t>
            </w:r>
          </w:p>
        </w:tc>
        <w:tc>
          <w:tcPr>
            <w:tcW w:type="dxa" w:w="4320"/>
            <w:vAlign w:val="center"/>
            <w:tcMar>
              <w:top w:w="70" w:type="dxa"/>
              <w:start w:w="90" w:type="dxa"/>
              <w:bottom w:w="70" w:type="dxa"/>
              <w:end w:w="90" w:type="dxa"/>
            </w:tcMar>
          </w:tcPr>
          <w:p>
            <w:pPr>
              <w:spacing w:after="0" w:before="0" w:line="240" w:lineRule="auto"/>
            </w:pPr>
            <w:r>
              <w:rPr>
                <w:rFonts w:ascii="Lato" w:hAnsi="Lato"/>
                <w:b w:val="0"/>
                <w:color w:val="123447"/>
                <w:sz w:val="14"/>
              </w:rPr>
              <w:t>Freeze window, final delta import, user activation and one-branch production flow</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Lead-to-RC pilot acceptance.</w:t>
            </w:r>
          </w:p>
        </w:tc>
      </w:tr>
      <w:tr>
        <w:tc>
          <w:tcPr>
            <w:tcW w:type="dxa" w:w="151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8. Reconciliation/hypercare</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Operations</w:t>
            </w:r>
          </w:p>
        </w:tc>
        <w:tc>
          <w:tcPr>
            <w:tcW w:type="dxa" w:w="432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Counts, duplicates, failed jobs, provider delivery, user support and daily sign-off</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Production acceptance and rollback window closed.</w:t>
            </w:r>
          </w:p>
        </w:tc>
      </w:tr>
    </w:tbl>
    <w:p>
      <w:pPr>
        <w:pStyle w:val="Heading2"/>
        <w:keepNext/>
      </w:pPr>
      <w:r>
        <w:t>32.2 Supported import domains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5018"/>
        <w:gridCol w:w="5018"/>
      </w:tblGrid>
      <w:tr>
        <w:trPr>
          <w:tblHeader w:val="true"/>
        </w:trPr>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6"/>
              </w:rPr>
              <w:t>Domain</w:t>
            </w:r>
          </w:p>
        </w:tc>
        <w:tc>
          <w:tcPr>
            <w:tcW w:type="dxa" w:w="7344"/>
            <w:vAlign w:val="center"/>
            <w:tcMar>
              <w:top w:w="70" w:type="dxa"/>
              <w:start w:w="90" w:type="dxa"/>
              <w:bottom w:w="70" w:type="dxa"/>
              <w:end w:w="90" w:type="dxa"/>
            </w:tcMar>
            <w:shd w:fill="123447"/>
          </w:tcPr>
          <w:p>
            <w:pPr>
              <w:spacing w:after="0" w:before="0" w:line="240" w:lineRule="auto"/>
            </w:pPr>
            <w:r>
              <w:rPr>
                <w:rFonts w:ascii="Lato" w:hAnsi="Lato"/>
                <w:b/>
                <w:color w:val="FFFFFF"/>
                <w:sz w:val="16"/>
              </w:rPr>
              <w:t>Minimum migration rules</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Users/branches/teams</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Unique employee email/phone, role and scope; inactive users excluded or marked inactive.</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Contacts/leads</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Name/phone/source/status/owner/created time; normalize phone; preserve legacy ID and source row.</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Open follow-ups</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Lead/contact match, owner, due time, purpose and source system.</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Vehicle inventory</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Model/variant/colour, branch, VIN/engine, status, allocation/hold and source reference.</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Bookings/payments/finance</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Booking reference, customer, price, verified entries, balance and current finance state; totals must reconcile.</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Delivery/RC cases</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6"/>
              </w:rPr>
              <w:t>Booking/VIN match, stage, dates, current owner, expected date and document references.</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Customer vehicles/reminders</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6"/>
              </w:rPr>
              <w:t>VIN/registration, delivery/purchase date, coverage expiries and consent/preferences.</w:t>
            </w:r>
          </w:p>
        </w:tc>
      </w:tr>
    </w:tbl>
    <w:p>
      <w:pPr>
        <w:pStyle w:val="Heading2"/>
        <w:keepNext/>
      </w:pPr>
      <w:r>
        <w:t>32.3 Cutover and rollback controls</w:t>
      </w:r>
    </w:p>
    <w:p>
      <w:pPr>
        <w:pStyle w:val="ListBullet"/>
        <w:spacing w:after="50"/>
      </w:pPr>
      <w:r>
        <w:rPr>
          <w:rFonts w:ascii="Lato" w:hAnsi="Lato"/>
          <w:color w:val="123447"/>
          <w:sz w:val="18"/>
        </w:rPr>
        <w:t>Production import is idempotent by client + source_system + legacy_id + batch. Re-running a batch cannot duplicate accepted records.</w:t>
      </w:r>
    </w:p>
    <w:p>
      <w:pPr>
        <w:pStyle w:val="ListBullet"/>
        <w:spacing w:after="50"/>
      </w:pPr>
      <w:r>
        <w:rPr>
          <w:rFonts w:ascii="Lato" w:hAnsi="Lato"/>
          <w:color w:val="123447"/>
          <w:sz w:val="18"/>
        </w:rPr>
        <w:t>Before cutover, create database backup/snapshot and store approved source files with checksum in restricted storage.</w:t>
      </w:r>
    </w:p>
    <w:p>
      <w:pPr>
        <w:pStyle w:val="ListBullet"/>
        <w:spacing w:after="50"/>
      </w:pPr>
      <w:r>
        <w:rPr>
          <w:rFonts w:ascii="Lato" w:hAnsi="Lato"/>
          <w:color w:val="123447"/>
          <w:sz w:val="18"/>
        </w:rPr>
        <w:t>Rollback means reversing the import batch through linked import events or restoring the agreed snapshot during the defined window; manual row deletion is prohibited.</w:t>
      </w:r>
    </w:p>
    <w:p>
      <w:pPr>
        <w:pStyle w:val="ListBullet"/>
        <w:spacing w:after="50"/>
      </w:pPr>
      <w:r>
        <w:rPr>
          <w:rFonts w:ascii="Lato" w:hAnsi="Lato"/>
          <w:color w:val="123447"/>
          <w:sz w:val="18"/>
        </w:rPr>
        <w:t>After go-live, all corrections use CRM workflows. Legacy systems become read-only according to the client cutover plan.</w:t>
      </w:r>
    </w:p>
    <w:p>
      <w:pPr>
        <w:pStyle w:val="ListBullet"/>
        <w:spacing w:after="50"/>
      </w:pPr>
      <w:r>
        <w:rPr>
          <w:rFonts w:ascii="Lato" w:hAnsi="Lato"/>
          <w:color w:val="123447"/>
          <w:sz w:val="18"/>
        </w:rPr>
        <w:t>A client is not marked LIVE until role acceptance, provider health, migration reconciliation, privacy notices, support contacts and release checklist are signed.</w:t>
      </w:r>
    </w:p>
    <w:p>
      <w:pPr>
        <w:pStyle w:val="Heading1"/>
        <w:keepNext/>
        <w:pageBreakBefore/>
      </w:pPr>
      <w:r>
        <w:t>33. Analytics and KPI Dictionary</w:t>
      </w:r>
    </w:p>
    <w:tbl>
      <w:tblPr>
        <w:tblW w:type="auto" w:w="0"/>
        <w:jc w:val="center"/>
        <w:tblLook w:firstColumn="1" w:firstRow="1" w:lastColumn="0" w:lastRow="0" w:noHBand="0" w:noVBand="1" w:val="04A0"/>
        <w:tblBorders>
          <w:top w:val="single" w:sz="8" w:space="0" w:color="1F6F78"/>
          <w:start w:val="single" w:sz="8" w:space="0" w:color="1F6F78"/>
          <w:bottom w:val="single" w:sz="8" w:space="0" w:color="1F6F78"/>
          <w:end w:val="single" w:sz="8" w:space="0" w:color="1F6F78"/>
          <w:insideH w:val="single" w:sz="8" w:space="0" w:color="1F6F78"/>
          <w:insideV w:val="single" w:sz="8" w:space="0" w:color="1F6F78"/>
        </w:tblBorders>
      </w:tblPr>
      <w:tblGrid>
        <w:gridCol w:w="10037"/>
      </w:tblGrid>
      <w:tr>
        <w:tc>
          <w:tcPr>
            <w:tcW w:type="dxa" w:w="10037"/>
            <w:shd w:fill="EAF4F6"/>
            <w:tcMar>
              <w:top w:w="100" w:type="dxa"/>
              <w:start w:w="120" w:type="dxa"/>
              <w:bottom w:w="100" w:type="dxa"/>
              <w:end w:w="120" w:type="dxa"/>
            </w:tcMar>
          </w:tcPr>
          <w:p>
            <w:pPr>
              <w:spacing w:after="0"/>
            </w:pPr>
            <w:r>
              <w:rPr>
                <w:rFonts w:ascii="Lato" w:hAnsi="Lato"/>
                <w:b/>
                <w:color w:val="1F6F78"/>
                <w:sz w:val="18"/>
              </w:rPr>
              <w:t>Analytics truth rule</w:t>
              <w:br/>
            </w:r>
            <w:r>
              <w:rPr>
                <w:rFonts w:ascii="Lato" w:hAnsi="Lato"/>
                <w:color w:val="123447"/>
                <w:sz w:val="18"/>
              </w:rPr>
              <w:t>Every KPI has one formula, one event source, one timezone and explicit inclusion/exclusion rules. Dashboards never treat unknown attribution as a known campaign and never show ROI unless verified spend/revenue data is available.</w:t>
            </w:r>
          </w:p>
        </w:tc>
        <w:trPr>
          <w:tblHeader/>
        </w:trPr>
      </w:tr>
    </w:tbl>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1800"/>
            <w:vAlign w:val="center"/>
            <w:tcMar>
              <w:top w:w="70" w:type="dxa"/>
              <w:start w:w="90" w:type="dxa"/>
              <w:bottom w:w="70" w:type="dxa"/>
              <w:end w:w="90" w:type="dxa"/>
            </w:tcMar>
            <w:shd w:fill="123447"/>
          </w:tcPr>
          <w:p>
            <w:pPr>
              <w:spacing w:after="0" w:before="0" w:line="240" w:lineRule="auto"/>
            </w:pPr>
            <w:r>
              <w:rPr>
                <w:rFonts w:ascii="Lato" w:hAnsi="Lato"/>
                <w:b/>
                <w:color w:val="FFFFFF"/>
                <w:sz w:val="13"/>
              </w:rPr>
              <w:t>KPI</w:t>
            </w:r>
          </w:p>
        </w:tc>
        <w:tc>
          <w:tcPr>
            <w:tcW w:type="dxa" w:w="3024"/>
            <w:vAlign w:val="center"/>
            <w:tcMar>
              <w:top w:w="70" w:type="dxa"/>
              <w:start w:w="90" w:type="dxa"/>
              <w:bottom w:w="70" w:type="dxa"/>
              <w:end w:w="90" w:type="dxa"/>
            </w:tcMar>
            <w:shd w:fill="123447"/>
          </w:tcPr>
          <w:p>
            <w:pPr>
              <w:spacing w:after="0" w:before="0" w:line="240" w:lineRule="auto"/>
            </w:pPr>
            <w:r>
              <w:rPr>
                <w:rFonts w:ascii="Lato" w:hAnsi="Lato"/>
                <w:b/>
                <w:color w:val="FFFFFF"/>
                <w:sz w:val="13"/>
              </w:rPr>
              <w:t>Formula</w:t>
            </w:r>
          </w:p>
        </w:tc>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3"/>
              </w:rPr>
              <w:t>Source of truth</w:t>
            </w:r>
          </w:p>
        </w:tc>
        <w:tc>
          <w:tcPr>
            <w:tcW w:type="dxa" w:w="3024"/>
            <w:vAlign w:val="center"/>
            <w:tcMar>
              <w:top w:w="70" w:type="dxa"/>
              <w:start w:w="90" w:type="dxa"/>
              <w:bottom w:w="70" w:type="dxa"/>
              <w:end w:w="90" w:type="dxa"/>
            </w:tcMar>
            <w:shd w:fill="123447"/>
          </w:tcPr>
          <w:p>
            <w:pPr>
              <w:spacing w:after="0" w:before="0" w:line="240" w:lineRule="auto"/>
            </w:pPr>
            <w:r>
              <w:rPr>
                <w:rFonts w:ascii="Lato" w:hAnsi="Lato"/>
                <w:b/>
                <w:color w:val="FFFFFF"/>
                <w:sz w:val="13"/>
              </w:rPr>
              <w:t>Inclusion / interpretation</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New lead volume</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Count distinct lead_id by captured_at</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lead_opportunities</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Exclude test/synthetic; group by original source/branch.</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First action time</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first_agent_action_at − captured_at; p50/p90</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activity/call/message events</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First valid staff action, not assignment notification.</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First successful contact time</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first_successful_contact_at − captured_at; p50/p90</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call outcome or inbound/outbound conversation result</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No-answer attempts do not count as successful contact.</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SLA compliance</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Leads with first action within configured SLA ÷ eligible leads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lead + SLA calendar</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Respect branch working hours and approved paused states.</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Acceptance rate</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Accepted initial decisions ÷ reviewed leads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lead status history</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Rejected duplicates may be reported separately.</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Contact rate</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Accepted leads with successful contact ÷ accepted leads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call/message outcomes</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Use fixed cohort and observation window.</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Test ride booking rate</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Leads with booked ride ÷ accepted leads</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test_ride_jobs</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Deduplicate multiple rides per opportunity.</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Test ride completion rate</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Completed rides ÷ booked rides due in period</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test_ride state history</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No-show/cancel reported separately.</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Booking conversion</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Confirmed bookings ÷ accepted leads in cohort</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bookings + lead cohort</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Cohort by lead captured/accepted date; show lag.</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Retail/delivery conversion</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Delivered customer vehicles ÷ confirmed bookings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delivery/customer_vehicle</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Cancelled bookings excluded only in a separately labelled view.</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On-time delivery</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Delivered on/before committed date ÷ delivered with commitment</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booking/delivery events</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Committed date changes are versioned; use last customer-approved date.</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Stock aging</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Current date − received_at for available/reserved/blocked units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inventory_units</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Report by model/branch/status; delivered/transferred excluded.</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Payment aging</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Current date − booking confirmed for unpaid balance</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bookings/payment entries</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Finance expected disbursement can be a separate bucket.</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RC aging</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Current date − RTO submitted date for open cases</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registration_cases</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Separate stage and documented external delay reason.</w:t>
            </w:r>
          </w:p>
        </w:tc>
      </w:tr>
      <w:tr>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3"/>
              </w:rPr>
              <w:t>Source conversion</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Confirmed bookings or deliveries ÷ leads by original source</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3"/>
              </w:rPr>
              <w:t>lead attribution + booking/delivery</w:t>
            </w:r>
          </w:p>
        </w:tc>
        <w:tc>
          <w:tcPr>
            <w:tcW w:type="dxa" w:w="3024"/>
            <w:vAlign w:val="center"/>
            <w:tcMar>
              <w:top w:w="70" w:type="dxa"/>
              <w:start w:w="90" w:type="dxa"/>
              <w:bottom w:w="70" w:type="dxa"/>
              <w:end w:w="90" w:type="dxa"/>
            </w:tcMar>
          </w:tcPr>
          <w:p>
            <w:pPr>
              <w:spacing w:after="0" w:before="0" w:line="240" w:lineRule="auto"/>
            </w:pPr>
            <w:r>
              <w:rPr>
                <w:rFonts w:ascii="Lato" w:hAnsi="Lato"/>
                <w:b w:val="0"/>
                <w:color w:val="123447"/>
                <w:sz w:val="13"/>
              </w:rPr>
              <w:t>Unknown campaign remains Unknown; no reassignment of original source.</w:t>
            </w:r>
          </w:p>
        </w:tc>
      </w:tr>
      <w:tr>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Source ROI</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(verified attributable gross value − verified spend) ÷ verified spend</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Ads spend + approved revenue field</w:t>
            </w:r>
          </w:p>
        </w:tc>
        <w:tc>
          <w:tcPr>
            <w:tcW w:type="dxa" w:w="3024"/>
            <w:vAlign w:val="center"/>
            <w:tcMar>
              <w:top w:w="70" w:type="dxa"/>
              <w:start w:w="90" w:type="dxa"/>
              <w:bottom w:w="70" w:type="dxa"/>
              <w:end w:w="90" w:type="dxa"/>
            </w:tcMar>
            <w:shd w:fill="F4F6F7"/>
          </w:tcPr>
          <w:p>
            <w:pPr>
              <w:spacing w:after="0" w:before="0" w:line="240" w:lineRule="auto"/>
            </w:pPr>
            <w:r>
              <w:rPr>
                <w:rFonts w:ascii="Lato" w:hAnsi="Lato"/>
                <w:b w:val="0"/>
                <w:color w:val="123447"/>
                <w:sz w:val="13"/>
              </w:rPr>
              <w:t>Hide when spend/revenue linkage is incomplete; do not infer from ordinary calls.</w:t>
            </w:r>
          </w:p>
        </w:tc>
      </w:tr>
    </w:tbl>
    <w:p>
      <w:pPr>
        <w:pStyle w:val="Heading2"/>
        <w:keepNext/>
      </w:pPr>
      <w:r>
        <w:t>33.1 Reporting controls</w:t>
      </w:r>
    </w:p>
    <w:p>
      <w:pPr>
        <w:pStyle w:val="ListBullet"/>
        <w:spacing w:after="50"/>
      </w:pPr>
      <w:r>
        <w:rPr>
          <w:rFonts w:ascii="Lato" w:hAnsi="Lato"/>
          <w:color w:val="123447"/>
          <w:sz w:val="18"/>
        </w:rPr>
        <w:t>All reports show the selected period, timezone, cohort basis, filters, last refresh time and data completeness warning.</w:t>
      </w:r>
    </w:p>
    <w:p>
      <w:pPr>
        <w:pStyle w:val="ListBullet"/>
        <w:spacing w:after="50"/>
      </w:pPr>
      <w:r>
        <w:rPr>
          <w:rFonts w:ascii="Lato" w:hAnsi="Lato"/>
          <w:color w:val="123447"/>
          <w:sz w:val="18"/>
        </w:rPr>
        <w:t>Manager corrections do not rewrite historical KPI events; corrected events carry reason and effective timestamp.</w:t>
      </w:r>
    </w:p>
    <w:p>
      <w:pPr>
        <w:pStyle w:val="ListBullet"/>
        <w:spacing w:after="50"/>
      </w:pPr>
      <w:r>
        <w:rPr>
          <w:rFonts w:ascii="Lato" w:hAnsi="Lato"/>
          <w:color w:val="123447"/>
          <w:sz w:val="18"/>
        </w:rPr>
        <w:t>Scheduled exports use permission re-check at execution time, a short-lived secure link, row count, purpose and download audit.</w:t>
      </w:r>
    </w:p>
    <w:p>
      <w:pPr>
        <w:pStyle w:val="ListBullet"/>
        <w:spacing w:after="50"/>
      </w:pPr>
      <w:r>
        <w:rPr>
          <w:rFonts w:ascii="Lato" w:hAnsi="Lato"/>
          <w:color w:val="123447"/>
          <w:sz w:val="18"/>
        </w:rPr>
        <w:t>Operational dashboards may be near-real-time; marketing cost and GBP performance follow provider availability and are labelled with sync time.</w:t>
      </w:r>
    </w:p>
    <w:p>
      <w:pPr>
        <w:pStyle w:val="Heading1"/>
        <w:keepNext/>
        <w:pageBreakBefore/>
      </w:pPr>
      <w:r>
        <w:t>34. Operations, Support, Threat Controls and Recovery</w:t>
      </w:r>
    </w:p>
    <w:p>
      <w:pPr>
        <w:pStyle w:val="Heading2"/>
        <w:keepNext/>
      </w:pPr>
      <w:r>
        <w:t>34.1 Incident severity and response targets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1584"/>
            <w:vAlign w:val="center"/>
            <w:tcMar>
              <w:top w:w="70" w:type="dxa"/>
              <w:start w:w="90" w:type="dxa"/>
              <w:bottom w:w="70" w:type="dxa"/>
              <w:end w:w="90" w:type="dxa"/>
            </w:tcMar>
            <w:shd w:fill="123447"/>
          </w:tcPr>
          <w:p>
            <w:pPr>
              <w:spacing w:after="0" w:before="0" w:line="240" w:lineRule="auto"/>
            </w:pPr>
            <w:r>
              <w:rPr>
                <w:rFonts w:ascii="Lato" w:hAnsi="Lato"/>
                <w:b/>
                <w:color w:val="FFFFFF"/>
                <w:sz w:val="14"/>
              </w:rPr>
              <w:t>Severity</w:t>
            </w:r>
          </w:p>
        </w:tc>
        <w:tc>
          <w:tcPr>
            <w:tcW w:type="dxa" w:w="3456"/>
            <w:vAlign w:val="center"/>
            <w:tcMar>
              <w:top w:w="70" w:type="dxa"/>
              <w:start w:w="90" w:type="dxa"/>
              <w:bottom w:w="70" w:type="dxa"/>
              <w:end w:w="90" w:type="dxa"/>
            </w:tcMar>
            <w:shd w:fill="123447"/>
          </w:tcPr>
          <w:p>
            <w:pPr>
              <w:spacing w:after="0" w:before="0" w:line="240" w:lineRule="auto"/>
            </w:pPr>
            <w:r>
              <w:rPr>
                <w:rFonts w:ascii="Lato" w:hAnsi="Lato"/>
                <w:b/>
                <w:color w:val="FFFFFF"/>
                <w:sz w:val="14"/>
              </w:rPr>
              <w:t>Examples</w:t>
            </w:r>
          </w:p>
        </w:tc>
        <w:tc>
          <w:tcPr>
            <w:tcW w:type="dxa" w:w="2088"/>
            <w:vAlign w:val="center"/>
            <w:tcMar>
              <w:top w:w="70" w:type="dxa"/>
              <w:start w:w="90" w:type="dxa"/>
              <w:bottom w:w="70" w:type="dxa"/>
              <w:end w:w="90" w:type="dxa"/>
            </w:tcMar>
            <w:shd w:fill="123447"/>
          </w:tcPr>
          <w:p>
            <w:pPr>
              <w:spacing w:after="0" w:before="0" w:line="240" w:lineRule="auto"/>
            </w:pPr>
            <w:r>
              <w:rPr>
                <w:rFonts w:ascii="Lato" w:hAnsi="Lato"/>
                <w:b/>
                <w:color w:val="FFFFFF"/>
                <w:sz w:val="14"/>
              </w:rPr>
              <w:t>Recommended target</w:t>
            </w:r>
          </w:p>
        </w:tc>
        <w:tc>
          <w:tcPr>
            <w:tcW w:type="dxa" w:w="3168"/>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action</w:t>
            </w:r>
          </w:p>
        </w:tc>
      </w:tr>
      <w:tr>
        <w:tc>
          <w:tcPr>
            <w:tcW w:type="dxa" w:w="1584"/>
            <w:vAlign w:val="center"/>
            <w:tcMar>
              <w:top w:w="70" w:type="dxa"/>
              <w:start w:w="90" w:type="dxa"/>
              <w:bottom w:w="70" w:type="dxa"/>
              <w:end w:w="90" w:type="dxa"/>
            </w:tcMar>
          </w:tcPr>
          <w:p>
            <w:pPr>
              <w:spacing w:after="0" w:before="0" w:line="240" w:lineRule="auto"/>
            </w:pPr>
            <w:r>
              <w:rPr>
                <w:rFonts w:ascii="Lato" w:hAnsi="Lato"/>
                <w:b w:val="0"/>
                <w:color w:val="123447"/>
                <w:sz w:val="14"/>
              </w:rPr>
              <w:t>SEV-1 Critical</w:t>
            </w:r>
          </w:p>
        </w:tc>
        <w:tc>
          <w:tcPr>
            <w:tcW w:type="dxa" w:w="3456"/>
            <w:vAlign w:val="center"/>
            <w:tcMar>
              <w:top w:w="70" w:type="dxa"/>
              <w:start w:w="90" w:type="dxa"/>
              <w:bottom w:w="70" w:type="dxa"/>
              <w:end w:w="90" w:type="dxa"/>
            </w:tcMar>
          </w:tcPr>
          <w:p>
            <w:pPr>
              <w:spacing w:after="0" w:before="0" w:line="240" w:lineRule="auto"/>
            </w:pPr>
            <w:r>
              <w:rPr>
                <w:rFonts w:ascii="Lato" w:hAnsi="Lato"/>
                <w:b w:val="0"/>
                <w:color w:val="123447"/>
                <w:sz w:val="14"/>
              </w:rPr>
              <w:t>Cross-tenant exposure, auth bypass, confirmed data loss/corruption, broad production outage</w:t>
            </w:r>
          </w:p>
        </w:tc>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4"/>
              </w:rPr>
              <w:t>Acknowledge 15 min; contain 60 min target</w:t>
            </w:r>
          </w:p>
        </w:tc>
        <w:tc>
          <w:tcPr>
            <w:tcW w:type="dxa" w:w="3168"/>
            <w:vAlign w:val="center"/>
            <w:tcMar>
              <w:top w:w="70" w:type="dxa"/>
              <w:start w:w="90" w:type="dxa"/>
              <w:bottom w:w="70" w:type="dxa"/>
              <w:end w:w="90" w:type="dxa"/>
            </w:tcMar>
          </w:tcPr>
          <w:p>
            <w:pPr>
              <w:spacing w:after="0" w:before="0" w:line="240" w:lineRule="auto"/>
            </w:pPr>
            <w:r>
              <w:rPr>
                <w:rFonts w:ascii="Lato" w:hAnsi="Lato"/>
                <w:b w:val="0"/>
                <w:color w:val="123447"/>
                <w:sz w:val="14"/>
              </w:rPr>
              <w:t>Incident commander; disable affected path; preserve evidence; executive/client/privacy escalation.</w:t>
            </w:r>
          </w:p>
        </w:tc>
      </w:tr>
      <w:tr>
        <w:tc>
          <w:tcPr>
            <w:tcW w:type="dxa" w:w="158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SEV-2 Major</w:t>
            </w:r>
          </w:p>
        </w:tc>
        <w:tc>
          <w:tcPr>
            <w:tcW w:type="dxa" w:w="345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Core lead/booking/delivery workflow unavailable, major provider failure without workaround</w:t>
            </w:r>
          </w:p>
        </w:tc>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Acknowledge 30 min; restore/workaround 4 h target</w:t>
            </w:r>
          </w:p>
        </w:tc>
        <w:tc>
          <w:tcPr>
            <w:tcW w:type="dxa" w:w="316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Engineering + Operations; status updates; reconciliation after recovery.</w:t>
            </w:r>
          </w:p>
        </w:tc>
      </w:tr>
      <w:tr>
        <w:tc>
          <w:tcPr>
            <w:tcW w:type="dxa" w:w="1584"/>
            <w:vAlign w:val="center"/>
            <w:tcMar>
              <w:top w:w="70" w:type="dxa"/>
              <w:start w:w="90" w:type="dxa"/>
              <w:bottom w:w="70" w:type="dxa"/>
              <w:end w:w="90" w:type="dxa"/>
            </w:tcMar>
          </w:tcPr>
          <w:p>
            <w:pPr>
              <w:spacing w:after="0" w:before="0" w:line="240" w:lineRule="auto"/>
            </w:pPr>
            <w:r>
              <w:rPr>
                <w:rFonts w:ascii="Lato" w:hAnsi="Lato"/>
                <w:b w:val="0"/>
                <w:color w:val="123447"/>
                <w:sz w:val="14"/>
              </w:rPr>
              <w:t>SEV-3 Moderate</w:t>
            </w:r>
          </w:p>
        </w:tc>
        <w:tc>
          <w:tcPr>
            <w:tcW w:type="dxa" w:w="3456"/>
            <w:vAlign w:val="center"/>
            <w:tcMar>
              <w:top w:w="70" w:type="dxa"/>
              <w:start w:w="90" w:type="dxa"/>
              <w:bottom w:w="70" w:type="dxa"/>
              <w:end w:w="90" w:type="dxa"/>
            </w:tcMar>
          </w:tcPr>
          <w:p>
            <w:pPr>
              <w:spacing w:after="0" w:before="0" w:line="240" w:lineRule="auto"/>
            </w:pPr>
            <w:r>
              <w:rPr>
                <w:rFonts w:ascii="Lato" w:hAnsi="Lato"/>
                <w:b w:val="0"/>
                <w:color w:val="123447"/>
                <w:sz w:val="14"/>
              </w:rPr>
              <w:t>Partial degradation, delayed jobs, limited role/module issue</w:t>
            </w:r>
          </w:p>
        </w:tc>
        <w:tc>
          <w:tcPr>
            <w:tcW w:type="dxa" w:w="2088"/>
            <w:vAlign w:val="center"/>
            <w:tcMar>
              <w:top w:w="70" w:type="dxa"/>
              <w:start w:w="90" w:type="dxa"/>
              <w:bottom w:w="70" w:type="dxa"/>
              <w:end w:w="90" w:type="dxa"/>
            </w:tcMar>
          </w:tcPr>
          <w:p>
            <w:pPr>
              <w:spacing w:after="0" w:before="0" w:line="240" w:lineRule="auto"/>
            </w:pPr>
            <w:r>
              <w:rPr>
                <w:rFonts w:ascii="Lato" w:hAnsi="Lato"/>
                <w:b w:val="0"/>
                <w:color w:val="123447"/>
                <w:sz w:val="14"/>
              </w:rPr>
              <w:t>Acknowledge 4 business h</w:t>
            </w:r>
          </w:p>
        </w:tc>
        <w:tc>
          <w:tcPr>
            <w:tcW w:type="dxa" w:w="3168"/>
            <w:vAlign w:val="center"/>
            <w:tcMar>
              <w:top w:w="70" w:type="dxa"/>
              <w:start w:w="90" w:type="dxa"/>
              <w:bottom w:w="70" w:type="dxa"/>
              <w:end w:w="90" w:type="dxa"/>
            </w:tcMar>
          </w:tcPr>
          <w:p>
            <w:pPr>
              <w:spacing w:after="0" w:before="0" w:line="240" w:lineRule="auto"/>
            </w:pPr>
            <w:r>
              <w:rPr>
                <w:rFonts w:ascii="Lato" w:hAnsi="Lato"/>
                <w:b w:val="0"/>
                <w:color w:val="123447"/>
                <w:sz w:val="14"/>
              </w:rPr>
              <w:t>Ticket owner, workaround and planned fix.</w:t>
            </w:r>
          </w:p>
        </w:tc>
      </w:tr>
      <w:tr>
        <w:tc>
          <w:tcPr>
            <w:tcW w:type="dxa" w:w="158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SEV-4 Low</w:t>
            </w:r>
          </w:p>
        </w:tc>
        <w:tc>
          <w:tcPr>
            <w:tcW w:type="dxa" w:w="345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Cosmetic/reporting issue or non-urgent request</w:t>
            </w:r>
          </w:p>
        </w:tc>
        <w:tc>
          <w:tcPr>
            <w:tcW w:type="dxa" w:w="208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Acknowledge 1 business day</w:t>
            </w:r>
          </w:p>
        </w:tc>
        <w:tc>
          <w:tcPr>
            <w:tcW w:type="dxa" w:w="316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Normal backlog and release process.</w:t>
            </w:r>
          </w:p>
        </w:tc>
      </w:tr>
    </w:tbl>
    <w:p>
      <w:pPr>
        <w:spacing w:after="80" w:line="254" w:lineRule="auto"/>
      </w:pPr>
      <w:r>
        <w:rPr>
          <w:rFonts w:ascii="Lato" w:hAnsi="Lato"/>
          <w:color w:val="123447"/>
          <w:sz w:val="19"/>
        </w:rPr>
        <w:t>Response targets are recommended internal baselines and become contractual only when a client support agreement explicitly adopts them. Security/privacy notification timing follows applicable law and approved legal procedure.</w:t>
      </w:r>
    </w:p>
    <w:p>
      <w:pPr>
        <w:pStyle w:val="Heading2"/>
        <w:keepNext/>
      </w:pPr>
      <w:r>
        <w:t>34.2 Required operational runbooks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5018"/>
        <w:gridCol w:w="5018"/>
      </w:tblGrid>
      <w:tr>
        <w:trPr>
          <w:tblHeader w:val="true"/>
        </w:trPr>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5"/>
              </w:rPr>
              <w:t>Runbook</w:t>
            </w:r>
          </w:p>
        </w:tc>
        <w:tc>
          <w:tcPr>
            <w:tcW w:type="dxa" w:w="7344"/>
            <w:vAlign w:val="center"/>
            <w:tcMar>
              <w:top w:w="70" w:type="dxa"/>
              <w:start w:w="90" w:type="dxa"/>
              <w:bottom w:w="70" w:type="dxa"/>
              <w:end w:w="90" w:type="dxa"/>
            </w:tcMar>
            <w:shd w:fill="123447"/>
          </w:tcPr>
          <w:p>
            <w:pPr>
              <w:spacing w:after="0" w:before="0" w:line="240" w:lineRule="auto"/>
            </w:pPr>
            <w:r>
              <w:rPr>
                <w:rFonts w:ascii="Lato" w:hAnsi="Lato"/>
                <w:b/>
                <w:color w:val="FFFFFF"/>
                <w:sz w:val="15"/>
              </w:rPr>
              <w:t>Minimum actions</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Provider outage</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5"/>
              </w:rPr>
              <w:t>Feature flag/degraded state, queue safely, pause non-idempotent retries, communicate workaround, reconcile after recovery.</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Webhook backlog/DLQ</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Inspect by provider/client/error, repair credential/schema issue, replay idempotently, verify totals and close incident.</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Database restore</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5"/>
              </w:rPr>
              <w:t>Declare freeze, select recovery point, restore isolated copy, validate tenant counts/constraints, approve cutover, reconcile provider events.</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Lost/stolen mobile device</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Revoke device/session/refresh token, disable user if needed, review audit, remote OS action by client policy, re-enrol new device.</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Compromised provider token</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5"/>
              </w:rPr>
              <w:t>Revoke/rotate at provider, update encrypted secret, validate webhook/send, inspect misuse, notify client owner.</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Suspected cross-tenant access</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Immediately disable affected route/support access, preserve logs, assess scope, rotate credentials, legal/privacy escalation.</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5"/>
              </w:rPr>
              <w:t>Bad import</w:t>
            </w:r>
          </w:p>
        </w:tc>
        <w:tc>
          <w:tcPr>
            <w:tcW w:type="dxa" w:w="7344"/>
            <w:vAlign w:val="center"/>
            <w:tcMar>
              <w:top w:w="70" w:type="dxa"/>
              <w:start w:w="90" w:type="dxa"/>
              <w:bottom w:w="70" w:type="dxa"/>
              <w:end w:w="90" w:type="dxa"/>
            </w:tcMar>
          </w:tcPr>
          <w:p>
            <w:pPr>
              <w:spacing w:after="0" w:before="0" w:line="240" w:lineRule="auto"/>
            </w:pPr>
            <w:r>
              <w:rPr>
                <w:rFonts w:ascii="Lato" w:hAnsi="Lato"/>
                <w:b w:val="0"/>
                <w:color w:val="123447"/>
                <w:sz w:val="15"/>
              </w:rPr>
              <w:t>Stop downstream jobs, identify batch, rollback/reverse linked records or restore snapshot within window, re-run corrected dry run.</w:t>
            </w:r>
          </w:p>
        </w:tc>
      </w:tr>
      <w:tr>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Mass export concern</w:t>
            </w:r>
          </w:p>
        </w:tc>
        <w:tc>
          <w:tcPr>
            <w:tcW w:type="dxa" w:w="7344"/>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Revoke link/session, inspect purpose/filter/download logs, notify client security owner and apply privacy incident process.</w:t>
            </w:r>
          </w:p>
        </w:tc>
      </w:tr>
    </w:tbl>
    <w:p>
      <w:pPr>
        <w:pStyle w:val="Heading2"/>
        <w:keepNext/>
      </w:pPr>
      <w:r>
        <w:t>34.3 Threat-control matrix</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3346"/>
        <w:gridCol w:w="3346"/>
        <w:gridCol w:w="3346"/>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Threat</w:t>
            </w:r>
          </w:p>
        </w:tc>
        <w:tc>
          <w:tcPr>
            <w:tcW w:type="dxa" w:w="3096"/>
            <w:vAlign w:val="center"/>
            <w:tcMar>
              <w:top w:w="70" w:type="dxa"/>
              <w:start w:w="90" w:type="dxa"/>
              <w:bottom w:w="70" w:type="dxa"/>
              <w:end w:w="90" w:type="dxa"/>
            </w:tcMar>
            <w:shd w:fill="123447"/>
          </w:tcPr>
          <w:p>
            <w:pPr>
              <w:spacing w:after="0" w:before="0" w:line="240" w:lineRule="auto"/>
            </w:pPr>
            <w:r>
              <w:rPr>
                <w:rFonts w:ascii="Lato" w:hAnsi="Lato"/>
                <w:b/>
                <w:color w:val="FFFFFF"/>
                <w:sz w:val="14"/>
              </w:rPr>
              <w:t>Failure mode</w:t>
            </w:r>
          </w:p>
        </w:tc>
        <w:tc>
          <w:tcPr>
            <w:tcW w:type="dxa" w:w="4392"/>
            <w:vAlign w:val="center"/>
            <w:tcMar>
              <w:top w:w="70" w:type="dxa"/>
              <w:start w:w="90" w:type="dxa"/>
              <w:bottom w:w="70" w:type="dxa"/>
              <w:end w:w="90" w:type="dxa"/>
            </w:tcMar>
            <w:shd w:fill="123447"/>
          </w:tcPr>
          <w:p>
            <w:pPr>
              <w:spacing w:after="0" w:before="0" w:line="240" w:lineRule="auto"/>
            </w:pPr>
            <w:r>
              <w:rPr>
                <w:rFonts w:ascii="Lato" w:hAnsi="Lato"/>
                <w:b/>
                <w:color w:val="FFFFFF"/>
                <w:sz w:val="14"/>
              </w:rPr>
              <w:t>Required controls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Cross-tenant data access</w:t>
            </w:r>
          </w:p>
        </w:tc>
        <w:tc>
          <w:tcPr>
            <w:tcW w:type="dxa" w:w="3096"/>
            <w:vAlign w:val="center"/>
            <w:tcMar>
              <w:top w:w="70" w:type="dxa"/>
              <w:start w:w="90" w:type="dxa"/>
              <w:bottom w:w="70" w:type="dxa"/>
              <w:end w:w="90" w:type="dxa"/>
            </w:tcMar>
          </w:tcPr>
          <w:p>
            <w:pPr>
              <w:spacing w:after="0" w:before="0" w:line="240" w:lineRule="auto"/>
            </w:pPr>
            <w:r>
              <w:rPr>
                <w:rFonts w:ascii="Lato" w:hAnsi="Lato"/>
                <w:b w:val="0"/>
                <w:color w:val="123447"/>
                <w:sz w:val="14"/>
              </w:rPr>
              <w:t>Missing tenant filter, object ID guessing, support misuse</w:t>
            </w:r>
          </w:p>
        </w:tc>
        <w:tc>
          <w:tcPr>
            <w:tcW w:type="dxa" w:w="4392"/>
            <w:vAlign w:val="center"/>
            <w:tcMar>
              <w:top w:w="70" w:type="dxa"/>
              <w:start w:w="90" w:type="dxa"/>
              <w:bottom w:w="70" w:type="dxa"/>
              <w:end w:w="90" w:type="dxa"/>
            </w:tcMar>
          </w:tcPr>
          <w:p>
            <w:pPr>
              <w:spacing w:after="0" w:before="0" w:line="240" w:lineRule="auto"/>
            </w:pPr>
            <w:r>
              <w:rPr>
                <w:rFonts w:ascii="Lato" w:hAnsi="Lato"/>
                <w:b w:val="0"/>
                <w:color w:val="123447"/>
                <w:sz w:val="14"/>
              </w:rPr>
              <w:t>TenantContext repositories, composite FKs, policy tests, short-lived support elevation, audit alerts.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Webhook spoof/replay</w:t>
            </w:r>
          </w:p>
        </w:tc>
        <w:tc>
          <w:tcPr>
            <w:tcW w:type="dxa" w:w="309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Forged provider callbacks or repeated valid payloads</w:t>
            </w:r>
          </w:p>
        </w:tc>
        <w:tc>
          <w:tcPr>
            <w:tcW w:type="dxa" w:w="43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Signature/token/timestamp validation, unique event IDs, raw payload retention, idempotent processing.</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Token/session theft</w:t>
            </w:r>
          </w:p>
        </w:tc>
        <w:tc>
          <w:tcPr>
            <w:tcW w:type="dxa" w:w="3096"/>
            <w:vAlign w:val="center"/>
            <w:tcMar>
              <w:top w:w="70" w:type="dxa"/>
              <w:start w:w="90" w:type="dxa"/>
              <w:bottom w:w="70" w:type="dxa"/>
              <w:end w:w="90" w:type="dxa"/>
            </w:tcMar>
          </w:tcPr>
          <w:p>
            <w:pPr>
              <w:spacing w:after="0" w:before="0" w:line="240" w:lineRule="auto"/>
            </w:pPr>
            <w:r>
              <w:rPr>
                <w:rFonts w:ascii="Lato" w:hAnsi="Lato"/>
                <w:b w:val="0"/>
                <w:color w:val="123447"/>
                <w:sz w:val="14"/>
              </w:rPr>
              <w:t>Leaked refresh token or lost device</w:t>
            </w:r>
          </w:p>
        </w:tc>
        <w:tc>
          <w:tcPr>
            <w:tcW w:type="dxa" w:w="4392"/>
            <w:vAlign w:val="center"/>
            <w:tcMar>
              <w:top w:w="70" w:type="dxa"/>
              <w:start w:w="90" w:type="dxa"/>
              <w:bottom w:w="70" w:type="dxa"/>
              <w:end w:w="90" w:type="dxa"/>
            </w:tcMar>
          </w:tcPr>
          <w:p>
            <w:pPr>
              <w:spacing w:after="0" w:before="0" w:line="240" w:lineRule="auto"/>
            </w:pPr>
            <w:r>
              <w:rPr>
                <w:rFonts w:ascii="Lato" w:hAnsi="Lato"/>
                <w:b w:val="0"/>
                <w:color w:val="123447"/>
                <w:sz w:val="14"/>
              </w:rPr>
              <w:t>Secure storage, rotation, device sessions, revoke-all, short access TTL, anomaly logging.</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File abuse/malware</w:t>
            </w:r>
          </w:p>
        </w:tc>
        <w:tc>
          <w:tcPr>
            <w:tcW w:type="dxa" w:w="309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Unsafe upload or public sensitive URL</w:t>
            </w:r>
          </w:p>
        </w:tc>
        <w:tc>
          <w:tcPr>
            <w:tcW w:type="dxa" w:w="43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Allowlist type/size, scan/quarantine hook, private bucket, signed URL, content disposition and audit.</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CSV formula injection</w:t>
            </w:r>
          </w:p>
        </w:tc>
        <w:tc>
          <w:tcPr>
            <w:tcW w:type="dxa" w:w="3096"/>
            <w:vAlign w:val="center"/>
            <w:tcMar>
              <w:top w:w="70" w:type="dxa"/>
              <w:start w:w="90" w:type="dxa"/>
              <w:bottom w:w="70" w:type="dxa"/>
              <w:end w:w="90" w:type="dxa"/>
            </w:tcMar>
          </w:tcPr>
          <w:p>
            <w:pPr>
              <w:spacing w:after="0" w:before="0" w:line="240" w:lineRule="auto"/>
            </w:pPr>
            <w:r>
              <w:rPr>
                <w:rFonts w:ascii="Lato" w:hAnsi="Lato"/>
                <w:b w:val="0"/>
                <w:color w:val="123447"/>
                <w:sz w:val="14"/>
              </w:rPr>
              <w:t>Exported value begins with formula control characters</w:t>
            </w:r>
          </w:p>
        </w:tc>
        <w:tc>
          <w:tcPr>
            <w:tcW w:type="dxa" w:w="4392"/>
            <w:vAlign w:val="center"/>
            <w:tcMar>
              <w:top w:w="70" w:type="dxa"/>
              <w:start w:w="90" w:type="dxa"/>
              <w:bottom w:w="70" w:type="dxa"/>
              <w:end w:w="90" w:type="dxa"/>
            </w:tcMar>
          </w:tcPr>
          <w:p>
            <w:pPr>
              <w:spacing w:after="0" w:before="0" w:line="240" w:lineRule="auto"/>
            </w:pPr>
            <w:r>
              <w:rPr>
                <w:rFonts w:ascii="Lato" w:hAnsi="Lato"/>
                <w:b w:val="0"/>
                <w:color w:val="123447"/>
                <w:sz w:val="14"/>
              </w:rPr>
              <w:t>Escape/sanitize exported cells and warn before spreadsheet export.</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Location misuse</w:t>
            </w:r>
          </w:p>
        </w:tc>
        <w:tc>
          <w:tcPr>
            <w:tcW w:type="dxa" w:w="309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Off-duty or hidden employee tracking</w:t>
            </w:r>
          </w:p>
        </w:tc>
        <w:tc>
          <w:tcPr>
            <w:tcW w:type="dxa" w:w="43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Explicit active job start, foreground notification, immediate stop, short retention and manager-visible audit.</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Privilege abuse</w:t>
            </w:r>
          </w:p>
        </w:tc>
        <w:tc>
          <w:tcPr>
            <w:tcW w:type="dxa" w:w="3096"/>
            <w:vAlign w:val="center"/>
            <w:tcMar>
              <w:top w:w="70" w:type="dxa"/>
              <w:start w:w="90" w:type="dxa"/>
              <w:bottom w:w="70" w:type="dxa"/>
              <w:end w:w="90" w:type="dxa"/>
            </w:tcMar>
          </w:tcPr>
          <w:p>
            <w:pPr>
              <w:spacing w:after="0" w:before="0" w:line="240" w:lineRule="auto"/>
            </w:pPr>
            <w:r>
              <w:rPr>
                <w:rFonts w:ascii="Lato" w:hAnsi="Lato"/>
                <w:b w:val="0"/>
                <w:color w:val="123447"/>
                <w:sz w:val="14"/>
              </w:rPr>
              <w:t>Unauthorized corrections, discounts, exports or deletion</w:t>
            </w:r>
          </w:p>
        </w:tc>
        <w:tc>
          <w:tcPr>
            <w:tcW w:type="dxa" w:w="4392"/>
            <w:vAlign w:val="center"/>
            <w:tcMar>
              <w:top w:w="70" w:type="dxa"/>
              <w:start w:w="90" w:type="dxa"/>
              <w:bottom w:w="70" w:type="dxa"/>
              <w:end w:w="90" w:type="dxa"/>
            </w:tcMar>
          </w:tcPr>
          <w:p>
            <w:pPr>
              <w:spacing w:after="0" w:before="0" w:line="240" w:lineRule="auto"/>
            </w:pPr>
            <w:r>
              <w:rPr>
                <w:rFonts w:ascii="Lato" w:hAnsi="Lato"/>
                <w:b w:val="0"/>
                <w:color w:val="123447"/>
                <w:sz w:val="14"/>
              </w:rPr>
              <w:t>Default deny, approval matrix, reason/evidence, append-only history and alerts.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Provider/data outage</w:t>
            </w:r>
          </w:p>
        </w:tc>
        <w:tc>
          <w:tcPr>
            <w:tcW w:type="dxa" w:w="309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Delayed or missing external events</w:t>
            </w:r>
          </w:p>
        </w:tc>
        <w:tc>
          <w:tcPr>
            <w:tcW w:type="dxa" w:w="43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Durable outbox, retry/DLQ, circuit breaker, health state and reconciliation jobs.</w:t>
            </w:r>
          </w:p>
        </w:tc>
      </w:tr>
    </w:tbl>
    <w:p>
      <w:pPr>
        <w:pStyle w:val="Heading2"/>
        <w:keepNext/>
      </w:pPr>
      <w:r>
        <w:t>34.4 Recovery targets and drills</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3346"/>
        <w:gridCol w:w="3346"/>
        <w:gridCol w:w="3346"/>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5"/>
              </w:rPr>
              <w:t>Asset</w:t>
            </w:r>
          </w:p>
        </w:tc>
        <w:tc>
          <w:tcPr>
            <w:tcW w:type="dxa" w:w="3456"/>
            <w:vAlign w:val="center"/>
            <w:tcMar>
              <w:top w:w="70" w:type="dxa"/>
              <w:start w:w="90" w:type="dxa"/>
              <w:bottom w:w="70" w:type="dxa"/>
              <w:end w:w="90" w:type="dxa"/>
            </w:tcMar>
            <w:shd w:fill="123447"/>
          </w:tcPr>
          <w:p>
            <w:pPr>
              <w:spacing w:after="0" w:before="0" w:line="240" w:lineRule="auto"/>
            </w:pPr>
            <w:r>
              <w:rPr>
                <w:rFonts w:ascii="Lato" w:hAnsi="Lato"/>
                <w:b/>
                <w:color w:val="FFFFFF"/>
                <w:sz w:val="15"/>
              </w:rPr>
              <w:t>Target</w:t>
            </w:r>
          </w:p>
        </w:tc>
        <w:tc>
          <w:tcPr>
            <w:tcW w:type="dxa" w:w="4032"/>
            <w:vAlign w:val="center"/>
            <w:tcMar>
              <w:top w:w="70" w:type="dxa"/>
              <w:start w:w="90" w:type="dxa"/>
              <w:bottom w:w="70" w:type="dxa"/>
              <w:end w:w="90" w:type="dxa"/>
            </w:tcMar>
            <w:shd w:fill="123447"/>
          </w:tcPr>
          <w:p>
            <w:pPr>
              <w:spacing w:after="0" w:before="0" w:line="240" w:lineRule="auto"/>
            </w:pPr>
            <w:r>
              <w:rPr>
                <w:rFonts w:ascii="Lato" w:hAnsi="Lato"/>
                <w:b/>
                <w:color w:val="FFFFFF"/>
                <w:sz w:val="15"/>
              </w:rPr>
              <w:t>Validation</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PostgreSQL business data</w:t>
            </w:r>
          </w:p>
        </w:tc>
        <w:tc>
          <w:tcPr>
            <w:tcW w:type="dxa" w:w="3456"/>
            <w:vAlign w:val="center"/>
            <w:tcMar>
              <w:top w:w="70" w:type="dxa"/>
              <w:start w:w="90" w:type="dxa"/>
              <w:bottom w:w="70" w:type="dxa"/>
              <w:end w:w="90" w:type="dxa"/>
            </w:tcMar>
          </w:tcPr>
          <w:p>
            <w:pPr>
              <w:spacing w:after="0" w:before="0" w:line="240" w:lineRule="auto"/>
            </w:pPr>
            <w:r>
              <w:rPr>
                <w:rFonts w:ascii="Lato" w:hAnsi="Lato"/>
                <w:b w:val="0"/>
                <w:color w:val="123447"/>
                <w:sz w:val="15"/>
              </w:rPr>
              <w:t>RPO target ≤15 minutes; RTO target ≤4 hours</w:t>
            </w:r>
          </w:p>
        </w:tc>
        <w:tc>
          <w:tcPr>
            <w:tcW w:type="dxa" w:w="4032"/>
            <w:vAlign w:val="center"/>
            <w:tcMar>
              <w:top w:w="70" w:type="dxa"/>
              <w:start w:w="90" w:type="dxa"/>
              <w:bottom w:w="70" w:type="dxa"/>
              <w:end w:w="90" w:type="dxa"/>
            </w:tcMar>
          </w:tcPr>
          <w:p>
            <w:pPr>
              <w:spacing w:after="0" w:before="0" w:line="240" w:lineRule="auto"/>
            </w:pPr>
            <w:r>
              <w:rPr>
                <w:rFonts w:ascii="Lato" w:hAnsi="Lato"/>
                <w:b w:val="0"/>
                <w:color w:val="123447"/>
                <w:sz w:val="15"/>
              </w:rPr>
              <w:t>Provider plan must support it; quarterly restore drill validates schema, tenant counts and critical workflows.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Object storage documents</w:t>
            </w:r>
          </w:p>
        </w:tc>
        <w:tc>
          <w:tcPr>
            <w:tcW w:type="dxa" w:w="345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Versioning/replication per selected plan; RTO target ≤8 hours</w:t>
            </w:r>
          </w:p>
        </w:tc>
        <w:tc>
          <w:tcPr>
            <w:tcW w:type="dxa" w:w="40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Quarterly sample restore and signed-link authorization check.</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Redis/queues</w:t>
            </w:r>
          </w:p>
        </w:tc>
        <w:tc>
          <w:tcPr>
            <w:tcW w:type="dxa" w:w="3456"/>
            <w:vAlign w:val="center"/>
            <w:tcMar>
              <w:top w:w="70" w:type="dxa"/>
              <w:start w:w="90" w:type="dxa"/>
              <w:bottom w:w="70" w:type="dxa"/>
              <w:end w:w="90" w:type="dxa"/>
            </w:tcMar>
          </w:tcPr>
          <w:p>
            <w:pPr>
              <w:spacing w:after="0" w:before="0" w:line="240" w:lineRule="auto"/>
            </w:pPr>
            <w:r>
              <w:rPr>
                <w:rFonts w:ascii="Lato" w:hAnsi="Lato"/>
                <w:b w:val="0"/>
                <w:color w:val="123447"/>
                <w:sz w:val="15"/>
              </w:rPr>
              <w:t>No business-state RPO dependency</w:t>
            </w:r>
          </w:p>
        </w:tc>
        <w:tc>
          <w:tcPr>
            <w:tcW w:type="dxa" w:w="4032"/>
            <w:vAlign w:val="center"/>
            <w:tcMar>
              <w:top w:w="70" w:type="dxa"/>
              <w:start w:w="90" w:type="dxa"/>
              <w:bottom w:w="70" w:type="dxa"/>
              <w:end w:w="90" w:type="dxa"/>
            </w:tcMar>
          </w:tcPr>
          <w:p>
            <w:pPr>
              <w:spacing w:after="0" w:before="0" w:line="240" w:lineRule="auto"/>
            </w:pPr>
            <w:r>
              <w:rPr>
                <w:rFonts w:ascii="Lato" w:hAnsi="Lato"/>
                <w:b w:val="0"/>
                <w:color w:val="123447"/>
                <w:sz w:val="15"/>
              </w:rPr>
              <w:t>Rebuild from PostgreSQL outbox/pending jobs; verify no duplicate external side effects.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Configuration/secrets</w:t>
            </w:r>
          </w:p>
        </w:tc>
        <w:tc>
          <w:tcPr>
            <w:tcW w:type="dxa" w:w="3456"/>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Recover encrypted connection metadata and environment config</w:t>
            </w:r>
          </w:p>
        </w:tc>
        <w:tc>
          <w:tcPr>
            <w:tcW w:type="dxa" w:w="40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Versioned secret manager backup/rotation procedure; never store plaintext in repository.</w:t>
            </w:r>
          </w:p>
        </w:tc>
      </w:tr>
    </w:tbl>
    <w:p>
      <w:pPr>
        <w:pStyle w:val="Heading1"/>
        <w:keepNext/>
        <w:pageBreakBefore/>
      </w:pPr>
      <w:r>
        <w:t>35. Traceability, RACI, Delivery Estimate and Sign-off</w:t>
      </w:r>
    </w:p>
    <w:p>
      <w:pPr>
        <w:pStyle w:val="Heading2"/>
        <w:keepNext/>
      </w:pPr>
      <w:r>
        <w:t>35.1 Goal-to-epic traceability</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4"/>
              </w:rPr>
              <w:t>Product goal</w:t>
            </w:r>
          </w:p>
        </w:tc>
        <w:tc>
          <w:tcPr>
            <w:tcW w:type="dxa" w:w="2664"/>
            <w:vAlign w:val="center"/>
            <w:tcMar>
              <w:top w:w="70" w:type="dxa"/>
              <w:start w:w="90" w:type="dxa"/>
              <w:bottom w:w="70" w:type="dxa"/>
              <w:end w:w="90" w:type="dxa"/>
            </w:tcMar>
            <w:shd w:fill="123447"/>
          </w:tcPr>
          <w:p>
            <w:pPr>
              <w:spacing w:after="0" w:before="0" w:line="240" w:lineRule="auto"/>
            </w:pPr>
            <w:r>
              <w:rPr>
                <w:rFonts w:ascii="Lato" w:hAnsi="Lato"/>
                <w:b/>
                <w:color w:val="FFFFFF"/>
                <w:sz w:val="14"/>
              </w:rPr>
              <w:t>Epic</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PRD source</w:t>
            </w:r>
          </w:p>
        </w:tc>
        <w:tc>
          <w:tcPr>
            <w:tcW w:type="dxa" w:w="2880"/>
            <w:vAlign w:val="center"/>
            <w:tcMar>
              <w:top w:w="70" w:type="dxa"/>
              <w:start w:w="90" w:type="dxa"/>
              <w:bottom w:w="70" w:type="dxa"/>
              <w:end w:w="90" w:type="dxa"/>
            </w:tcMar>
            <w:shd w:fill="123447"/>
          </w:tcPr>
          <w:p>
            <w:pPr>
              <w:spacing w:after="0" w:before="0" w:line="240" w:lineRule="auto"/>
            </w:pPr>
            <w:r>
              <w:rPr>
                <w:rFonts w:ascii="Lato" w:hAnsi="Lato"/>
                <w:b/>
                <w:color w:val="FFFFFF"/>
                <w:sz w:val="14"/>
              </w:rPr>
              <w:t>Release evidence</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Capture every lead with attribution</w:t>
            </w:r>
          </w:p>
        </w:tc>
        <w:tc>
          <w:tcPr>
            <w:tcW w:type="dxa" w:w="2664"/>
            <w:vAlign w:val="center"/>
            <w:tcMar>
              <w:top w:w="70" w:type="dxa"/>
              <w:start w:w="90" w:type="dxa"/>
              <w:bottom w:w="70" w:type="dxa"/>
              <w:end w:w="90" w:type="dxa"/>
            </w:tcMar>
          </w:tcPr>
          <w:p>
            <w:pPr>
              <w:spacing w:after="0" w:before="0" w:line="240" w:lineRule="auto"/>
            </w:pPr>
            <w:r>
              <w:rPr>
                <w:rFonts w:ascii="Lato" w:hAnsi="Lato"/>
                <w:b w:val="0"/>
                <w:color w:val="123447"/>
                <w:sz w:val="14"/>
              </w:rPr>
              <w:t>Lead ingestion, dedupe, assignment, SLA</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Sections 6–7, 20, 28, 30</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Webhook/manual/form, duplicate and SLA acceptance tests.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One customer timeline</w:t>
            </w:r>
          </w:p>
        </w:tc>
        <w:tc>
          <w:tcPr>
            <w:tcW w:type="dxa" w:w="266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Telephony, WhatsApp/inbox, activity events</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Sections 8–9, 17, 30</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Provider fixtures, message status, call outcome and tenant tests.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Controlled test rides</w:t>
            </w:r>
          </w:p>
        </w:tc>
        <w:tc>
          <w:tcPr>
            <w:tcW w:type="dxa" w:w="2664"/>
            <w:vAlign w:val="center"/>
            <w:tcMar>
              <w:top w:w="70" w:type="dxa"/>
              <w:start w:w="90" w:type="dxa"/>
              <w:bottom w:w="70" w:type="dxa"/>
              <w:end w:w="90" w:type="dxa"/>
            </w:tcMar>
          </w:tcPr>
          <w:p>
            <w:pPr>
              <w:spacing w:after="0" w:before="0" w:line="240" w:lineRule="auto"/>
            </w:pPr>
            <w:r>
              <w:rPr>
                <w:rFonts w:ascii="Lato" w:hAnsi="Lato"/>
                <w:b w:val="0"/>
                <w:color w:val="123447"/>
                <w:sz w:val="14"/>
              </w:rPr>
              <w:t>Scheduling, demo stock, foreground location</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Sections 10–11, 22, 28</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No double booking; explicit start/stop; stale/offline tests.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Reliable booking-to-delivery</w:t>
            </w:r>
          </w:p>
        </w:tc>
        <w:tc>
          <w:tcPr>
            <w:tcW w:type="dxa" w:w="266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Booking, payment/finance, inventory, readiness, delivery</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Sections 11–13, 27–29</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Gate, correction, VIN allocation and delivery proof tests.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Registration/RC closure</w:t>
            </w:r>
          </w:p>
        </w:tc>
        <w:tc>
          <w:tcPr>
            <w:tcW w:type="dxa" w:w="2664"/>
            <w:vAlign w:val="center"/>
            <w:tcMar>
              <w:top w:w="70" w:type="dxa"/>
              <w:start w:w="90" w:type="dxa"/>
              <w:bottom w:w="70" w:type="dxa"/>
              <w:end w:w="90" w:type="dxa"/>
            </w:tcMar>
          </w:tcPr>
          <w:p>
            <w:pPr>
              <w:spacing w:after="0" w:before="0" w:line="240" w:lineRule="auto"/>
            </w:pPr>
            <w:r>
              <w:rPr>
                <w:rFonts w:ascii="Lato" w:hAnsi="Lato"/>
                <w:b w:val="0"/>
                <w:color w:val="123447"/>
                <w:sz w:val="14"/>
              </w:rPr>
              <w:t>RC state machine, documents and customer update</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Sections 14, 16, 28</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Aging, evidence, secure share and reopen tests.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Post-sale lifecycle</w:t>
            </w:r>
          </w:p>
        </w:tc>
        <w:tc>
          <w:tcPr>
            <w:tcW w:type="dxa" w:w="266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Customer vehicle and reminders</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Section 15</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Plan creation, consent/template and due-time tests.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4"/>
              </w:rPr>
              <w:t>Safe multi-tenant scale</w:t>
            </w:r>
          </w:p>
        </w:tc>
        <w:tc>
          <w:tcPr>
            <w:tcW w:type="dxa" w:w="2664"/>
            <w:vAlign w:val="center"/>
            <w:tcMar>
              <w:top w:w="70" w:type="dxa"/>
              <w:start w:w="90" w:type="dxa"/>
              <w:bottom w:w="70" w:type="dxa"/>
              <w:end w:w="90" w:type="dxa"/>
            </w:tcMar>
          </w:tcPr>
          <w:p>
            <w:pPr>
              <w:spacing w:after="0" w:before="0" w:line="240" w:lineRule="auto"/>
            </w:pPr>
            <w:r>
              <w:rPr>
                <w:rFonts w:ascii="Lato" w:hAnsi="Lato"/>
                <w:b w:val="0"/>
                <w:color w:val="123447"/>
                <w:sz w:val="14"/>
              </w:rPr>
              <w:t>Auth, tenancy, audit, queues, observability, recovery</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Sections 19–23, 29–34</w:t>
            </w:r>
          </w:p>
        </w:tc>
        <w:tc>
          <w:tcPr>
            <w:tcW w:type="dxa" w:w="2880"/>
            <w:vAlign w:val="center"/>
            <w:tcMar>
              <w:top w:w="70" w:type="dxa"/>
              <w:start w:w="90" w:type="dxa"/>
              <w:bottom w:w="70" w:type="dxa"/>
              <w:end w:w="90" w:type="dxa"/>
            </w:tcMar>
          </w:tcPr>
          <w:p>
            <w:pPr>
              <w:spacing w:after="0" w:before="0" w:line="240" w:lineRule="auto"/>
            </w:pPr>
            <w:r>
              <w:rPr>
                <w:rFonts w:ascii="Lato" w:hAnsi="Lato"/>
                <w:b w:val="0"/>
                <w:color w:val="123447"/>
                <w:sz w:val="14"/>
              </w:rPr>
              <w:t>Cross-tenant, load, retry, restore and incident drills.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Approved production release</w:t>
            </w:r>
          </w:p>
        </w:tc>
        <w:tc>
          <w:tcPr>
            <w:tcW w:type="dxa" w:w="266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Play/Meta/Google/client onboarding and sign-off</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Sections 17, 25–26, 32, 35</w:t>
            </w:r>
          </w:p>
        </w:tc>
        <w:tc>
          <w:tcPr>
            <w:tcW w:type="dxa" w:w="2880"/>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Approval evidence or feature flag; pilot acceptance.</w:t>
            </w:r>
          </w:p>
        </w:tc>
      </w:tr>
    </w:tbl>
    <w:p>
      <w:pPr>
        <w:pStyle w:val="Heading2"/>
        <w:keepNext/>
      </w:pPr>
      <w:r>
        <w:t>35.2 RACI</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007"/>
        <w:gridCol w:w="2007"/>
        <w:gridCol w:w="2007"/>
        <w:gridCol w:w="2007"/>
        <w:gridCol w:w="2007"/>
      </w:tblGrid>
      <w:tr>
        <w:trPr>
          <w:tblHeader w:val="true"/>
        </w:trPr>
        <w:tc>
          <w:tcPr>
            <w:tcW w:type="dxa" w:w="2592"/>
            <w:vAlign w:val="center"/>
            <w:tcMar>
              <w:top w:w="70" w:type="dxa"/>
              <w:start w:w="90" w:type="dxa"/>
              <w:bottom w:w="70" w:type="dxa"/>
              <w:end w:w="90" w:type="dxa"/>
            </w:tcMar>
            <w:shd w:fill="123447"/>
          </w:tcPr>
          <w:p>
            <w:pPr>
              <w:spacing w:after="0" w:before="0" w:line="240" w:lineRule="auto"/>
            </w:pPr>
            <w:r>
              <w:rPr>
                <w:rFonts w:ascii="Lato" w:hAnsi="Lato"/>
                <w:b/>
                <w:color w:val="FFFFFF"/>
                <w:sz w:val="14"/>
              </w:rPr>
              <w:t>Deliverable</w:t>
            </w:r>
          </w:p>
        </w:tc>
        <w:tc>
          <w:tcPr>
            <w:tcW w:type="dxa" w:w="1728"/>
            <w:vAlign w:val="center"/>
            <w:tcMar>
              <w:top w:w="70" w:type="dxa"/>
              <w:start w:w="90" w:type="dxa"/>
              <w:bottom w:w="70" w:type="dxa"/>
              <w:end w:w="90" w:type="dxa"/>
            </w:tcMar>
            <w:shd w:fill="123447"/>
          </w:tcPr>
          <w:p>
            <w:pPr>
              <w:spacing w:after="0" w:before="0" w:line="240" w:lineRule="auto"/>
            </w:pPr>
            <w:r>
              <w:rPr>
                <w:rFonts w:ascii="Lato" w:hAnsi="Lato"/>
                <w:b/>
                <w:color w:val="FFFFFF"/>
                <w:sz w:val="14"/>
              </w:rPr>
              <w:t>Go Digital Product</w:t>
            </w:r>
          </w:p>
        </w:tc>
        <w:tc>
          <w:tcPr>
            <w:tcW w:type="dxa" w:w="1728"/>
            <w:vAlign w:val="center"/>
            <w:tcMar>
              <w:top w:w="70" w:type="dxa"/>
              <w:start w:w="90" w:type="dxa"/>
              <w:bottom w:w="70" w:type="dxa"/>
              <w:end w:w="90" w:type="dxa"/>
            </w:tcMar>
            <w:shd w:fill="123447"/>
          </w:tcPr>
          <w:p>
            <w:pPr>
              <w:spacing w:after="0" w:before="0" w:line="240" w:lineRule="auto"/>
            </w:pPr>
            <w:r>
              <w:rPr>
                <w:rFonts w:ascii="Lato" w:hAnsi="Lato"/>
                <w:b/>
                <w:color w:val="FFFFFF"/>
                <w:sz w:val="14"/>
              </w:rPr>
              <w:t>Engineering</w:t>
            </w:r>
          </w:p>
        </w:tc>
        <w:tc>
          <w:tcPr>
            <w:tcW w:type="dxa" w:w="1944"/>
            <w:vAlign w:val="center"/>
            <w:tcMar>
              <w:top w:w="70" w:type="dxa"/>
              <w:start w:w="90" w:type="dxa"/>
              <w:bottom w:w="70" w:type="dxa"/>
              <w:end w:w="90" w:type="dxa"/>
            </w:tcMar>
            <w:shd w:fill="123447"/>
          </w:tcPr>
          <w:p>
            <w:pPr>
              <w:spacing w:after="0" w:before="0" w:line="240" w:lineRule="auto"/>
            </w:pPr>
            <w:r>
              <w:rPr>
                <w:rFonts w:ascii="Lato" w:hAnsi="Lato"/>
                <w:b/>
                <w:color w:val="FFFFFF"/>
                <w:sz w:val="14"/>
              </w:rPr>
              <w:t>Operations/Support</w:t>
            </w:r>
          </w:p>
        </w:tc>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4"/>
              </w:rPr>
              <w:t>Pilot Client Owner</w:t>
            </w:r>
          </w:p>
        </w:tc>
      </w:tr>
      <w:tr>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4"/>
              </w:rPr>
              <w:t>Product scope and acceptance</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A/R</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C</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C</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C</w:t>
            </w:r>
          </w:p>
        </w:tc>
      </w:tr>
      <w:tr>
        <w:tc>
          <w:tcPr>
            <w:tcW w:type="dxa" w:w="25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Architecture, code and migrations</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A/R</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w:t>
            </w:r>
          </w:p>
        </w:tc>
      </w:tr>
      <w:tr>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4"/>
              </w:rPr>
              <w:t>Provider onboarding/health</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A</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R</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R</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C</w:t>
            </w:r>
          </w:p>
        </w:tc>
      </w:tr>
      <w:tr>
        <w:tc>
          <w:tcPr>
            <w:tcW w:type="dxa" w:w="25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Client configuration and data mapping</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A/R</w:t>
            </w:r>
          </w:p>
        </w:tc>
      </w:tr>
      <w:tr>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4"/>
              </w:rPr>
              <w:t>Security/privacy/legal sign-off</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A</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R for controls</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C</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A for client obligations</w:t>
            </w:r>
          </w:p>
        </w:tc>
      </w:tr>
      <w:tr>
        <w:tc>
          <w:tcPr>
            <w:tcW w:type="dxa" w:w="25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Pilot cutover and hypercare</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w:t>
            </w:r>
          </w:p>
        </w:tc>
      </w:tr>
      <w:tr>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4"/>
              </w:rPr>
              <w:t>Production release</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A</w:t>
            </w:r>
          </w:p>
        </w:tc>
        <w:tc>
          <w:tcPr>
            <w:tcW w:type="dxa" w:w="1728"/>
            <w:vAlign w:val="center"/>
            <w:tcMar>
              <w:top w:w="70" w:type="dxa"/>
              <w:start w:w="90" w:type="dxa"/>
              <w:bottom w:w="70" w:type="dxa"/>
              <w:end w:w="90" w:type="dxa"/>
            </w:tcMar>
          </w:tcPr>
          <w:p>
            <w:pPr>
              <w:spacing w:after="0" w:before="0" w:line="240" w:lineRule="auto"/>
            </w:pPr>
            <w:r>
              <w:rPr>
                <w:rFonts w:ascii="Lato" w:hAnsi="Lato"/>
                <w:b w:val="0"/>
                <w:color w:val="123447"/>
                <w:sz w:val="14"/>
              </w:rPr>
              <w:t>R</w:t>
            </w:r>
          </w:p>
        </w:tc>
        <w:tc>
          <w:tcPr>
            <w:tcW w:type="dxa" w:w="1944"/>
            <w:vAlign w:val="center"/>
            <w:tcMar>
              <w:top w:w="70" w:type="dxa"/>
              <w:start w:w="90" w:type="dxa"/>
              <w:bottom w:w="70" w:type="dxa"/>
              <w:end w:w="90" w:type="dxa"/>
            </w:tcMar>
          </w:tcPr>
          <w:p>
            <w:pPr>
              <w:spacing w:after="0" w:before="0" w:line="240" w:lineRule="auto"/>
            </w:pPr>
            <w:r>
              <w:rPr>
                <w:rFonts w:ascii="Lato" w:hAnsi="Lato"/>
                <w:b w:val="0"/>
                <w:color w:val="123447"/>
                <w:sz w:val="14"/>
              </w:rPr>
              <w:t>R</w:t>
            </w:r>
          </w:p>
        </w:tc>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4"/>
              </w:rPr>
              <w:t>C/Approve client readiness</w:t>
            </w:r>
          </w:p>
        </w:tc>
      </w:tr>
      <w:tr>
        <w:tc>
          <w:tcPr>
            <w:tcW w:type="dxa" w:w="2592"/>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Incident response</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A</w:t>
            </w:r>
          </w:p>
        </w:tc>
        <w:tc>
          <w:tcPr>
            <w:tcW w:type="dxa" w:w="1728"/>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w:t>
            </w:r>
          </w:p>
        </w:tc>
        <w:tc>
          <w:tcPr>
            <w:tcW w:type="dxa" w:w="1944"/>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R</w:t>
            </w:r>
          </w:p>
        </w:tc>
        <w:tc>
          <w:tcPr>
            <w:tcW w:type="dxa" w:w="2376"/>
            <w:vAlign w:val="center"/>
            <w:tcMar>
              <w:top w:w="70" w:type="dxa"/>
              <w:start w:w="90" w:type="dxa"/>
              <w:bottom w:w="70" w:type="dxa"/>
              <w:end w:w="90" w:type="dxa"/>
            </w:tcMar>
            <w:shd w:fill="F4F6F7"/>
          </w:tcPr>
          <w:p>
            <w:pPr>
              <w:spacing w:after="0" w:before="0" w:line="240" w:lineRule="auto"/>
            </w:pPr>
            <w:r>
              <w:rPr>
                <w:rFonts w:ascii="Lato" w:hAnsi="Lato"/>
                <w:b w:val="0"/>
                <w:color w:val="123447"/>
                <w:sz w:val="14"/>
              </w:rPr>
              <w:t>C/Notified by scope</w:t>
            </w:r>
          </w:p>
        </w:tc>
      </w:tr>
    </w:tbl>
    <w:p>
      <w:pPr>
        <w:spacing w:after="80" w:line="254" w:lineRule="auto"/>
      </w:pPr>
      <w:r>
        <w:rPr>
          <w:rFonts w:ascii="Lato" w:hAnsi="Lato"/>
          <w:color w:val="123447"/>
          <w:sz w:val="19"/>
        </w:rPr>
        <w:t>Legend: R = Responsible, A = Accountable, C = Consulted, I = Informed. Legal/privacy counsel is engaged where required and is not replaced by this technical PRD.</w:t>
      </w:r>
    </w:p>
    <w:p>
      <w:pPr>
        <w:pStyle w:val="Heading2"/>
        <w:keepNext/>
      </w:pPr>
      <w:r>
        <w:t>35.3 Realistic single-developer delivery range</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3346"/>
        <w:gridCol w:w="3346"/>
        <w:gridCol w:w="3346"/>
      </w:tblGrid>
      <w:tr>
        <w:trPr>
          <w:tblHeader w:val="true"/>
        </w:trPr>
        <w:tc>
          <w:tcPr>
            <w:tcW w:type="dxa" w:w="2232"/>
            <w:vAlign w:val="center"/>
            <w:tcMar>
              <w:top w:w="70" w:type="dxa"/>
              <w:start w:w="90" w:type="dxa"/>
              <w:bottom w:w="70" w:type="dxa"/>
              <w:end w:w="90" w:type="dxa"/>
            </w:tcMar>
            <w:shd w:fill="123447"/>
          </w:tcPr>
          <w:p>
            <w:pPr>
              <w:spacing w:after="0" w:before="0" w:line="240" w:lineRule="auto"/>
            </w:pPr>
            <w:r>
              <w:rPr>
                <w:rFonts w:ascii="Lato" w:hAnsi="Lato"/>
                <w:b/>
                <w:color w:val="FFFFFF"/>
                <w:sz w:val="15"/>
              </w:rPr>
              <w:t>Phase</w:t>
            </w:r>
          </w:p>
        </w:tc>
        <w:tc>
          <w:tcPr>
            <w:tcW w:type="dxa" w:w="1800"/>
            <w:vAlign w:val="center"/>
            <w:tcMar>
              <w:top w:w="70" w:type="dxa"/>
              <w:start w:w="90" w:type="dxa"/>
              <w:bottom w:w="70" w:type="dxa"/>
              <w:end w:w="90" w:type="dxa"/>
            </w:tcMar>
            <w:shd w:fill="123447"/>
          </w:tcPr>
          <w:p>
            <w:pPr>
              <w:spacing w:after="0" w:before="0" w:line="240" w:lineRule="auto"/>
            </w:pPr>
            <w:r>
              <w:rPr>
                <w:rFonts w:ascii="Lato" w:hAnsi="Lato"/>
                <w:b/>
                <w:color w:val="FFFFFF"/>
                <w:sz w:val="15"/>
              </w:rPr>
              <w:t>Engineering range</w:t>
            </w:r>
          </w:p>
        </w:tc>
        <w:tc>
          <w:tcPr>
            <w:tcW w:type="dxa" w:w="6120"/>
            <w:vAlign w:val="center"/>
            <w:tcMar>
              <w:top w:w="70" w:type="dxa"/>
              <w:start w:w="90" w:type="dxa"/>
              <w:bottom w:w="70" w:type="dxa"/>
              <w:end w:w="90" w:type="dxa"/>
            </w:tcMar>
            <w:shd w:fill="123447"/>
          </w:tcPr>
          <w:p>
            <w:pPr>
              <w:spacing w:after="0" w:before="0" w:line="240" w:lineRule="auto"/>
            </w:pPr>
            <w:r>
              <w:rPr>
                <w:rFonts w:ascii="Lato" w:hAnsi="Lato"/>
                <w:b/>
                <w:color w:val="FFFFFF"/>
                <w:sz w:val="15"/>
              </w:rPr>
              <w:t>Scope</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Phase 0 Foundation</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3–4 weeks</w:t>
            </w:r>
          </w:p>
        </w:tc>
        <w:tc>
          <w:tcPr>
            <w:tcW w:type="dxa" w:w="6120"/>
            <w:vAlign w:val="center"/>
            <w:tcMar>
              <w:top w:w="70" w:type="dxa"/>
              <w:start w:w="90" w:type="dxa"/>
              <w:bottom w:w="70" w:type="dxa"/>
              <w:end w:w="90" w:type="dxa"/>
            </w:tcMar>
          </w:tcPr>
          <w:p>
            <w:pPr>
              <w:spacing w:after="0" w:before="0" w:line="240" w:lineRule="auto"/>
            </w:pPr>
            <w:r>
              <w:rPr>
                <w:rFonts w:ascii="Lato" w:hAnsi="Lato"/>
                <w:b w:val="0"/>
                <w:color w:val="123447"/>
                <w:sz w:val="15"/>
              </w:rPr>
              <w:t>Monorepo, CI/CD, shadcn tokens, auth, tenancy, permissions, audit, files, observability.</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Phase 1 Leads &amp; Sales</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5–7 weeks</w:t>
            </w:r>
          </w:p>
        </w:tc>
        <w:tc>
          <w:tcPr>
            <w:tcW w:type="dxa" w:w="612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Sources, dedupe, assignment/SLA, telephony, unified timeline/inbox foundations.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Phase 2 Test Ride &amp; Inventory</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5–6 weeks</w:t>
            </w:r>
          </w:p>
        </w:tc>
        <w:tc>
          <w:tcPr>
            <w:tcW w:type="dxa" w:w="6120"/>
            <w:vAlign w:val="center"/>
            <w:tcMar>
              <w:top w:w="70" w:type="dxa"/>
              <w:start w:w="90" w:type="dxa"/>
              <w:bottom w:w="70" w:type="dxa"/>
              <w:end w:w="90" w:type="dxa"/>
            </w:tcMar>
          </w:tcPr>
          <w:p>
            <w:pPr>
              <w:spacing w:after="0" w:before="0" w:line="240" w:lineRule="auto"/>
            </w:pPr>
            <w:r>
              <w:rPr>
                <w:rFonts w:ascii="Lato" w:hAnsi="Lato"/>
                <w:b w:val="0"/>
                <w:color w:val="123447"/>
                <w:sz w:val="15"/>
              </w:rPr>
              <w:t>Android ride role, offline basics, foreground location, catalog, reservation/allocation.</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Phase 3 Booking &amp; Billing</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5–6 weeks</w:t>
            </w:r>
          </w:p>
        </w:tc>
        <w:tc>
          <w:tcPr>
            <w:tcW w:type="dxa" w:w="612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Booking, approvals, payment/finance/invoice/insurance, documents and readiness.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Phase 4 Delivery &amp; RC</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5–6 weeks</w:t>
            </w:r>
          </w:p>
        </w:tc>
        <w:tc>
          <w:tcPr>
            <w:tcW w:type="dxa" w:w="6120"/>
            <w:vAlign w:val="center"/>
            <w:tcMar>
              <w:top w:w="70" w:type="dxa"/>
              <w:start w:w="90" w:type="dxa"/>
              <w:bottom w:w="70" w:type="dxa"/>
              <w:end w:w="90" w:type="dxa"/>
            </w:tcMar>
          </w:tcPr>
          <w:p>
            <w:pPr>
              <w:spacing w:after="0" w:before="0" w:line="240" w:lineRule="auto"/>
            </w:pPr>
            <w:r>
              <w:rPr>
                <w:rFonts w:ascii="Lato" w:hAnsi="Lato"/>
                <w:b w:val="0"/>
                <w:color w:val="123447"/>
                <w:sz w:val="15"/>
              </w:rPr>
              <w:t>Delivery mobile flow/proofs/tracking, registration/RC and secure customer updates.</w:t>
            </w:r>
          </w:p>
        </w:tc>
      </w:tr>
      <w:tr>
        <w:tc>
          <w:tcPr>
            <w:tcW w:type="dxa" w:w="2232"/>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Phase 5 Integrations &amp; Post-sale</w:t>
            </w:r>
          </w:p>
        </w:tc>
        <w:tc>
          <w:tcPr>
            <w:tcW w:type="dxa" w:w="180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4–6 weeks</w:t>
            </w:r>
          </w:p>
        </w:tc>
        <w:tc>
          <w:tcPr>
            <w:tcW w:type="dxa" w:w="6120"/>
            <w:vAlign w:val="center"/>
            <w:tcMar>
              <w:top w:w="70" w:type="dxa"/>
              <w:start w:w="90" w:type="dxa"/>
              <w:bottom w:w="70" w:type="dxa"/>
              <w:end w:w="90" w:type="dxa"/>
            </w:tcMar>
            <w:shd w:fill="F4F6F7"/>
          </w:tcPr>
          <w:p>
            <w:pPr>
              <w:spacing w:after="0" w:before="0" w:line="240" w:lineRule="auto"/>
            </w:pPr>
            <w:r>
              <w:rPr>
                <w:rFonts w:ascii="Lato" w:hAnsi="Lato"/>
                <w:b w:val="0"/>
                <w:color w:val="123447"/>
                <w:sz w:val="15"/>
              </w:rPr>
              <w:t>WhatsApp/Google/provider production hardening, customer vehicles and reminders.</w:t>
            </w:r>
          </w:p>
        </w:tc>
      </w:tr>
      <w:tr>
        <w:tc>
          <w:tcPr>
            <w:tcW w:type="dxa" w:w="2232"/>
            <w:vAlign w:val="center"/>
            <w:tcMar>
              <w:top w:w="70" w:type="dxa"/>
              <w:start w:w="90" w:type="dxa"/>
              <w:bottom w:w="70" w:type="dxa"/>
              <w:end w:w="90" w:type="dxa"/>
            </w:tcMar>
          </w:tcPr>
          <w:p>
            <w:pPr>
              <w:spacing w:after="0" w:before="0" w:line="240" w:lineRule="auto"/>
            </w:pPr>
            <w:r>
              <w:rPr>
                <w:rFonts w:ascii="Lato" w:hAnsi="Lato"/>
                <w:b w:val="0"/>
                <w:color w:val="123447"/>
                <w:sz w:val="15"/>
              </w:rPr>
              <w:t>Phase 6 Hardening &amp; Pilot</w:t>
            </w:r>
          </w:p>
        </w:tc>
        <w:tc>
          <w:tcPr>
            <w:tcW w:type="dxa" w:w="1800"/>
            <w:vAlign w:val="center"/>
            <w:tcMar>
              <w:top w:w="70" w:type="dxa"/>
              <w:start w:w="90" w:type="dxa"/>
              <w:bottom w:w="70" w:type="dxa"/>
              <w:end w:w="90" w:type="dxa"/>
            </w:tcMar>
          </w:tcPr>
          <w:p>
            <w:pPr>
              <w:spacing w:after="0" w:before="0" w:line="240" w:lineRule="auto"/>
            </w:pPr>
            <w:r>
              <w:rPr>
                <w:rFonts w:ascii="Lato" w:hAnsi="Lato"/>
                <w:b w:val="0"/>
                <w:color w:val="123447"/>
                <w:sz w:val="15"/>
              </w:rPr>
              <w:t>3–4 weeks</w:t>
            </w:r>
          </w:p>
        </w:tc>
        <w:tc>
          <w:tcPr>
            <w:tcW w:type="dxa" w:w="6120"/>
            <w:vAlign w:val="center"/>
            <w:tcMar>
              <w:top w:w="70" w:type="dxa"/>
              <w:start w:w="90" w:type="dxa"/>
              <w:bottom w:w="70" w:type="dxa"/>
              <w:end w:w="90" w:type="dxa"/>
            </w:tcMar>
          </w:tcPr>
          <w:p>
            <w:pPr>
              <w:spacing w:after="0" w:before="0" w:line="240" w:lineRule="auto"/>
            </w:pPr>
            <w:r>
              <w:rPr>
                <w:rFonts w:ascii="Lato" w:hAnsi="Lato"/>
                <w:b w:val="0"/>
                <w:color w:val="123447"/>
                <w:sz w:val="15"/>
              </w:rPr>
              <w:t>Migration, load/security/offline/restore tests, Play release, pilot cutover and hypercare.</w:t>
            </w:r>
          </w:p>
        </w:tc>
      </w:tr>
    </w:tbl>
    <w:tbl>
      <w:tblPr>
        <w:tblW w:type="auto" w:w="0"/>
        <w:jc w:val="center"/>
        <w:tblLook w:firstColumn="1" w:firstRow="1" w:lastColumn="0" w:lastRow="0" w:noHBand="0" w:noVBand="1" w:val="04A0"/>
        <w:tblBorders>
          <w:top w:val="single" w:sz="8" w:space="0" w:color="1F6F78"/>
          <w:start w:val="single" w:sz="8" w:space="0" w:color="1F6F78"/>
          <w:bottom w:val="single" w:sz="8" w:space="0" w:color="1F6F78"/>
          <w:end w:val="single" w:sz="8" w:space="0" w:color="1F6F78"/>
          <w:insideH w:val="single" w:sz="8" w:space="0" w:color="1F6F78"/>
          <w:insideV w:val="single" w:sz="8" w:space="0" w:color="1F6F78"/>
        </w:tblBorders>
      </w:tblPr>
      <w:tblGrid>
        <w:gridCol w:w="10037"/>
      </w:tblGrid>
      <w:tr>
        <w:tc>
          <w:tcPr>
            <w:tcW w:type="dxa" w:w="10037"/>
            <w:shd w:fill="FFF7DA"/>
            <w:tcMar>
              <w:top w:w="100" w:type="dxa"/>
              <w:start w:w="120" w:type="dxa"/>
              <w:bottom w:w="100" w:type="dxa"/>
              <w:end w:w="120" w:type="dxa"/>
            </w:tcMar>
          </w:tcPr>
          <w:p>
            <w:pPr>
              <w:spacing w:after="0"/>
            </w:pPr>
            <w:r>
              <w:rPr>
                <w:rFonts w:ascii="Lato" w:hAnsi="Lato"/>
                <w:b/>
                <w:color w:val="1F6F78"/>
                <w:sz w:val="18"/>
              </w:rPr>
              <w:t>Planning reality</w:t>
              <w:br/>
            </w:r>
            <w:r>
              <w:rPr>
                <w:rFonts w:ascii="Lato" w:hAnsi="Lato"/>
                <w:color w:val="123447"/>
                <w:sz w:val="18"/>
              </w:rPr>
              <w:t>A stable single-developer implementation is approximately 30–39 engineering weeks (about 7–9 months), excluding external provider-review waiting time and major client scope changes. A 3-month target must be a narrower pilot with fewer production integrations and simplified reporting.</w:t>
            </w:r>
          </w:p>
        </w:tc>
        <w:trPr>
          <w:tblHeader/>
        </w:trPr>
      </w:tr>
    </w:tbl>
    <w:p>
      <w:pPr>
        <w:pStyle w:val="Heading2"/>
        <w:keepNext/>
      </w:pPr>
      <w:r>
        <w:t>35.4 Final release sign-off</w:t>
      </w:r>
    </w:p>
    <w:tbl>
      <w:tblPr>
        <w:tblW w:type="auto" w:w="0"/>
        <w:jc w:val="center"/>
        <w:tblLayout w:type="fixed"/>
        <w:tblLook w:firstColumn="1" w:firstRow="1" w:lastColumn="0" w:lastRow="0" w:noHBand="0" w:noVBand="1" w:val="04A0"/>
        <w:tblBorders>
          <w:top w:val="single" w:sz="6" w:space="0" w:color="7B9299"/>
          <w:start w:val="single" w:sz="6" w:space="0" w:color="7B9299"/>
          <w:bottom w:val="single" w:sz="6" w:space="0" w:color="7B9299"/>
          <w:end w:val="single" w:sz="6" w:space="0" w:color="7B9299"/>
          <w:insideH w:val="single" w:sz="6" w:space="0" w:color="7B9299"/>
          <w:insideV w:val="single" w:sz="6" w:space="0" w:color="7B9299"/>
        </w:tblBorders>
      </w:tblPr>
      <w:tblGrid>
        <w:gridCol w:w="2509"/>
        <w:gridCol w:w="2509"/>
        <w:gridCol w:w="2509"/>
        <w:gridCol w:w="2509"/>
      </w:tblGrid>
      <w:tr>
        <w:trPr>
          <w:tblHeader w:val="true"/>
        </w:trPr>
        <w:tc>
          <w:tcPr>
            <w:tcW w:type="dxa" w:w="2376"/>
            <w:vAlign w:val="center"/>
            <w:tcMar>
              <w:top w:w="70" w:type="dxa"/>
              <w:start w:w="90" w:type="dxa"/>
              <w:bottom w:w="70" w:type="dxa"/>
              <w:end w:w="90" w:type="dxa"/>
            </w:tcMar>
            <w:shd w:fill="123447"/>
          </w:tcPr>
          <w:p>
            <w:pPr>
              <w:spacing w:after="0" w:before="0" w:line="240" w:lineRule="auto"/>
            </w:pPr>
            <w:r>
              <w:rPr>
                <w:rFonts w:ascii="Lato" w:hAnsi="Lato"/>
                <w:b/>
                <w:color w:val="FFFFFF"/>
                <w:sz w:val="16"/>
              </w:rPr>
              <w:t>Approver</w:t>
            </w:r>
          </w:p>
        </w:tc>
        <w:tc>
          <w:tcPr>
            <w:tcW w:type="dxa" w:w="2592"/>
            <w:vAlign w:val="center"/>
            <w:tcMar>
              <w:top w:w="70" w:type="dxa"/>
              <w:start w:w="90" w:type="dxa"/>
              <w:bottom w:w="70" w:type="dxa"/>
              <w:end w:w="90" w:type="dxa"/>
            </w:tcMar>
            <w:shd w:fill="123447"/>
          </w:tcPr>
          <w:p>
            <w:pPr>
              <w:spacing w:after="0" w:before="0" w:line="240" w:lineRule="auto"/>
            </w:pPr>
            <w:r>
              <w:rPr>
                <w:rFonts w:ascii="Lato" w:hAnsi="Lato"/>
                <w:b/>
                <w:color w:val="FFFFFF"/>
                <w:sz w:val="16"/>
              </w:rPr>
              <w:t>Name / signature</w:t>
            </w:r>
          </w:p>
        </w:tc>
        <w:tc>
          <w:tcPr>
            <w:tcW w:type="dxa" w:w="1440"/>
            <w:vAlign w:val="center"/>
            <w:tcMar>
              <w:top w:w="70" w:type="dxa"/>
              <w:start w:w="90" w:type="dxa"/>
              <w:bottom w:w="70" w:type="dxa"/>
              <w:end w:w="90" w:type="dxa"/>
            </w:tcMar>
            <w:shd w:fill="123447"/>
          </w:tcPr>
          <w:p>
            <w:pPr>
              <w:spacing w:after="0" w:before="0" w:line="240" w:lineRule="auto"/>
            </w:pPr>
            <w:r>
              <w:rPr>
                <w:rFonts w:ascii="Lato" w:hAnsi="Lato"/>
                <w:b/>
                <w:color w:val="FFFFFF"/>
                <w:sz w:val="16"/>
              </w:rPr>
              <w:t>Date</w:t>
            </w:r>
          </w:p>
        </w:tc>
        <w:tc>
          <w:tcPr>
            <w:tcW w:type="dxa" w:w="3744"/>
            <w:vAlign w:val="center"/>
            <w:tcMar>
              <w:top w:w="70" w:type="dxa"/>
              <w:start w:w="90" w:type="dxa"/>
              <w:bottom w:w="70" w:type="dxa"/>
              <w:end w:w="90" w:type="dxa"/>
            </w:tcMar>
            <w:shd w:fill="123447"/>
          </w:tcPr>
          <w:p>
            <w:pPr>
              <w:spacing w:after="0" w:before="0" w:line="240" w:lineRule="auto"/>
            </w:pPr>
            <w:r>
              <w:rPr>
                <w:rFonts w:ascii="Lato" w:hAnsi="Lato"/>
                <w:b/>
                <w:color w:val="FFFFFF"/>
                <w:sz w:val="16"/>
              </w:rPr>
              <w:t>Approval scope</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Go Digital Product Owner</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1440"/>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3744"/>
            <w:vAlign w:val="center"/>
            <w:tcMar>
              <w:top w:w="70" w:type="dxa"/>
              <w:start w:w="90" w:type="dxa"/>
              <w:bottom w:w="70" w:type="dxa"/>
              <w:end w:w="90" w:type="dxa"/>
            </w:tcMar>
          </w:tcPr>
          <w:p>
            <w:pPr>
              <w:spacing w:after="0" w:before="0" w:line="240" w:lineRule="auto"/>
            </w:pPr>
            <w:r>
              <w:rPr>
                <w:rFonts w:ascii="Lato" w:hAnsi="Lato"/>
                <w:b w:val="0"/>
                <w:color w:val="123447"/>
                <w:sz w:val="16"/>
              </w:rPr>
              <w:t>Scope, acceptance and change control</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Engineering Lead / Developer</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1440"/>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3744"/>
            <w:vAlign w:val="center"/>
            <w:tcMar>
              <w:top w:w="70" w:type="dxa"/>
              <w:start w:w="90" w:type="dxa"/>
              <w:bottom w:w="70" w:type="dxa"/>
              <w:end w:w="90" w:type="dxa"/>
            </w:tcMar>
          </w:tcPr>
          <w:p>
            <w:pPr>
              <w:spacing w:after="0" w:before="0" w:line="240" w:lineRule="auto"/>
            </w:pPr>
            <w:r>
              <w:rPr>
                <w:rFonts w:ascii="Lato" w:hAnsi="Lato"/>
                <w:b w:val="0"/>
                <w:color w:val="123447"/>
                <w:sz w:val="16"/>
              </w:rPr>
              <w:t>Architecture, quality, migrations and runbooks</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Operations / Support Owner</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1440"/>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3744"/>
            <w:vAlign w:val="center"/>
            <w:tcMar>
              <w:top w:w="70" w:type="dxa"/>
              <w:start w:w="90" w:type="dxa"/>
              <w:bottom w:w="70" w:type="dxa"/>
              <w:end w:w="90" w:type="dxa"/>
            </w:tcMar>
          </w:tcPr>
          <w:p>
            <w:pPr>
              <w:spacing w:after="0" w:before="0" w:line="240" w:lineRule="auto"/>
            </w:pPr>
            <w:r>
              <w:rPr>
                <w:rFonts w:ascii="Lato" w:hAnsi="Lato"/>
                <w:b w:val="0"/>
                <w:color w:val="123447"/>
                <w:sz w:val="16"/>
              </w:rPr>
              <w:t>Monitoring, onboarding, incident and hypercare readiness</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Security / Privacy Reviewer</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1440"/>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3744"/>
            <w:vAlign w:val="center"/>
            <w:tcMar>
              <w:top w:w="70" w:type="dxa"/>
              <w:start w:w="90" w:type="dxa"/>
              <w:bottom w:w="70" w:type="dxa"/>
              <w:end w:w="90" w:type="dxa"/>
            </w:tcMar>
          </w:tcPr>
          <w:p>
            <w:pPr>
              <w:spacing w:after="0" w:before="0" w:line="240" w:lineRule="auto"/>
            </w:pPr>
            <w:r>
              <w:rPr>
                <w:rFonts w:ascii="Lato" w:hAnsi="Lato"/>
                <w:b w:val="0"/>
                <w:color w:val="123447"/>
                <w:sz w:val="16"/>
              </w:rPr>
              <w:t>Controls and applicable compliance review</w:t>
            </w:r>
          </w:p>
        </w:tc>
      </w:tr>
      <w:tr>
        <w:tc>
          <w:tcPr>
            <w:tcW w:type="dxa" w:w="2376"/>
            <w:vAlign w:val="center"/>
            <w:tcMar>
              <w:top w:w="70" w:type="dxa"/>
              <w:start w:w="90" w:type="dxa"/>
              <w:bottom w:w="70" w:type="dxa"/>
              <w:end w:w="90" w:type="dxa"/>
            </w:tcMar>
          </w:tcPr>
          <w:p>
            <w:pPr>
              <w:spacing w:after="0" w:before="0" w:line="240" w:lineRule="auto"/>
            </w:pPr>
            <w:r>
              <w:rPr>
                <w:rFonts w:ascii="Lato" w:hAnsi="Lato"/>
                <w:b w:val="0"/>
                <w:color w:val="123447"/>
                <w:sz w:val="16"/>
              </w:rPr>
              <w:t>Pilot Client Owner</w:t>
            </w:r>
          </w:p>
        </w:tc>
        <w:tc>
          <w:tcPr>
            <w:tcW w:type="dxa" w:w="2592"/>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1440"/>
            <w:vAlign w:val="center"/>
            <w:tcMar>
              <w:top w:w="70" w:type="dxa"/>
              <w:start w:w="90" w:type="dxa"/>
              <w:bottom w:w="70" w:type="dxa"/>
              <w:end w:w="90" w:type="dxa"/>
            </w:tcMar>
          </w:tcPr>
          <w:p>
            <w:pPr>
              <w:spacing w:after="0" w:before="0" w:line="240" w:lineRule="auto"/>
            </w:pPr>
            <w:r>
              <w:rPr>
                <w:rFonts w:ascii="Lato" w:hAnsi="Lato"/>
                <w:b w:val="0"/>
                <w:color w:val="123447"/>
                <w:sz w:val="16"/>
              </w:rPr>
            </w:r>
          </w:p>
        </w:tc>
        <w:tc>
          <w:tcPr>
            <w:tcW w:type="dxa" w:w="3744"/>
            <w:vAlign w:val="center"/>
            <w:tcMar>
              <w:top w:w="70" w:type="dxa"/>
              <w:start w:w="90" w:type="dxa"/>
              <w:bottom w:w="70" w:type="dxa"/>
              <w:end w:w="90" w:type="dxa"/>
            </w:tcMar>
          </w:tcPr>
          <w:p>
            <w:pPr>
              <w:spacing w:after="0" w:before="0" w:line="240" w:lineRule="auto"/>
            </w:pPr>
            <w:r>
              <w:rPr>
                <w:rFonts w:ascii="Lato" w:hAnsi="Lato"/>
                <w:b w:val="0"/>
                <w:color w:val="123447"/>
                <w:sz w:val="16"/>
              </w:rPr>
              <w:t>Configuration, imported data, users, provider accounts and business acceptance</w:t>
            </w:r>
          </w:p>
        </w:tc>
      </w:tr>
    </w:tbl>
    <w:p>
      <w:pPr>
        <w:spacing w:after="80" w:line="254" w:lineRule="auto"/>
      </w:pPr>
      <w:r>
        <w:rPr>
          <w:rFonts w:ascii="Lato" w:hAnsi="Lato"/>
          <w:color w:val="123447"/>
          <w:sz w:val="19"/>
        </w:rPr>
        <w:t>The baseline becomes production-approved only when all mandatory release gates in Section 25, onboarding exit evidence in Section 32 and the signatures above are complete, or the unavailable feature is explicitly disabled by a documented release decision.</w:t>
      </w:r>
    </w:p>
    <w:p>
      <w:pPr>
        <w:pStyle w:val="Heading1"/>
        <w:keepNext/>
      </w:pPr>
      <w:r>
        <w:t>Appendix A. Permission Matrix</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271"/>
        <w:gridCol w:w="1271"/>
        <w:gridCol w:w="1271"/>
        <w:gridCol w:w="1271"/>
        <w:gridCol w:w="1271"/>
        <w:gridCol w:w="1271"/>
        <w:gridCol w:w="1271"/>
        <w:gridCol w:w="1271"/>
        <w:gridCol w:w="1271"/>
        <w:gridCol w:w="1271"/>
        <w:gridCol w:w="1271"/>
        <w:gridCol w:w="1271"/>
      </w:tblGrid>
      <w:tr>
        <w:trPr>
          <w:tblHeader w:val="true"/>
        </w:trPr>
        <w:tc>
          <w:tcPr>
            <w:tcW w:type="dxa" w:w="2160"/>
            <w:shd w:fill="123447"/>
            <w:vAlign w:val="center"/>
            <w:tcMar>
              <w:top w:w="70" w:type="dxa"/>
              <w:start w:w="80" w:type="dxa"/>
              <w:bottom w:w="70" w:type="dxa"/>
              <w:end w:w="80" w:type="dxa"/>
            </w:tcMar>
          </w:tcPr>
          <w:p>
            <w:pPr>
              <w:jc w:val="left"/>
            </w:pPr>
            <w:r>
              <w:rPr>
                <w:b/>
                <w:color w:val="FFFFFF"/>
                <w:sz w:val="14"/>
              </w:rPr>
              <w:t>Module</w:t>
            </w:r>
          </w:p>
        </w:tc>
        <w:tc>
          <w:tcPr>
            <w:tcW w:type="dxa" w:w="1181"/>
            <w:shd w:fill="123447"/>
            <w:vAlign w:val="center"/>
            <w:tcMar>
              <w:top w:w="70" w:type="dxa"/>
              <w:start w:w="80" w:type="dxa"/>
              <w:bottom w:w="70" w:type="dxa"/>
              <w:end w:w="80" w:type="dxa"/>
            </w:tcMar>
          </w:tcPr>
          <w:p>
            <w:pPr>
              <w:jc w:val="left"/>
            </w:pPr>
            <w:r>
              <w:rPr>
                <w:b/>
                <w:color w:val="FFFFFF"/>
                <w:sz w:val="14"/>
              </w:rPr>
              <w:t>Agency</w:t>
            </w:r>
          </w:p>
        </w:tc>
        <w:tc>
          <w:tcPr>
            <w:tcW w:type="dxa" w:w="1181"/>
            <w:shd w:fill="123447"/>
            <w:vAlign w:val="center"/>
            <w:tcMar>
              <w:top w:w="70" w:type="dxa"/>
              <w:start w:w="80" w:type="dxa"/>
              <w:bottom w:w="70" w:type="dxa"/>
              <w:end w:w="80" w:type="dxa"/>
            </w:tcMar>
          </w:tcPr>
          <w:p>
            <w:pPr>
              <w:jc w:val="left"/>
            </w:pPr>
            <w:r>
              <w:rPr>
                <w:b/>
                <w:color w:val="FFFFFF"/>
                <w:sz w:val="14"/>
              </w:rPr>
              <w:t>Client Admin</w:t>
            </w:r>
          </w:p>
        </w:tc>
        <w:tc>
          <w:tcPr>
            <w:tcW w:type="dxa" w:w="1181"/>
            <w:shd w:fill="123447"/>
            <w:vAlign w:val="center"/>
            <w:tcMar>
              <w:top w:w="70" w:type="dxa"/>
              <w:start w:w="80" w:type="dxa"/>
              <w:bottom w:w="70" w:type="dxa"/>
              <w:end w:w="80" w:type="dxa"/>
            </w:tcMar>
          </w:tcPr>
          <w:p>
            <w:pPr>
              <w:jc w:val="left"/>
            </w:pPr>
            <w:r>
              <w:rPr>
                <w:b/>
                <w:color w:val="FFFFFF"/>
                <w:sz w:val="14"/>
              </w:rPr>
              <w:t>Manager</w:t>
            </w:r>
          </w:p>
        </w:tc>
        <w:tc>
          <w:tcPr>
            <w:tcW w:type="dxa" w:w="1181"/>
            <w:shd w:fill="123447"/>
            <w:vAlign w:val="center"/>
            <w:tcMar>
              <w:top w:w="70" w:type="dxa"/>
              <w:start w:w="80" w:type="dxa"/>
              <w:bottom w:w="70" w:type="dxa"/>
              <w:end w:w="80" w:type="dxa"/>
            </w:tcMar>
          </w:tcPr>
          <w:p>
            <w:pPr>
              <w:jc w:val="left"/>
            </w:pPr>
            <w:r>
              <w:rPr>
                <w:b/>
                <w:color w:val="FFFFFF"/>
                <w:sz w:val="14"/>
              </w:rPr>
              <w:t>Sales Mgr</w:t>
            </w:r>
          </w:p>
        </w:tc>
        <w:tc>
          <w:tcPr>
            <w:tcW w:type="dxa" w:w="1181"/>
            <w:shd w:fill="123447"/>
            <w:vAlign w:val="center"/>
            <w:tcMar>
              <w:top w:w="70" w:type="dxa"/>
              <w:start w:w="80" w:type="dxa"/>
              <w:bottom w:w="70" w:type="dxa"/>
              <w:end w:w="80" w:type="dxa"/>
            </w:tcMar>
          </w:tcPr>
          <w:p>
            <w:pPr>
              <w:jc w:val="left"/>
            </w:pPr>
            <w:r>
              <w:rPr>
                <w:b/>
                <w:color w:val="FFFFFF"/>
                <w:sz w:val="14"/>
              </w:rPr>
              <w:t>Telecaller</w:t>
            </w:r>
          </w:p>
        </w:tc>
        <w:tc>
          <w:tcPr>
            <w:tcW w:type="dxa" w:w="1181"/>
            <w:shd w:fill="123447"/>
            <w:vAlign w:val="center"/>
            <w:tcMar>
              <w:top w:w="70" w:type="dxa"/>
              <w:start w:w="80" w:type="dxa"/>
              <w:bottom w:w="70" w:type="dxa"/>
              <w:end w:w="80" w:type="dxa"/>
            </w:tcMar>
          </w:tcPr>
          <w:p>
            <w:pPr>
              <w:jc w:val="left"/>
            </w:pPr>
            <w:r>
              <w:rPr>
                <w:b/>
                <w:color w:val="FFFFFF"/>
                <w:sz w:val="14"/>
              </w:rPr>
              <w:t>Sales</w:t>
            </w:r>
          </w:p>
        </w:tc>
        <w:tc>
          <w:tcPr>
            <w:tcW w:type="dxa" w:w="1181"/>
            <w:shd w:fill="123447"/>
            <w:vAlign w:val="center"/>
            <w:tcMar>
              <w:top w:w="70" w:type="dxa"/>
              <w:start w:w="80" w:type="dxa"/>
              <w:bottom w:w="70" w:type="dxa"/>
              <w:end w:w="80" w:type="dxa"/>
            </w:tcMar>
          </w:tcPr>
          <w:p>
            <w:pPr>
              <w:jc w:val="left"/>
            </w:pPr>
            <w:r>
              <w:rPr>
                <w:b/>
                <w:color w:val="FFFFFF"/>
                <w:sz w:val="14"/>
              </w:rPr>
              <w:t>Ride</w:t>
            </w:r>
          </w:p>
        </w:tc>
        <w:tc>
          <w:tcPr>
            <w:tcW w:type="dxa" w:w="1181"/>
            <w:shd w:fill="123447"/>
            <w:vAlign w:val="center"/>
            <w:tcMar>
              <w:top w:w="70" w:type="dxa"/>
              <w:start w:w="80" w:type="dxa"/>
              <w:bottom w:w="70" w:type="dxa"/>
              <w:end w:w="80" w:type="dxa"/>
            </w:tcMar>
          </w:tcPr>
          <w:p>
            <w:pPr>
              <w:jc w:val="left"/>
            </w:pPr>
            <w:r>
              <w:rPr>
                <w:b/>
                <w:color w:val="FFFFFF"/>
                <w:sz w:val="14"/>
              </w:rPr>
              <w:t>Inventory</w:t>
            </w:r>
          </w:p>
        </w:tc>
        <w:tc>
          <w:tcPr>
            <w:tcW w:type="dxa" w:w="1181"/>
            <w:shd w:fill="123447"/>
            <w:vAlign w:val="center"/>
            <w:tcMar>
              <w:top w:w="70" w:type="dxa"/>
              <w:start w:w="80" w:type="dxa"/>
              <w:bottom w:w="70" w:type="dxa"/>
              <w:end w:w="80" w:type="dxa"/>
            </w:tcMar>
          </w:tcPr>
          <w:p>
            <w:pPr>
              <w:jc w:val="left"/>
            </w:pPr>
            <w:r>
              <w:rPr>
                <w:b/>
                <w:color w:val="FFFFFF"/>
                <w:sz w:val="14"/>
              </w:rPr>
              <w:t>Billing</w:t>
            </w:r>
          </w:p>
        </w:tc>
        <w:tc>
          <w:tcPr>
            <w:tcW w:type="dxa" w:w="1181"/>
            <w:shd w:fill="123447"/>
            <w:vAlign w:val="center"/>
            <w:tcMar>
              <w:top w:w="70" w:type="dxa"/>
              <w:start w:w="80" w:type="dxa"/>
              <w:bottom w:w="70" w:type="dxa"/>
              <w:end w:w="80" w:type="dxa"/>
            </w:tcMar>
          </w:tcPr>
          <w:p>
            <w:pPr>
              <w:jc w:val="left"/>
            </w:pPr>
            <w:r>
              <w:rPr>
                <w:b/>
                <w:color w:val="FFFFFF"/>
                <w:sz w:val="14"/>
              </w:rPr>
              <w:t>Delivery</w:t>
            </w:r>
          </w:p>
        </w:tc>
        <w:tc>
          <w:tcPr>
            <w:tcW w:type="dxa" w:w="1181"/>
            <w:shd w:fill="123447"/>
            <w:vAlign w:val="center"/>
            <w:tcMar>
              <w:top w:w="70" w:type="dxa"/>
              <w:start w:w="80" w:type="dxa"/>
              <w:bottom w:w="70" w:type="dxa"/>
              <w:end w:w="80" w:type="dxa"/>
            </w:tcMar>
          </w:tcPr>
          <w:p>
            <w:pPr>
              <w:jc w:val="left"/>
            </w:pPr>
            <w:r>
              <w:rPr>
                <w:b/>
                <w:color w:val="FFFFFF"/>
                <w:sz w:val="14"/>
              </w:rPr>
              <w:t>RC</w:t>
            </w:r>
          </w:p>
        </w:tc>
      </w:tr>
      <w:tr>
        <w:tc>
          <w:tcPr>
            <w:tcW w:type="dxa" w:w="2160"/>
            <w:vAlign w:val="top"/>
            <w:tcMar>
              <w:top w:w="70" w:type="dxa"/>
              <w:start w:w="80" w:type="dxa"/>
              <w:bottom w:w="70" w:type="dxa"/>
              <w:end w:w="80" w:type="dxa"/>
            </w:tcMar>
          </w:tcPr>
          <w:p>
            <w:pPr>
              <w:spacing w:after="0" w:before="0"/>
            </w:pPr>
            <w:r>
              <w:rPr>
                <w:b/>
                <w:sz w:val="14"/>
              </w:rPr>
              <w:t>Clients/branches</w:t>
            </w:r>
          </w:p>
        </w:tc>
        <w:tc>
          <w:tcPr>
            <w:tcW w:type="dxa" w:w="1181"/>
            <w:vAlign w:val="top"/>
            <w:tcMar>
              <w:top w:w="70" w:type="dxa"/>
              <w:start w:w="80" w:type="dxa"/>
              <w:bottom w:w="70" w:type="dxa"/>
              <w:end w:w="80" w:type="dxa"/>
            </w:tcMar>
          </w:tcPr>
          <w:p>
            <w:pPr>
              <w:spacing w:after="0" w:before="0"/>
            </w:pPr>
            <w:r>
              <w:rPr>
                <w:sz w:val="14"/>
              </w:rPr>
              <w:t>M</w:t>
            </w:r>
          </w:p>
        </w:tc>
        <w:tc>
          <w:tcPr>
            <w:tcW w:type="dxa" w:w="1181"/>
            <w:vAlign w:val="top"/>
            <w:tcMar>
              <w:top w:w="70" w:type="dxa"/>
              <w:start w:w="80" w:type="dxa"/>
              <w:bottom w:w="70" w:type="dxa"/>
              <w:end w:w="80" w:type="dxa"/>
            </w:tcMar>
          </w:tcPr>
          <w:p>
            <w:pPr>
              <w:spacing w:after="0" w:before="0"/>
            </w:pPr>
            <w:r>
              <w:rPr>
                <w:sz w:val="14"/>
              </w:rPr>
              <w:t>M</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r>
      <w:tr>
        <w:tc>
          <w:tcPr>
            <w:tcW w:type="dxa" w:w="2160"/>
            <w:vAlign w:val="top"/>
            <w:tcMar>
              <w:top w:w="70" w:type="dxa"/>
              <w:start w:w="80" w:type="dxa"/>
              <w:bottom w:w="70" w:type="dxa"/>
              <w:end w:w="80" w:type="dxa"/>
            </w:tcMar>
            <w:shd w:fill="F4F6F8"/>
          </w:tcPr>
          <w:p>
            <w:pPr>
              <w:spacing w:after="0" w:before="0"/>
            </w:pPr>
            <w:r>
              <w:rPr>
                <w:b/>
                <w:sz w:val="14"/>
              </w:rPr>
              <w:t>Users/roles</w:t>
            </w:r>
          </w:p>
        </w:tc>
        <w:tc>
          <w:tcPr>
            <w:tcW w:type="dxa" w:w="1181"/>
            <w:vAlign w:val="top"/>
            <w:tcMar>
              <w:top w:w="70" w:type="dxa"/>
              <w:start w:w="80" w:type="dxa"/>
              <w:bottom w:w="70" w:type="dxa"/>
              <w:end w:w="80" w:type="dxa"/>
            </w:tcMar>
            <w:shd w:fill="F4F6F8"/>
          </w:tcPr>
          <w:p>
            <w:pPr>
              <w:spacing w:after="0" w:before="0"/>
            </w:pPr>
            <w:r>
              <w:rPr>
                <w:sz w:val="14"/>
              </w:rPr>
              <w:t>M</w:t>
            </w:r>
          </w:p>
        </w:tc>
        <w:tc>
          <w:tcPr>
            <w:tcW w:type="dxa" w:w="1181"/>
            <w:vAlign w:val="top"/>
            <w:tcMar>
              <w:top w:w="70" w:type="dxa"/>
              <w:start w:w="80" w:type="dxa"/>
              <w:bottom w:w="70" w:type="dxa"/>
              <w:end w:w="80" w:type="dxa"/>
            </w:tcMar>
            <w:shd w:fill="F4F6F8"/>
          </w:tcPr>
          <w:p>
            <w:pPr>
              <w:spacing w:after="0" w:before="0"/>
            </w:pPr>
            <w:r>
              <w:rPr>
                <w:sz w:val="14"/>
              </w:rPr>
              <w:t>M</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r>
      <w:tr>
        <w:tc>
          <w:tcPr>
            <w:tcW w:type="dxa" w:w="2160"/>
            <w:vAlign w:val="top"/>
            <w:tcMar>
              <w:top w:w="70" w:type="dxa"/>
              <w:start w:w="80" w:type="dxa"/>
              <w:bottom w:w="70" w:type="dxa"/>
              <w:end w:w="80" w:type="dxa"/>
            </w:tcMar>
          </w:tcPr>
          <w:p>
            <w:pPr>
              <w:spacing w:after="0" w:before="0"/>
            </w:pPr>
            <w:r>
              <w:rPr>
                <w:b/>
                <w:sz w:val="14"/>
              </w:rPr>
              <w:t>Leads</w:t>
            </w:r>
          </w:p>
        </w:tc>
        <w:tc>
          <w:tcPr>
            <w:tcW w:type="dxa" w:w="1181"/>
            <w:vAlign w:val="top"/>
            <w:tcMar>
              <w:top w:w="70" w:type="dxa"/>
              <w:start w:w="80" w:type="dxa"/>
              <w:bottom w:w="70" w:type="dxa"/>
              <w:end w:w="80" w:type="dxa"/>
            </w:tcMar>
          </w:tcPr>
          <w:p>
            <w:pPr>
              <w:spacing w:after="0" w:before="0"/>
            </w:pPr>
            <w:r>
              <w:rPr>
                <w:sz w:val="14"/>
              </w:rPr>
              <w:t>S</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V/M</w:t>
            </w:r>
          </w:p>
        </w:tc>
        <w:tc>
          <w:tcPr>
            <w:tcW w:type="dxa" w:w="1181"/>
            <w:vAlign w:val="top"/>
            <w:tcMar>
              <w:top w:w="70" w:type="dxa"/>
              <w:start w:w="80" w:type="dxa"/>
              <w:bottom w:w="70" w:type="dxa"/>
              <w:end w:w="80" w:type="dxa"/>
            </w:tcMar>
          </w:tcPr>
          <w:p>
            <w:pPr>
              <w:spacing w:after="0" w:before="0"/>
            </w:pPr>
            <w:r>
              <w:rPr>
                <w:sz w:val="14"/>
              </w:rPr>
              <w:t>V/M</w:t>
            </w:r>
          </w:p>
        </w:tc>
        <w:tc>
          <w:tcPr>
            <w:tcW w:type="dxa" w:w="1181"/>
            <w:vAlign w:val="top"/>
            <w:tcMar>
              <w:top w:w="70" w:type="dxa"/>
              <w:start w:w="80" w:type="dxa"/>
              <w:bottom w:w="70" w:type="dxa"/>
              <w:end w:w="80" w:type="dxa"/>
            </w:tcMar>
          </w:tcPr>
          <w:p>
            <w:pPr>
              <w:spacing w:after="0" w:before="0"/>
            </w:pPr>
            <w:r>
              <w:rPr>
                <w:sz w:val="14"/>
              </w:rPr>
              <w:t>V/E</w:t>
            </w:r>
          </w:p>
        </w:tc>
        <w:tc>
          <w:tcPr>
            <w:tcW w:type="dxa" w:w="1181"/>
            <w:vAlign w:val="top"/>
            <w:tcMar>
              <w:top w:w="70" w:type="dxa"/>
              <w:start w:w="80" w:type="dxa"/>
              <w:bottom w:w="70" w:type="dxa"/>
              <w:end w:w="80" w:type="dxa"/>
            </w:tcMar>
          </w:tcPr>
          <w:p>
            <w:pPr>
              <w:spacing w:after="0" w:before="0"/>
            </w:pPr>
            <w:r>
              <w:rPr>
                <w:sz w:val="14"/>
              </w:rPr>
              <w:t>A/E</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r>
      <w:tr>
        <w:tc>
          <w:tcPr>
            <w:tcW w:type="dxa" w:w="2160"/>
            <w:vAlign w:val="top"/>
            <w:tcMar>
              <w:top w:w="70" w:type="dxa"/>
              <w:start w:w="80" w:type="dxa"/>
              <w:bottom w:w="70" w:type="dxa"/>
              <w:end w:w="80" w:type="dxa"/>
            </w:tcMar>
            <w:shd w:fill="F4F6F8"/>
          </w:tcPr>
          <w:p>
            <w:pPr>
              <w:spacing w:after="0" w:before="0"/>
            </w:pPr>
            <w:r>
              <w:rPr>
                <w:b/>
                <w:sz w:val="14"/>
              </w:rPr>
              <w:t>Assignments</w:t>
            </w:r>
          </w:p>
        </w:tc>
        <w:tc>
          <w:tcPr>
            <w:tcW w:type="dxa" w:w="1181"/>
            <w:vAlign w:val="top"/>
            <w:tcMar>
              <w:top w:w="70" w:type="dxa"/>
              <w:start w:w="80" w:type="dxa"/>
              <w:bottom w:w="70" w:type="dxa"/>
              <w:end w:w="80" w:type="dxa"/>
            </w:tcMar>
            <w:shd w:fill="F4F6F8"/>
          </w:tcPr>
          <w:p>
            <w:pPr>
              <w:spacing w:after="0" w:before="0"/>
            </w:pPr>
            <w:r>
              <w:rPr>
                <w:sz w:val="14"/>
              </w:rPr>
              <w:t>S</w:t>
            </w:r>
          </w:p>
        </w:tc>
        <w:tc>
          <w:tcPr>
            <w:tcW w:type="dxa" w:w="1181"/>
            <w:vAlign w:val="top"/>
            <w:tcMar>
              <w:top w:w="70" w:type="dxa"/>
              <w:start w:w="80" w:type="dxa"/>
              <w:bottom w:w="70" w:type="dxa"/>
              <w:end w:w="80" w:type="dxa"/>
            </w:tcMar>
            <w:shd w:fill="F4F6F8"/>
          </w:tcPr>
          <w:p>
            <w:pPr>
              <w:spacing w:after="0" w:before="0"/>
            </w:pPr>
            <w:r>
              <w:rPr>
                <w:sz w:val="14"/>
              </w:rPr>
              <w:t>M</w:t>
            </w:r>
          </w:p>
        </w:tc>
        <w:tc>
          <w:tcPr>
            <w:tcW w:type="dxa" w:w="1181"/>
            <w:vAlign w:val="top"/>
            <w:tcMar>
              <w:top w:w="70" w:type="dxa"/>
              <w:start w:w="80" w:type="dxa"/>
              <w:bottom w:w="70" w:type="dxa"/>
              <w:end w:w="80" w:type="dxa"/>
            </w:tcMar>
            <w:shd w:fill="F4F6F8"/>
          </w:tcPr>
          <w:p>
            <w:pPr>
              <w:spacing w:after="0" w:before="0"/>
            </w:pPr>
            <w:r>
              <w:rPr>
                <w:sz w:val="14"/>
              </w:rPr>
              <w:t>M</w:t>
            </w:r>
          </w:p>
        </w:tc>
        <w:tc>
          <w:tcPr>
            <w:tcW w:type="dxa" w:w="1181"/>
            <w:vAlign w:val="top"/>
            <w:tcMar>
              <w:top w:w="70" w:type="dxa"/>
              <w:start w:w="80" w:type="dxa"/>
              <w:bottom w:w="70" w:type="dxa"/>
              <w:end w:w="80" w:type="dxa"/>
            </w:tcMar>
            <w:shd w:fill="F4F6F8"/>
          </w:tcPr>
          <w:p>
            <w:pPr>
              <w:spacing w:after="0" w:before="0"/>
            </w:pPr>
            <w:r>
              <w:rPr>
                <w:sz w:val="14"/>
              </w:rPr>
              <w:t>M</w:t>
            </w:r>
          </w:p>
        </w:tc>
        <w:tc>
          <w:tcPr>
            <w:tcW w:type="dxa" w:w="1181"/>
            <w:vAlign w:val="top"/>
            <w:tcMar>
              <w:top w:w="70" w:type="dxa"/>
              <w:start w:w="80" w:type="dxa"/>
              <w:bottom w:w="70" w:type="dxa"/>
              <w:end w:w="80" w:type="dxa"/>
            </w:tcMar>
            <w:shd w:fill="F4F6F8"/>
          </w:tcPr>
          <w:p>
            <w:pPr>
              <w:spacing w:after="0" w:before="0"/>
            </w:pPr>
            <w:r>
              <w:rPr>
                <w:sz w:val="14"/>
              </w:rPr>
              <w:t>H</w:t>
            </w:r>
          </w:p>
        </w:tc>
        <w:tc>
          <w:tcPr>
            <w:tcW w:type="dxa" w:w="1181"/>
            <w:vAlign w:val="top"/>
            <w:tcMar>
              <w:top w:w="70" w:type="dxa"/>
              <w:start w:w="80" w:type="dxa"/>
              <w:bottom w:w="70" w:type="dxa"/>
              <w:end w:w="80" w:type="dxa"/>
            </w:tcMar>
            <w:shd w:fill="F4F6F8"/>
          </w:tcPr>
          <w:p>
            <w:pPr>
              <w:spacing w:after="0" w:before="0"/>
            </w:pPr>
            <w:r>
              <w:rPr>
                <w:sz w:val="14"/>
              </w:rPr>
              <w:t>H</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c>
          <w:tcPr>
            <w:tcW w:type="dxa" w:w="1181"/>
            <w:vAlign w:val="top"/>
            <w:tcMar>
              <w:top w:w="70" w:type="dxa"/>
              <w:start w:w="80" w:type="dxa"/>
              <w:bottom w:w="70" w:type="dxa"/>
              <w:end w:w="80" w:type="dxa"/>
            </w:tcMar>
            <w:shd w:fill="F4F6F8"/>
          </w:tcPr>
          <w:p>
            <w:pPr>
              <w:spacing w:after="0" w:before="0"/>
            </w:pPr>
            <w:r>
              <w:rPr>
                <w:sz w:val="14"/>
              </w:rPr>
              <w:t>–</w:t>
            </w:r>
          </w:p>
        </w:tc>
      </w:tr>
      <w:tr>
        <w:tc>
          <w:tcPr>
            <w:tcW w:type="dxa" w:w="2160"/>
            <w:vAlign w:val="top"/>
            <w:tcMar>
              <w:top w:w="70" w:type="dxa"/>
              <w:start w:w="80" w:type="dxa"/>
              <w:bottom w:w="70" w:type="dxa"/>
              <w:end w:w="80" w:type="dxa"/>
            </w:tcMar>
          </w:tcPr>
          <w:p>
            <w:pPr>
              <w:spacing w:after="0" w:before="0"/>
            </w:pPr>
            <w:r>
              <w:rPr>
                <w:b/>
                <w:sz w:val="14"/>
              </w:rPr>
              <w:t>Calls/inbox</w:t>
            </w:r>
          </w:p>
        </w:tc>
        <w:tc>
          <w:tcPr>
            <w:tcW w:type="dxa" w:w="1181"/>
            <w:vAlign w:val="top"/>
            <w:tcMar>
              <w:top w:w="70" w:type="dxa"/>
              <w:start w:w="80" w:type="dxa"/>
              <w:bottom w:w="70" w:type="dxa"/>
              <w:end w:w="80" w:type="dxa"/>
            </w:tcMar>
          </w:tcPr>
          <w:p>
            <w:pPr>
              <w:spacing w:after="0" w:before="0"/>
            </w:pPr>
            <w:r>
              <w:rPr>
                <w:sz w:val="14"/>
              </w:rPr>
              <w:t>S</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A/E</w:t>
            </w:r>
          </w:p>
        </w:tc>
        <w:tc>
          <w:tcPr>
            <w:tcW w:type="dxa" w:w="1181"/>
            <w:vAlign w:val="top"/>
            <w:tcMar>
              <w:top w:w="70" w:type="dxa"/>
              <w:start w:w="80" w:type="dxa"/>
              <w:bottom w:w="70" w:type="dxa"/>
              <w:end w:w="80" w:type="dxa"/>
            </w:tcMar>
          </w:tcPr>
          <w:p>
            <w:pPr>
              <w:spacing w:after="0" w:before="0"/>
            </w:pPr>
            <w:r>
              <w:rPr>
                <w:sz w:val="14"/>
              </w:rPr>
              <w:t>A/E</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r>
      <w:tr>
        <w:tc>
          <w:tcPr>
            <w:tcW w:type="dxa" w:w="2160"/>
            <w:vAlign w:val="top"/>
            <w:tcMar>
              <w:top w:w="70" w:type="dxa"/>
              <w:start w:w="80" w:type="dxa"/>
              <w:bottom w:w="70" w:type="dxa"/>
              <w:end w:w="80" w:type="dxa"/>
            </w:tcMar>
            <w:shd w:fill="F4F6F8"/>
          </w:tcPr>
          <w:p>
            <w:pPr>
              <w:spacing w:after="0" w:before="0"/>
            </w:pPr>
            <w:r>
              <w:rPr>
                <w:b/>
                <w:sz w:val="14"/>
              </w:rPr>
              <w:t>Test rides</w:t>
            </w:r>
          </w:p>
        </w:tc>
        <w:tc>
          <w:tcPr>
            <w:tcW w:type="dxa" w:w="1181"/>
            <w:vAlign w:val="top"/>
            <w:tcMar>
              <w:top w:w="70" w:type="dxa"/>
              <w:start w:w="80" w:type="dxa"/>
              <w:bottom w:w="70" w:type="dxa"/>
              <w:end w:w="80" w:type="dxa"/>
            </w:tcMar>
            <w:shd w:fill="F4F6F8"/>
          </w:tcPr>
          <w:p>
            <w:pPr>
              <w:spacing w:after="0" w:before="0"/>
            </w:pPr>
            <w:r>
              <w:rPr>
                <w:sz w:val="14"/>
              </w:rPr>
              <w:t>S</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V/M</w:t>
            </w:r>
          </w:p>
        </w:tc>
        <w:tc>
          <w:tcPr>
            <w:tcW w:type="dxa" w:w="1181"/>
            <w:vAlign w:val="top"/>
            <w:tcMar>
              <w:top w:w="70" w:type="dxa"/>
              <w:start w:w="80" w:type="dxa"/>
              <w:bottom w:w="70" w:type="dxa"/>
              <w:end w:w="80" w:type="dxa"/>
            </w:tcMar>
            <w:shd w:fill="F4F6F8"/>
          </w:tcPr>
          <w:p>
            <w:pPr>
              <w:spacing w:after="0" w:before="0"/>
            </w:pPr>
            <w:r>
              <w:rPr>
                <w:sz w:val="14"/>
              </w:rPr>
              <w:t>V/M</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C/E</w:t>
            </w:r>
          </w:p>
        </w:tc>
        <w:tc>
          <w:tcPr>
            <w:tcW w:type="dxa" w:w="1181"/>
            <w:vAlign w:val="top"/>
            <w:tcMar>
              <w:top w:w="70" w:type="dxa"/>
              <w:start w:w="80" w:type="dxa"/>
              <w:bottom w:w="70" w:type="dxa"/>
              <w:end w:w="80" w:type="dxa"/>
            </w:tcMar>
            <w:shd w:fill="F4F6F8"/>
          </w:tcPr>
          <w:p>
            <w:pPr>
              <w:spacing w:after="0" w:before="0"/>
            </w:pPr>
            <w:r>
              <w:rPr>
                <w:sz w:val="14"/>
              </w:rPr>
              <w:t>A/E</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r>
      <w:tr>
        <w:tc>
          <w:tcPr>
            <w:tcW w:type="dxa" w:w="2160"/>
            <w:vAlign w:val="top"/>
            <w:tcMar>
              <w:top w:w="70" w:type="dxa"/>
              <w:start w:w="80" w:type="dxa"/>
              <w:bottom w:w="70" w:type="dxa"/>
              <w:end w:w="80" w:type="dxa"/>
            </w:tcMar>
          </w:tcPr>
          <w:p>
            <w:pPr>
              <w:spacing w:after="0" w:before="0"/>
            </w:pPr>
            <w:r>
              <w:rPr>
                <w:b/>
                <w:sz w:val="14"/>
              </w:rPr>
              <w:t>Inventory</w:t>
            </w:r>
          </w:p>
        </w:tc>
        <w:tc>
          <w:tcPr>
            <w:tcW w:type="dxa" w:w="1181"/>
            <w:vAlign w:val="top"/>
            <w:tcMar>
              <w:top w:w="70" w:type="dxa"/>
              <w:start w:w="80" w:type="dxa"/>
              <w:bottom w:w="70" w:type="dxa"/>
              <w:end w:w="80" w:type="dxa"/>
            </w:tcMar>
          </w:tcPr>
          <w:p>
            <w:pPr>
              <w:spacing w:after="0" w:before="0"/>
            </w:pPr>
            <w:r>
              <w:rPr>
                <w:sz w:val="14"/>
              </w:rPr>
              <w:t>S</w:t>
            </w:r>
          </w:p>
        </w:tc>
        <w:tc>
          <w:tcPr>
            <w:tcW w:type="dxa" w:w="1181"/>
            <w:vAlign w:val="top"/>
            <w:tcMar>
              <w:top w:w="70" w:type="dxa"/>
              <w:start w:w="80" w:type="dxa"/>
              <w:bottom w:w="70" w:type="dxa"/>
              <w:end w:w="80" w:type="dxa"/>
            </w:tcMar>
          </w:tcPr>
          <w:p>
            <w:pPr>
              <w:spacing w:after="0" w:before="0"/>
            </w:pPr>
            <w:r>
              <w:rPr>
                <w:sz w:val="14"/>
              </w:rPr>
              <w:t>M</w:t>
            </w:r>
          </w:p>
        </w:tc>
        <w:tc>
          <w:tcPr>
            <w:tcW w:type="dxa" w:w="1181"/>
            <w:vAlign w:val="top"/>
            <w:tcMar>
              <w:top w:w="70" w:type="dxa"/>
              <w:start w:w="80" w:type="dxa"/>
              <w:bottom w:w="70" w:type="dxa"/>
              <w:end w:w="80" w:type="dxa"/>
            </w:tcMar>
          </w:tcPr>
          <w:p>
            <w:pPr>
              <w:spacing w:after="0" w:before="0"/>
            </w:pPr>
            <w:r>
              <w:rPr>
                <w:sz w:val="14"/>
              </w:rPr>
              <w:t>V/M</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A/E</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r>
      <w:tr>
        <w:tc>
          <w:tcPr>
            <w:tcW w:type="dxa" w:w="2160"/>
            <w:vAlign w:val="top"/>
            <w:tcMar>
              <w:top w:w="70" w:type="dxa"/>
              <w:start w:w="80" w:type="dxa"/>
              <w:bottom w:w="70" w:type="dxa"/>
              <w:end w:w="80" w:type="dxa"/>
            </w:tcMar>
            <w:shd w:fill="F4F6F8"/>
          </w:tcPr>
          <w:p>
            <w:pPr>
              <w:spacing w:after="0" w:before="0"/>
            </w:pPr>
            <w:r>
              <w:rPr>
                <w:b/>
                <w:sz w:val="14"/>
              </w:rPr>
              <w:t>Bookings</w:t>
            </w:r>
          </w:p>
        </w:tc>
        <w:tc>
          <w:tcPr>
            <w:tcW w:type="dxa" w:w="1181"/>
            <w:vAlign w:val="top"/>
            <w:tcMar>
              <w:top w:w="70" w:type="dxa"/>
              <w:start w:w="80" w:type="dxa"/>
              <w:bottom w:w="70" w:type="dxa"/>
              <w:end w:w="80" w:type="dxa"/>
            </w:tcMar>
            <w:shd w:fill="F4F6F8"/>
          </w:tcPr>
          <w:p>
            <w:pPr>
              <w:spacing w:after="0" w:before="0"/>
            </w:pPr>
            <w:r>
              <w:rPr>
                <w:sz w:val="14"/>
              </w:rPr>
              <w:t>S</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V/M</w:t>
            </w:r>
          </w:p>
        </w:tc>
        <w:tc>
          <w:tcPr>
            <w:tcW w:type="dxa" w:w="1181"/>
            <w:vAlign w:val="top"/>
            <w:tcMar>
              <w:top w:w="70" w:type="dxa"/>
              <w:start w:w="80" w:type="dxa"/>
              <w:bottom w:w="70" w:type="dxa"/>
              <w:end w:w="80" w:type="dxa"/>
            </w:tcMar>
            <w:shd w:fill="F4F6F8"/>
          </w:tcPr>
          <w:p>
            <w:pPr>
              <w:spacing w:after="0" w:before="0"/>
            </w:pPr>
            <w:r>
              <w:rPr>
                <w:sz w:val="14"/>
              </w:rPr>
              <w:t>V/M</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C/E</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A/E</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r>
      <w:tr>
        <w:tc>
          <w:tcPr>
            <w:tcW w:type="dxa" w:w="2160"/>
            <w:vAlign w:val="top"/>
            <w:tcMar>
              <w:top w:w="70" w:type="dxa"/>
              <w:start w:w="80" w:type="dxa"/>
              <w:bottom w:w="70" w:type="dxa"/>
              <w:end w:w="80" w:type="dxa"/>
            </w:tcMar>
          </w:tcPr>
          <w:p>
            <w:pPr>
              <w:spacing w:after="0" w:before="0"/>
            </w:pPr>
            <w:r>
              <w:rPr>
                <w:b/>
                <w:sz w:val="14"/>
              </w:rPr>
              <w:t>Payments/finance</w:t>
            </w:r>
          </w:p>
        </w:tc>
        <w:tc>
          <w:tcPr>
            <w:tcW w:type="dxa" w:w="1181"/>
            <w:vAlign w:val="top"/>
            <w:tcMar>
              <w:top w:w="70" w:type="dxa"/>
              <w:start w:w="80" w:type="dxa"/>
              <w:bottom w:w="70" w:type="dxa"/>
              <w:end w:w="80" w:type="dxa"/>
            </w:tcMar>
          </w:tcPr>
          <w:p>
            <w:pPr>
              <w:spacing w:after="0" w:before="0"/>
            </w:pPr>
            <w:r>
              <w:rPr>
                <w:sz w:val="14"/>
              </w:rPr>
              <w:t>S</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V/M</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A/E</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r>
      <w:tr>
        <w:tc>
          <w:tcPr>
            <w:tcW w:type="dxa" w:w="2160"/>
            <w:vAlign w:val="top"/>
            <w:tcMar>
              <w:top w:w="70" w:type="dxa"/>
              <w:start w:w="80" w:type="dxa"/>
              <w:bottom w:w="70" w:type="dxa"/>
              <w:end w:w="80" w:type="dxa"/>
            </w:tcMar>
            <w:shd w:fill="F4F6F8"/>
          </w:tcPr>
          <w:p>
            <w:pPr>
              <w:spacing w:after="0" w:before="0"/>
            </w:pPr>
            <w:r>
              <w:rPr>
                <w:b/>
                <w:sz w:val="14"/>
              </w:rPr>
              <w:t>Delivery</w:t>
            </w:r>
          </w:p>
        </w:tc>
        <w:tc>
          <w:tcPr>
            <w:tcW w:type="dxa" w:w="1181"/>
            <w:vAlign w:val="top"/>
            <w:tcMar>
              <w:top w:w="70" w:type="dxa"/>
              <w:start w:w="80" w:type="dxa"/>
              <w:bottom w:w="70" w:type="dxa"/>
              <w:end w:w="80" w:type="dxa"/>
            </w:tcMar>
            <w:shd w:fill="F4F6F8"/>
          </w:tcPr>
          <w:p>
            <w:pPr>
              <w:spacing w:after="0" w:before="0"/>
            </w:pPr>
            <w:r>
              <w:rPr>
                <w:sz w:val="14"/>
              </w:rPr>
              <w:t>S</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V/M</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A/E</w:t>
            </w:r>
          </w:p>
        </w:tc>
        <w:tc>
          <w:tcPr>
            <w:tcW w:type="dxa" w:w="1181"/>
            <w:vAlign w:val="top"/>
            <w:tcMar>
              <w:top w:w="70" w:type="dxa"/>
              <w:start w:w="80" w:type="dxa"/>
              <w:bottom w:w="70" w:type="dxa"/>
              <w:end w:w="80" w:type="dxa"/>
            </w:tcMar>
            <w:shd w:fill="F4F6F8"/>
          </w:tcPr>
          <w:p>
            <w:pPr>
              <w:spacing w:after="0" w:before="0"/>
            </w:pPr>
            <w:r>
              <w:rPr>
                <w:sz w:val="14"/>
              </w:rPr>
              <w:t>V</w:t>
            </w:r>
          </w:p>
        </w:tc>
      </w:tr>
      <w:tr>
        <w:tc>
          <w:tcPr>
            <w:tcW w:type="dxa" w:w="2160"/>
            <w:vAlign w:val="top"/>
            <w:tcMar>
              <w:top w:w="70" w:type="dxa"/>
              <w:start w:w="80" w:type="dxa"/>
              <w:bottom w:w="70" w:type="dxa"/>
              <w:end w:w="80" w:type="dxa"/>
            </w:tcMar>
          </w:tcPr>
          <w:p>
            <w:pPr>
              <w:spacing w:after="0" w:before="0"/>
            </w:pPr>
            <w:r>
              <w:rPr>
                <w:b/>
                <w:sz w:val="14"/>
              </w:rPr>
              <w:t>Registration/RC</w:t>
            </w:r>
          </w:p>
        </w:tc>
        <w:tc>
          <w:tcPr>
            <w:tcW w:type="dxa" w:w="1181"/>
            <w:vAlign w:val="top"/>
            <w:tcMar>
              <w:top w:w="70" w:type="dxa"/>
              <w:start w:w="80" w:type="dxa"/>
              <w:bottom w:w="70" w:type="dxa"/>
              <w:end w:w="80" w:type="dxa"/>
            </w:tcMar>
          </w:tcPr>
          <w:p>
            <w:pPr>
              <w:spacing w:after="0" w:before="0"/>
            </w:pPr>
            <w:r>
              <w:rPr>
                <w:sz w:val="14"/>
              </w:rPr>
              <w:t>S</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V/M</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A/E</w:t>
            </w:r>
          </w:p>
        </w:tc>
      </w:tr>
      <w:tr>
        <w:tc>
          <w:tcPr>
            <w:tcW w:type="dxa" w:w="2160"/>
            <w:vAlign w:val="top"/>
            <w:tcMar>
              <w:top w:w="70" w:type="dxa"/>
              <w:start w:w="80" w:type="dxa"/>
              <w:bottom w:w="70" w:type="dxa"/>
              <w:end w:w="80" w:type="dxa"/>
            </w:tcMar>
            <w:shd w:fill="F4F6F8"/>
          </w:tcPr>
          <w:p>
            <w:pPr>
              <w:spacing w:after="0" w:before="0"/>
            </w:pPr>
            <w:r>
              <w:rPr>
                <w:b/>
                <w:sz w:val="14"/>
              </w:rPr>
              <w:t>Reports/exports</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r>
      <w:tr>
        <w:tc>
          <w:tcPr>
            <w:tcW w:type="dxa" w:w="2160"/>
            <w:vAlign w:val="top"/>
            <w:tcMar>
              <w:top w:w="70" w:type="dxa"/>
              <w:start w:w="80" w:type="dxa"/>
              <w:bottom w:w="70" w:type="dxa"/>
              <w:end w:w="80" w:type="dxa"/>
            </w:tcMar>
          </w:tcPr>
          <w:p>
            <w:pPr>
              <w:spacing w:after="0" w:before="0"/>
            </w:pPr>
            <w:r>
              <w:rPr>
                <w:b/>
                <w:sz w:val="14"/>
              </w:rPr>
              <w:t>Integrations</w:t>
            </w:r>
          </w:p>
        </w:tc>
        <w:tc>
          <w:tcPr>
            <w:tcW w:type="dxa" w:w="1181"/>
            <w:vAlign w:val="top"/>
            <w:tcMar>
              <w:top w:w="70" w:type="dxa"/>
              <w:start w:w="80" w:type="dxa"/>
              <w:bottom w:w="70" w:type="dxa"/>
              <w:end w:w="80" w:type="dxa"/>
            </w:tcMar>
          </w:tcPr>
          <w:p>
            <w:pPr>
              <w:spacing w:after="0" w:before="0"/>
            </w:pPr>
            <w:r>
              <w:rPr>
                <w:sz w:val="14"/>
              </w:rPr>
              <w:t>M</w:t>
            </w:r>
          </w:p>
        </w:tc>
        <w:tc>
          <w:tcPr>
            <w:tcW w:type="dxa" w:w="1181"/>
            <w:vAlign w:val="top"/>
            <w:tcMar>
              <w:top w:w="70" w:type="dxa"/>
              <w:start w:w="80" w:type="dxa"/>
              <w:bottom w:w="70" w:type="dxa"/>
              <w:end w:w="80" w:type="dxa"/>
            </w:tcMar>
          </w:tcPr>
          <w:p>
            <w:pPr>
              <w:spacing w:after="0" w:before="0"/>
            </w:pPr>
            <w:r>
              <w:rPr>
                <w:sz w:val="14"/>
              </w:rPr>
              <w:t>M</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V</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c>
          <w:tcPr>
            <w:tcW w:type="dxa" w:w="1181"/>
            <w:vAlign w:val="top"/>
            <w:tcMar>
              <w:top w:w="70" w:type="dxa"/>
              <w:start w:w="80" w:type="dxa"/>
              <w:bottom w:w="70" w:type="dxa"/>
              <w:end w:w="80" w:type="dxa"/>
            </w:tcMar>
          </w:tcPr>
          <w:p>
            <w:pPr>
              <w:spacing w:after="0" w:before="0"/>
            </w:pPr>
            <w:r>
              <w:rPr>
                <w:sz w:val="14"/>
              </w:rPr>
              <w:t>–</w:t>
            </w:r>
          </w:p>
        </w:tc>
      </w:tr>
      <w:tr>
        <w:tc>
          <w:tcPr>
            <w:tcW w:type="dxa" w:w="2160"/>
            <w:vAlign w:val="top"/>
            <w:tcMar>
              <w:top w:w="70" w:type="dxa"/>
              <w:start w:w="80" w:type="dxa"/>
              <w:bottom w:w="70" w:type="dxa"/>
              <w:end w:w="80" w:type="dxa"/>
            </w:tcMar>
            <w:shd w:fill="F4F6F8"/>
          </w:tcPr>
          <w:p>
            <w:pPr>
              <w:spacing w:after="0" w:before="0"/>
            </w:pPr>
            <w:r>
              <w:rPr>
                <w:b/>
                <w:sz w:val="14"/>
              </w:rPr>
              <w:t>Audit</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V</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c>
          <w:tcPr>
            <w:tcW w:type="dxa" w:w="1181"/>
            <w:vAlign w:val="top"/>
            <w:tcMar>
              <w:top w:w="70" w:type="dxa"/>
              <w:start w:w="80" w:type="dxa"/>
              <w:bottom w:w="70" w:type="dxa"/>
              <w:end w:w="80" w:type="dxa"/>
            </w:tcMar>
            <w:shd w:fill="F4F6F8"/>
          </w:tcPr>
          <w:p>
            <w:pPr>
              <w:spacing w:after="0" w:before="0"/>
            </w:pPr>
            <w:r>
              <w:rPr>
                <w:sz w:val="14"/>
              </w:rPr>
              <w:t>L</w:t>
            </w:r>
          </w:p>
        </w:tc>
      </w:tr>
    </w:tbl>
    <w:p>
      <w:pPr>
        <w:spacing w:after="0"/>
      </w:pPr>
    </w:p>
    <w:p>
      <w:pPr>
        <w:spacing w:after="100"/>
      </w:pPr>
      <w:r>
        <w:t>Legend: M = manage; S = platform support/health; V = view; A/E = act/edit within scope; C/E = create/edit; H = handoff; L = limited own/assigned view; – = no access. Final permissions are policy-code and tenant/branch/object scoped, not role-name checks alone.</w:t>
      </w:r>
    </w:p>
    <w:p>
      <w:pPr>
        <w:sectPr>
          <w:headerReference w:type="default" r:id="rId45"/>
          <w:footerReference w:type="default" r:id="rId46"/>
          <w:pgSz w:w="16834" w:h="11909" w:orient="landscape"/>
          <w:pgMar w:top="792" w:right="792" w:bottom="792" w:left="792" w:header="720" w:footer="720" w:gutter="0"/>
          <w:cols w:space="720"/>
          <w:docGrid w:linePitch="360"/>
        </w:sectPr>
      </w:pPr>
    </w:p>
    <w:p>
      <w:pPr>
        <w:pStyle w:val="Heading1"/>
        <w:keepNext/>
      </w:pPr>
      <w:r>
        <w:t>Appendix B. Status Codes</w:t>
      </w:r>
    </w:p>
    <w:tbl>
      <w:tblPr>
        <w:tblStyle w:val="TableGrid"/>
        <w:tblW w:type="auto" w:w="0"/>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5018"/>
        <w:gridCol w:w="5018"/>
      </w:tblGrid>
      <w:tr>
        <w:trPr>
          <w:tblHeader w:val="true"/>
        </w:trPr>
        <w:tc>
          <w:tcPr>
            <w:tcW w:type="dxa" w:w="2232"/>
            <w:shd w:fill="123447"/>
            <w:vAlign w:val="center"/>
            <w:tcMar>
              <w:top w:w="70" w:type="dxa"/>
              <w:start w:w="80" w:type="dxa"/>
              <w:bottom w:w="70" w:type="dxa"/>
              <w:end w:w="80" w:type="dxa"/>
            </w:tcMar>
          </w:tcPr>
          <w:p>
            <w:pPr>
              <w:jc w:val="left"/>
            </w:pPr>
            <w:r>
              <w:rPr>
                <w:b/>
                <w:color w:val="FFFFFF"/>
                <w:sz w:val="15"/>
              </w:rPr>
              <w:t>Domain</w:t>
            </w:r>
          </w:p>
        </w:tc>
        <w:tc>
          <w:tcPr>
            <w:tcW w:type="dxa" w:w="7416"/>
            <w:shd w:fill="123447"/>
            <w:vAlign w:val="center"/>
            <w:tcMar>
              <w:top w:w="70" w:type="dxa"/>
              <w:start w:w="80" w:type="dxa"/>
              <w:bottom w:w="70" w:type="dxa"/>
              <w:end w:w="80" w:type="dxa"/>
            </w:tcMar>
          </w:tcPr>
          <w:p>
            <w:pPr>
              <w:jc w:val="left"/>
            </w:pPr>
            <w:r>
              <w:rPr>
                <w:b/>
                <w:color w:val="FFFFFF"/>
                <w:sz w:val="15"/>
              </w:rPr>
              <w:t>Status codes</w:t>
            </w:r>
          </w:p>
        </w:tc>
      </w:tr>
      <w:tr>
        <w:tc>
          <w:tcPr>
            <w:tcW w:type="dxa" w:w="2232"/>
            <w:vAlign w:val="top"/>
            <w:tcMar>
              <w:top w:w="70" w:type="dxa"/>
              <w:start w:w="80" w:type="dxa"/>
              <w:bottom w:w="70" w:type="dxa"/>
              <w:end w:w="80" w:type="dxa"/>
            </w:tcMar>
          </w:tcPr>
          <w:p>
            <w:pPr>
              <w:spacing w:after="0" w:before="0"/>
            </w:pPr>
            <w:r>
              <w:rPr>
                <w:b/>
                <w:sz w:val="15"/>
              </w:rPr>
              <w:t>Lead</w:t>
            </w:r>
          </w:p>
        </w:tc>
        <w:tc>
          <w:tcPr>
            <w:tcW w:type="dxa" w:w="7416"/>
            <w:vAlign w:val="top"/>
            <w:tcMar>
              <w:top w:w="70" w:type="dxa"/>
              <w:start w:w="80" w:type="dxa"/>
              <w:bottom w:w="70" w:type="dxa"/>
              <w:end w:w="80" w:type="dxa"/>
            </w:tcMar>
          </w:tcPr>
          <w:p>
            <w:pPr>
              <w:spacing w:after="0" w:before="0"/>
            </w:pPr>
            <w:r>
              <w:rPr>
                <w:sz w:val="15"/>
              </w:rPr>
              <w:t>NEW, PENDING_REVIEW, CONTACT_ATTEMPT, ACCEPTED, CONTACTED, INTERESTED, FOLLOW_UP, SHOWROOM_VISIT, TEST_RIDE_REQUESTED, TEST_RIDE_BOOKED, TEST_RIDE_COMPLETED, NEGOTIATION, BOOKING_CONFIRMED, REJECTED, LOST, REOPENED.</w:t>
            </w:r>
          </w:p>
        </w:tc>
      </w:tr>
      <w:tr>
        <w:tc>
          <w:tcPr>
            <w:tcW w:type="dxa" w:w="2232"/>
            <w:vAlign w:val="top"/>
            <w:tcMar>
              <w:top w:w="70" w:type="dxa"/>
              <w:start w:w="80" w:type="dxa"/>
              <w:bottom w:w="70" w:type="dxa"/>
              <w:end w:w="80" w:type="dxa"/>
            </w:tcMar>
            <w:shd w:fill="F4F6F8"/>
          </w:tcPr>
          <w:p>
            <w:pPr>
              <w:spacing w:after="0" w:before="0"/>
            </w:pPr>
            <w:r>
              <w:rPr>
                <w:b/>
                <w:sz w:val="15"/>
              </w:rPr>
              <w:t>Test ride</w:t>
            </w:r>
          </w:p>
        </w:tc>
        <w:tc>
          <w:tcPr>
            <w:tcW w:type="dxa" w:w="7416"/>
            <w:vAlign w:val="top"/>
            <w:tcMar>
              <w:top w:w="70" w:type="dxa"/>
              <w:start w:w="80" w:type="dxa"/>
              <w:bottom w:w="70" w:type="dxa"/>
              <w:end w:w="80" w:type="dxa"/>
            </w:tcMar>
            <w:shd w:fill="F4F6F8"/>
          </w:tcPr>
          <w:p>
            <w:pPr>
              <w:spacing w:after="0" w:before="0"/>
            </w:pPr>
            <w:r>
              <w:rPr>
                <w:sz w:val="15"/>
              </w:rPr>
              <w:t>REQUESTED, BOOKED, CUSTOMER_CONFIRMED, EXECUTIVE_ASSIGNED, ACTIVE, COMPLETED, CANCELLED, NO_SHOW.</w:t>
            </w:r>
          </w:p>
        </w:tc>
      </w:tr>
      <w:tr>
        <w:tc>
          <w:tcPr>
            <w:tcW w:type="dxa" w:w="2232"/>
            <w:vAlign w:val="top"/>
            <w:tcMar>
              <w:top w:w="70" w:type="dxa"/>
              <w:start w:w="80" w:type="dxa"/>
              <w:bottom w:w="70" w:type="dxa"/>
              <w:end w:w="80" w:type="dxa"/>
            </w:tcMar>
          </w:tcPr>
          <w:p>
            <w:pPr>
              <w:spacing w:after="0" w:before="0"/>
            </w:pPr>
            <w:r>
              <w:rPr>
                <w:b/>
                <w:sz w:val="15"/>
              </w:rPr>
              <w:t>Inventory</w:t>
            </w:r>
          </w:p>
        </w:tc>
        <w:tc>
          <w:tcPr>
            <w:tcW w:type="dxa" w:w="7416"/>
            <w:vAlign w:val="top"/>
            <w:tcMar>
              <w:top w:w="70" w:type="dxa"/>
              <w:start w:w="80" w:type="dxa"/>
              <w:bottom w:w="70" w:type="dxa"/>
              <w:end w:w="80" w:type="dxa"/>
            </w:tcMar>
          </w:tcPr>
          <w:p>
            <w:pPr>
              <w:spacing w:after="0" w:before="0"/>
            </w:pPr>
            <w:r>
              <w:rPr>
                <w:sz w:val="15"/>
              </w:rPr>
              <w:t>IN_TRANSIT, RECEIVED, AVAILABLE, RESERVED, ALLOCATED, DEMO, BLOCKED, PDI, DELIVERED, TRANSFERRED, RETURNED.</w:t>
            </w:r>
          </w:p>
        </w:tc>
      </w:tr>
      <w:tr>
        <w:tc>
          <w:tcPr>
            <w:tcW w:type="dxa" w:w="2232"/>
            <w:vAlign w:val="top"/>
            <w:tcMar>
              <w:top w:w="70" w:type="dxa"/>
              <w:start w:w="80" w:type="dxa"/>
              <w:bottom w:w="70" w:type="dxa"/>
              <w:end w:w="80" w:type="dxa"/>
            </w:tcMar>
            <w:shd w:fill="F4F6F8"/>
          </w:tcPr>
          <w:p>
            <w:pPr>
              <w:spacing w:after="0" w:before="0"/>
            </w:pPr>
            <w:r>
              <w:rPr>
                <w:b/>
                <w:sz w:val="15"/>
              </w:rPr>
              <w:t>Booking/payment</w:t>
            </w:r>
          </w:p>
        </w:tc>
        <w:tc>
          <w:tcPr>
            <w:tcW w:type="dxa" w:w="7416"/>
            <w:vAlign w:val="top"/>
            <w:tcMar>
              <w:top w:w="70" w:type="dxa"/>
              <w:start w:w="80" w:type="dxa"/>
              <w:bottom w:w="70" w:type="dxa"/>
              <w:end w:w="80" w:type="dxa"/>
            </w:tcMar>
            <w:shd w:fill="F4F6F8"/>
          </w:tcPr>
          <w:p>
            <w:pPr>
              <w:spacing w:after="0" w:before="0"/>
            </w:pPr>
            <w:r>
              <w:rPr>
                <w:sz w:val="15"/>
              </w:rPr>
              <w:t>DRAFT, CONFIRMED, CANCELLED; PAYMENT_PENDING, PARTIAL, COMPLETED; FINANCE_APPLIED, APPROVED, REJECTED, DISBURSED.</w:t>
            </w:r>
          </w:p>
        </w:tc>
      </w:tr>
      <w:tr>
        <w:tc>
          <w:tcPr>
            <w:tcW w:type="dxa" w:w="2232"/>
            <w:vAlign w:val="top"/>
            <w:tcMar>
              <w:top w:w="70" w:type="dxa"/>
              <w:start w:w="80" w:type="dxa"/>
              <w:bottom w:w="70" w:type="dxa"/>
              <w:end w:w="80" w:type="dxa"/>
            </w:tcMar>
          </w:tcPr>
          <w:p>
            <w:pPr>
              <w:spacing w:after="0" w:before="0"/>
            </w:pPr>
            <w:r>
              <w:rPr>
                <w:b/>
                <w:sz w:val="15"/>
              </w:rPr>
              <w:t>Delivery</w:t>
            </w:r>
          </w:p>
        </w:tc>
        <w:tc>
          <w:tcPr>
            <w:tcW w:type="dxa" w:w="7416"/>
            <w:vAlign w:val="top"/>
            <w:tcMar>
              <w:top w:w="70" w:type="dxa"/>
              <w:start w:w="80" w:type="dxa"/>
              <w:bottom w:w="70" w:type="dxa"/>
              <w:end w:w="80" w:type="dxa"/>
            </w:tcMar>
          </w:tcPr>
          <w:p>
            <w:pPr>
              <w:spacing w:after="0" w:before="0"/>
            </w:pPr>
            <w:r>
              <w:rPr>
                <w:sz w:val="15"/>
              </w:rPr>
              <w:t>VEHICLE_PREPARATION, READY_FOR_DELIVERY, SCHEDULED, OUT_FOR_DELIVERY, DELIVERED, DELAYED, FAILED, RESCHEDULED.</w:t>
            </w:r>
          </w:p>
        </w:tc>
      </w:tr>
      <w:tr>
        <w:tc>
          <w:tcPr>
            <w:tcW w:type="dxa" w:w="2232"/>
            <w:vAlign w:val="top"/>
            <w:tcMar>
              <w:top w:w="70" w:type="dxa"/>
              <w:start w:w="80" w:type="dxa"/>
              <w:bottom w:w="70" w:type="dxa"/>
              <w:end w:w="80" w:type="dxa"/>
            </w:tcMar>
            <w:shd w:fill="F4F6F8"/>
          </w:tcPr>
          <w:p>
            <w:pPr>
              <w:spacing w:after="0" w:before="0"/>
            </w:pPr>
            <w:r>
              <w:rPr>
                <w:b/>
                <w:sz w:val="15"/>
              </w:rPr>
              <w:t>Registration</w:t>
            </w:r>
          </w:p>
        </w:tc>
        <w:tc>
          <w:tcPr>
            <w:tcW w:type="dxa" w:w="7416"/>
            <w:vAlign w:val="top"/>
            <w:tcMar>
              <w:top w:w="70" w:type="dxa"/>
              <w:start w:w="80" w:type="dxa"/>
              <w:bottom w:w="70" w:type="dxa"/>
              <w:end w:w="80" w:type="dxa"/>
            </w:tcMar>
            <w:shd w:fill="F4F6F8"/>
          </w:tcPr>
          <w:p>
            <w:pPr>
              <w:spacing w:after="0" w:before="0"/>
            </w:pPr>
            <w:r>
              <w:rPr>
                <w:sz w:val="15"/>
              </w:rPr>
              <w:t>DOCUMENTS_READY, REGISTRATION_STARTED, RTO_SUBMITTED, TR_ALLOTTED, NUMBER_ALLOTTED, RC_PENDING, RC_RECEIVED, RC_SHARED, COLLECTED, CLOSED.</w:t>
            </w:r>
          </w:p>
        </w:tc>
      </w:tr>
      <w:tr>
        <w:tc>
          <w:tcPr>
            <w:tcW w:type="dxa" w:w="2232"/>
            <w:vAlign w:val="top"/>
            <w:tcMar>
              <w:top w:w="70" w:type="dxa"/>
              <w:start w:w="80" w:type="dxa"/>
              <w:bottom w:w="70" w:type="dxa"/>
              <w:end w:w="80" w:type="dxa"/>
            </w:tcMar>
          </w:tcPr>
          <w:p>
            <w:pPr>
              <w:spacing w:after="0" w:before="0"/>
            </w:pPr>
            <w:r>
              <w:rPr>
                <w:b/>
                <w:sz w:val="15"/>
              </w:rPr>
              <w:t>Integration</w:t>
            </w:r>
          </w:p>
        </w:tc>
        <w:tc>
          <w:tcPr>
            <w:tcW w:type="dxa" w:w="7416"/>
            <w:vAlign w:val="top"/>
            <w:tcMar>
              <w:top w:w="70" w:type="dxa"/>
              <w:start w:w="80" w:type="dxa"/>
              <w:bottom w:w="70" w:type="dxa"/>
              <w:end w:w="80" w:type="dxa"/>
            </w:tcMar>
          </w:tcPr>
          <w:p>
            <w:pPr>
              <w:spacing w:after="0" w:before="0"/>
            </w:pPr>
            <w:r>
              <w:rPr>
                <w:sz w:val="15"/>
              </w:rPr>
              <w:t>NOT_CONNECTED, PENDING_APPROVAL, ACTIVE, DEGRADED, ACTION_REQUIRED, SUSPENDED.</w:t>
            </w:r>
          </w:p>
        </w:tc>
      </w:tr>
    </w:tbl>
    <w:p>
      <w:pPr>
        <w:spacing w:after="0"/>
      </w:pPr>
    </w:p>
    <w:p>
      <w:pPr>
        <w:pStyle w:val="Heading1"/>
        <w:keepNext/>
      </w:pPr>
      <w:r>
        <w:t>Appendix C. Phase 2 Backlog</w:t>
      </w:r>
    </w:p>
    <w:p>
      <w:pPr>
        <w:pStyle w:val="ListBullet"/>
        <w:spacing w:after="40"/>
      </w:pPr>
      <w:r>
        <w:t>Full service-centre module: appointment, job card, technician/bay, parts, warranty, invoice integration and feedback.</w:t>
      </w:r>
    </w:p>
    <w:p>
      <w:pPr>
        <w:pStyle w:val="ListBullet"/>
        <w:spacing w:after="40"/>
      </w:pPr>
      <w:r>
        <w:t>Visual workflow builder and no-code automation builder with versioning, approvals and sandbox testing.</w:t>
      </w:r>
    </w:p>
    <w:p>
      <w:pPr>
        <w:pStyle w:val="ListBullet"/>
        <w:spacing w:after="40"/>
      </w:pPr>
      <w:r>
        <w:t>Custom field/form builder and embeddable lead-form/QR tooling.</w:t>
      </w:r>
    </w:p>
    <w:p>
      <w:pPr>
        <w:pStyle w:val="ListBullet"/>
        <w:spacing w:after="40"/>
      </w:pPr>
      <w:r>
        <w:t>Advanced BI/report builder, scheduled reports and source-spend ROI integration.</w:t>
      </w:r>
    </w:p>
    <w:p>
      <w:pPr>
        <w:pStyle w:val="ListBullet"/>
        <w:spacing w:after="40"/>
      </w:pPr>
      <w:r>
        <w:t>AI transcription, summarisation, sentiment, suggested reply, document OCR and lead scoring behind a provider-neutral AI service.</w:t>
      </w:r>
    </w:p>
    <w:p>
      <w:pPr>
        <w:pStyle w:val="ListBullet"/>
        <w:spacing w:after="40"/>
      </w:pPr>
      <w:r>
        <w:t>AI voice agent and credit-based usage ledger only after telephony/provider/legal controls are complete.</w:t>
      </w:r>
    </w:p>
    <w:p>
      <w:pPr>
        <w:pStyle w:val="ListBullet"/>
        <w:spacing w:after="40"/>
      </w:pPr>
      <w:r>
        <w:t>DMS/ERP/OEM/RTO/payment integrations through authorised APIs and contracts.</w:t>
      </w:r>
    </w:p>
    <w:p>
      <w:pPr>
        <w:pStyle w:val="ListBullet"/>
        <w:spacing w:after="40"/>
      </w:pPr>
      <w:r>
        <w:t>Customer portal/mobile app and digital signatures.</w:t>
      </w:r>
    </w:p>
    <w:p>
      <w:pPr>
        <w:pStyle w:val="Heading1"/>
        <w:keepNext/>
      </w:pPr>
      <w:r>
        <w:t>Appendix D. Official Research References</w:t>
      </w:r>
    </w:p>
    <w:p>
      <w:pPr>
        <w:spacing w:after="60"/>
      </w:pPr>
      <w:r>
        <w:rPr>
          <w:b/>
        </w:rPr>
        <w:t xml:space="preserve">R1. shadcn/ui introduction and ownership model: </w:t>
      </w:r>
      <w:hyperlink r:id="rId26">
        <w:r>
          <w:rPr>
            <w:color w:val="0563C1"/>
            <w:u w:val="single"/>
          </w:rPr>
          <w:t>https://ui.shadcn.com/docs</w:t>
        </w:r>
      </w:hyperlink>
    </w:p>
    <w:p>
      <w:pPr>
        <w:spacing w:after="60"/>
      </w:pPr>
      <w:r>
        <w:rPr>
          <w:b/>
        </w:rPr>
        <w:t xml:space="preserve">R2. shadcn/ui Base UI default for new projects (July 2026): </w:t>
      </w:r>
      <w:hyperlink r:id="rId27">
        <w:r>
          <w:rPr>
            <w:color w:val="0563C1"/>
            <w:u w:val="single"/>
          </w:rPr>
          <w:t>https://ui.shadcn.com/docs/changelog/2026-07-base-ui-default</w:t>
        </w:r>
      </w:hyperlink>
    </w:p>
    <w:p>
      <w:pPr>
        <w:spacing w:after="60"/>
      </w:pPr>
      <w:r>
        <w:rPr>
          <w:b/>
        </w:rPr>
        <w:t xml:space="preserve">R3. Google Play target API requirement: </w:t>
      </w:r>
      <w:hyperlink r:id="rId28">
        <w:r>
          <w:rPr>
            <w:color w:val="0563C1"/>
            <w:u w:val="single"/>
          </w:rPr>
          <w:t>https://developer.android.com/google/play/requirements/target-sdk</w:t>
        </w:r>
      </w:hyperlink>
    </w:p>
    <w:p>
      <w:pPr>
        <w:spacing w:after="60"/>
      </w:pPr>
      <w:r>
        <w:rPr>
          <w:b/>
        </w:rPr>
        <w:t xml:space="preserve">R4. Android foreground-service types: </w:t>
      </w:r>
      <w:hyperlink r:id="rId29">
        <w:r>
          <w:rPr>
            <w:color w:val="0563C1"/>
            <w:u w:val="single"/>
          </w:rPr>
          <w:t>https://developer.android.com/about/versions/14/changes/fgs-types-required</w:t>
        </w:r>
      </w:hyperlink>
    </w:p>
    <w:p>
      <w:pPr>
        <w:spacing w:after="60"/>
      </w:pPr>
      <w:r>
        <w:rPr>
          <w:b/>
        </w:rPr>
        <w:t xml:space="preserve">R5. Android location permissions: </w:t>
      </w:r>
      <w:hyperlink r:id="rId30">
        <w:r>
          <w:rPr>
            <w:color w:val="0563C1"/>
            <w:u w:val="single"/>
          </w:rPr>
          <w:t>https://developer.android.com/develop/sensors-and-location/location/permissions</w:t>
        </w:r>
      </w:hyperlink>
    </w:p>
    <w:p>
      <w:pPr>
        <w:spacing w:after="60"/>
      </w:pPr>
      <w:r>
        <w:rPr>
          <w:b/>
        </w:rPr>
        <w:t xml:space="preserve">R6. Expo Location: </w:t>
      </w:r>
      <w:hyperlink r:id="rId31">
        <w:r>
          <w:rPr>
            <w:color w:val="0563C1"/>
            <w:u w:val="single"/>
          </w:rPr>
          <w:t>https://docs.expo.dev/versions/latest/sdk/location/</w:t>
        </w:r>
      </w:hyperlink>
    </w:p>
    <w:p>
      <w:pPr>
        <w:spacing w:after="60"/>
      </w:pPr>
      <w:r>
        <w:rPr>
          <w:b/>
        </w:rPr>
        <w:t xml:space="preserve">R7. Expo permissions: </w:t>
      </w:r>
      <w:hyperlink r:id="rId32">
        <w:r>
          <w:rPr>
            <w:color w:val="0563C1"/>
            <w:u w:val="single"/>
          </w:rPr>
          <w:t>https://docs.expo.dev/guides/permissions/</w:t>
        </w:r>
      </w:hyperlink>
    </w:p>
    <w:p>
      <w:pPr>
        <w:spacing w:after="60"/>
      </w:pPr>
      <w:r>
        <w:rPr>
          <w:b/>
        </w:rPr>
        <w:t xml:space="preserve">R8. WhatsApp Business Platform: </w:t>
      </w:r>
      <w:hyperlink r:id="rId33">
        <w:r>
          <w:rPr>
            <w:color w:val="0563C1"/>
            <w:u w:val="single"/>
          </w:rPr>
          <w:t>https://business.whatsapp.com/products/business-platform</w:t>
        </w:r>
      </w:hyperlink>
    </w:p>
    <w:p>
      <w:pPr>
        <w:spacing w:after="60"/>
      </w:pPr>
      <w:r>
        <w:rPr>
          <w:b/>
        </w:rPr>
        <w:t xml:space="preserve">R9. WhatsApp partner/Tech Provider and Embedded Signup: </w:t>
      </w:r>
      <w:hyperlink r:id="rId34">
        <w:r>
          <w:rPr>
            <w:color w:val="0563C1"/>
            <w:u w:val="single"/>
          </w:rPr>
          <w:t>https://business.whatsapp.com/partners/become-a-partner</w:t>
        </w:r>
      </w:hyperlink>
    </w:p>
    <w:p>
      <w:pPr>
        <w:spacing w:after="60"/>
      </w:pPr>
      <w:r>
        <w:rPr>
          <w:b/>
        </w:rPr>
        <w:t xml:space="preserve">R10. WhatsApp developer hub: </w:t>
      </w:r>
      <w:hyperlink r:id="rId35">
        <w:r>
          <w:rPr>
            <w:color w:val="0563C1"/>
            <w:u w:val="single"/>
          </w:rPr>
          <w:t>https://business.whatsapp.com/developers/developer-hub</w:t>
        </w:r>
      </w:hyperlink>
    </w:p>
    <w:p>
      <w:pPr>
        <w:spacing w:after="60"/>
      </w:pPr>
      <w:r>
        <w:rPr>
          <w:b/>
        </w:rPr>
        <w:t xml:space="preserve">R11. WhatsApp current pricing model overview: </w:t>
      </w:r>
      <w:hyperlink r:id="rId36">
        <w:r>
          <w:rPr>
            <w:color w:val="0563C1"/>
            <w:u w:val="single"/>
          </w:rPr>
          <w:t>https://business.whatsapp.com/products/platform-pricing</w:t>
        </w:r>
      </w:hyperlink>
    </w:p>
    <w:p>
      <w:pPr>
        <w:spacing w:after="60"/>
      </w:pPr>
      <w:r>
        <w:rPr>
          <w:b/>
        </w:rPr>
        <w:t xml:space="preserve">R12. Google Business Profile basic setup/access: </w:t>
      </w:r>
      <w:hyperlink r:id="rId37">
        <w:r>
          <w:rPr>
            <w:color w:val="0563C1"/>
            <w:u w:val="single"/>
          </w:rPr>
          <w:t>https://developers.google.com/my-business/content/basic-setup</w:t>
        </w:r>
      </w:hyperlink>
    </w:p>
    <w:p>
      <w:pPr>
        <w:spacing w:after="60"/>
      </w:pPr>
      <w:r>
        <w:rPr>
          <w:b/>
        </w:rPr>
        <w:t xml:space="preserve">R13. Google Business Profile notification settings: </w:t>
      </w:r>
      <w:hyperlink r:id="rId38">
        <w:r>
          <w:rPr>
            <w:color w:val="0563C1"/>
            <w:u w:val="single"/>
          </w:rPr>
          <w:t>https://developers.google.com/my-business/reference/notifications/rest/v1/NotificationSetting</w:t>
        </w:r>
      </w:hyperlink>
    </w:p>
    <w:p>
      <w:pPr>
        <w:spacing w:after="60"/>
      </w:pPr>
      <w:r>
        <w:rPr>
          <w:b/>
        </w:rPr>
        <w:t xml:space="preserve">R14. Google Business Profile Notifications API: </w:t>
      </w:r>
      <w:hyperlink r:id="rId39">
        <w:r>
          <w:rPr>
            <w:color w:val="0563C1"/>
            <w:u w:val="single"/>
          </w:rPr>
          <w:t>https://developers.google.com/my-business/reference/notifications/rest</w:t>
        </w:r>
      </w:hyperlink>
    </w:p>
    <w:p>
      <w:pPr>
        <w:spacing w:after="60"/>
      </w:pPr>
      <w:r>
        <w:rPr>
          <w:b/>
        </w:rPr>
        <w:t xml:space="preserve">R15. Google Ads lead-form asset/webhook sample: </w:t>
      </w:r>
      <w:hyperlink r:id="rId40">
        <w:r>
          <w:rPr>
            <w:color w:val="0563C1"/>
            <w:u w:val="single"/>
          </w:rPr>
          <w:t>https://developers.google.com/google-ads/api/samples/add-lead-form-asset</w:t>
        </w:r>
      </w:hyperlink>
    </w:p>
    <w:p>
      <w:pPr>
        <w:spacing w:after="60"/>
      </w:pPr>
      <w:r>
        <w:rPr>
          <w:b/>
        </w:rPr>
        <w:t xml:space="preserve">R16. Digital Personal Data Protection Rules, 2025 – MeitY: </w:t>
      </w:r>
      <w:hyperlink r:id="rId41">
        <w:r>
          <w:rPr>
            <w:color w:val="0563C1"/>
            <w:u w:val="single"/>
          </w:rPr>
          <w:t>https://www.meity.gov.in/documents/act-and-policies/digital-personal-data-protection-rules-2025-gDOxUjMtQWa</w:t>
        </w:r>
      </w:hyperlink>
    </w:p>
    <w:p>
      <w:pPr>
        <w:spacing w:after="60"/>
      </w:pPr>
      <w:r>
        <w:rPr>
          <w:b/>
        </w:rPr>
        <w:t xml:space="preserve">R17. TRAI TCCCPR 2018: </w:t>
      </w:r>
      <w:hyperlink r:id="rId42">
        <w:r>
          <w:rPr>
            <w:color w:val="0563C1"/>
            <w:u w:val="single"/>
          </w:rPr>
          <w:t>https://www.trai.gov.in/sites/default/files/2024-09/RegulationUcc19072018.pdf</w:t>
        </w:r>
      </w:hyperlink>
    </w:p>
    <w:p>
      <w:pPr>
        <w:spacing w:after="60"/>
      </w:pPr>
      <w:r>
        <w:rPr>
          <w:b/>
        </w:rPr>
        <w:t xml:space="preserve">R18. TRAI TCCCPR Second Amendment 2025: </w:t>
      </w:r>
      <w:hyperlink r:id="rId43">
        <w:r>
          <w:rPr>
            <w:color w:val="0563C1"/>
            <w:u w:val="single"/>
          </w:rPr>
          <w:t>https://www.trai.gov.in/sites/default/files/2025-02/Regulation_12022025.pdf</w:t>
        </w:r>
      </w:hyperlink>
    </w:p>
    <w:p>
      <w:pPr>
        <w:spacing w:after="60"/>
      </w:pPr>
      <w:r>
        <w:rPr>
          <w:b/>
        </w:rPr>
        <w:t xml:space="preserve">R19. TRAI UCC resources: </w:t>
      </w:r>
      <w:hyperlink r:id="rId44">
        <w:r>
          <w:rPr>
            <w:color w:val="0563C1"/>
            <w:u w:val="single"/>
          </w:rPr>
          <w:t>https://www.trai.gov.in/ucc</w:t>
        </w:r>
      </w:hyperlink>
    </w:p>
    <w:p>
      <w:r>
        <w:rPr>
          <w:rFonts w:ascii="Lato" w:hAnsi="Lato"/>
          <w:color w:val="123447"/>
          <w:sz w:val="17"/>
        </w:rPr>
        <w:t>R20. Google Business Profile API quota limits and approval status: https://developers.google.com/my-business/content/limits</w:t>
      </w:r>
    </w:p>
    <w:p>
      <w:r>
        <w:rPr>
          <w:rFonts w:ascii="Lato" w:hAnsi="Lato"/>
          <w:color w:val="123447"/>
          <w:sz w:val="17"/>
        </w:rPr>
        <w:t>R21. Google Business Profile API policies and end-user authorization: https://developers.google.com/my-business/content/policies</w:t>
      </w:r>
    </w:p>
    <w:p>
      <w:r>
        <w:rPr>
          <w:rFonts w:ascii="Lato" w:hAnsi="Lato"/>
          <w:color w:val="123447"/>
          <w:sz w:val="17"/>
        </w:rPr>
        <w:t>R22. Google Business Profile OAuth requirements: https://developers.google.com/my-business/content/implement-oauth</w:t>
      </w:r>
    </w:p>
    <w:p>
      <w:r>
        <w:rPr>
          <w:rFonts w:ascii="Lato" w:hAnsi="Lato"/>
          <w:color w:val="123447"/>
          <w:sz w:val="17"/>
        </w:rPr>
        <w:t>R23. Digital Personal Data Protection Act, 2023 – MeitY: https://www.meity.gov.in/static/uploads/2024/06/2bf1f0e9f04e6fb4f8fef35e82c42aa5.pdf</w:t>
      </w:r>
    </w:p>
    <w:p>
      <w:r>
        <w:rPr>
          <w:rFonts w:ascii="Lato" w:hAnsi="Lato"/>
          <w:color w:val="123447"/>
          <w:sz w:val="17"/>
        </w:rPr>
        <w:t>R24. DPDP Rules 2025 and official enforcement material – MeitY: https://www.meity.gov.in/documents/act-and-policies/digital-personal-data-protection-rules-2025-gDOxUjMtQWa</w:t>
      </w:r>
    </w:p>
    <w:p>
      <w:pPr>
        <w:spacing w:after="100"/>
      </w:pPr>
      <w:r>
        <w:t>Research checked July 31, 2026. Provider documentation, prices, quotas, target SDK rules and regulatory requirements are changeable; the release checklist must refresh them immediately before production launch.</w:t>
      </w:r>
    </w:p>
    <w:p>
      <w:pPr>
        <w:pStyle w:val="Heading1"/>
        <w:keepNext/>
      </w:pPr>
      <w:r>
        <w:rPr>
          <w:rFonts w:ascii="Lato" w:hAnsi="Lato"/>
          <w:b/>
          <w:color w:val="123447"/>
          <w:sz w:val="36"/>
        </w:rPr>
        <w:t>Appendix E. Source Review and Completeness Note</w:t>
      </w:r>
    </w:p>
    <w:p>
      <w:pPr>
        <w:spacing w:after="100"/>
      </w:pPr>
      <w:r>
        <w:rPr>
          <w:rFonts w:ascii="Lato" w:hAnsi="Lato"/>
          <w:color w:val="123447"/>
          <w:sz w:val="18"/>
        </w:rPr>
        <w:t>This v4.0 document was produced after reviewing the uploaded v2.0 baseline and the completed v3.0 role-flow edition. It preserves the validated role, tenancy, provider-adapter, consent, lifecycle, inventory and shadcn decisions while adding the implementation contracts required for estimation, sprint planning, data migration, analytics, operations and auditable release sign-off.</w:t>
      </w:r>
    </w:p>
    <w:p>
      <w:r>
        <w:rPr>
          <w:rFonts w:ascii="Lato" w:hAnsi="Lato"/>
          <w:color w:val="123447"/>
          <w:sz w:val="18"/>
        </w:rPr>
        <w:t>The v4.0 completeness upgrade adds the state, data, API, screen, migration, analytics, operations, traceability and sign-off contracts required to treat the PRD as the final implementation master baseline. Detailed UI designs, physical database migrations and provider-specific credentials remain controlled implementation artifacts derived from this PRD.</w:t>
      </w:r>
    </w:p>
    <w:sectPr w:rsidR="00FC693F" w:rsidRPr="0006063C" w:rsidSect="00034616">
      <w:headerReference w:type="default" r:id="rId47"/>
      <w:footerReference w:type="default" r:id="rId48"/>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87780"/>
        <w:sz w:val="15"/>
      </w:rPr>
      <w:t>Go Digital Marketing  •  Implementation master baseline  •  July 31,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87780"/>
        <w:sz w:val="15"/>
      </w:rPr>
      <w:t>Go Digital Marketing  •  Implementation master baseline  •  July 31,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87780"/>
        <w:sz w:val="15"/>
      </w:rPr>
      <w:t>Go Digital Marketing  •  Implementation master baseline  •  July 31, 2026</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color w:val="587780"/>
        <w:sz w:val="15"/>
      </w:rPr>
      <w:t>GO DIGITAL AUTOMOBILE CRM  |  TECHNICAL PRD v4.0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color w:val="587780"/>
        <w:sz w:val="15"/>
      </w:rPr>
      <w:t>GO DIGITAL AUTOMOBILE CRM  |  TECHNICAL PRD v4.0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color w:val="587780"/>
        <w:sz w:val="15"/>
      </w:rPr>
      <w:t>GO DIGITAL AUTOMOBILE CRM  |  TECHNICAL PRD v4.0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ato" w:hAnsi="Lato" w:eastAsia="Lat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ato" w:hAnsi="Lato" w:eastAsia="Lato"/>
      <w:b/>
      <w:bCs/>
      <w:color w:val="123447"/>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o" w:hAnsi="Lato" w:eastAsia="Lato"/>
      <w:b/>
      <w:bCs/>
      <w:color w:val="1F6F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ato" w:hAnsi="Lato" w:eastAsia="Lato"/>
      <w:b/>
      <w:bCs/>
      <w:color w:val="2F6B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Lato"/>
      <w:b/>
      <w:color w:val="1234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i/>
      <w:color w:val="5C67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ui.shadcn.com/docs" TargetMode="External"/><Relationship Id="rId27" Type="http://schemas.openxmlformats.org/officeDocument/2006/relationships/hyperlink" Target="https://ui.shadcn.com/docs/changelog/2026-07-base-ui-default" TargetMode="External"/><Relationship Id="rId28" Type="http://schemas.openxmlformats.org/officeDocument/2006/relationships/hyperlink" Target="https://developer.android.com/google/play/requirements/target-sdk" TargetMode="External"/><Relationship Id="rId29" Type="http://schemas.openxmlformats.org/officeDocument/2006/relationships/hyperlink" Target="https://developer.android.com/about/versions/14/changes/fgs-types-required" TargetMode="External"/><Relationship Id="rId30" Type="http://schemas.openxmlformats.org/officeDocument/2006/relationships/hyperlink" Target="https://developer.android.com/develop/sensors-and-location/location/permissions" TargetMode="External"/><Relationship Id="rId31" Type="http://schemas.openxmlformats.org/officeDocument/2006/relationships/hyperlink" Target="https://docs.expo.dev/versions/latest/sdk/location/" TargetMode="External"/><Relationship Id="rId32" Type="http://schemas.openxmlformats.org/officeDocument/2006/relationships/hyperlink" Target="https://docs.expo.dev/guides/permissions/" TargetMode="External"/><Relationship Id="rId33" Type="http://schemas.openxmlformats.org/officeDocument/2006/relationships/hyperlink" Target="https://business.whatsapp.com/products/business-platform" TargetMode="External"/><Relationship Id="rId34" Type="http://schemas.openxmlformats.org/officeDocument/2006/relationships/hyperlink" Target="https://business.whatsapp.com/partners/become-a-partner" TargetMode="External"/><Relationship Id="rId35" Type="http://schemas.openxmlformats.org/officeDocument/2006/relationships/hyperlink" Target="https://business.whatsapp.com/developers/developer-hub" TargetMode="External"/><Relationship Id="rId36" Type="http://schemas.openxmlformats.org/officeDocument/2006/relationships/hyperlink" Target="https://business.whatsapp.com/products/platform-pricing" TargetMode="External"/><Relationship Id="rId37" Type="http://schemas.openxmlformats.org/officeDocument/2006/relationships/hyperlink" Target="https://developers.google.com/my-business/content/basic-setup" TargetMode="External"/><Relationship Id="rId38" Type="http://schemas.openxmlformats.org/officeDocument/2006/relationships/hyperlink" Target="https://developers.google.com/my-business/reference/notifications/rest/v1/NotificationSetting" TargetMode="External"/><Relationship Id="rId39" Type="http://schemas.openxmlformats.org/officeDocument/2006/relationships/hyperlink" Target="https://developers.google.com/my-business/reference/notifications/rest" TargetMode="External"/><Relationship Id="rId40" Type="http://schemas.openxmlformats.org/officeDocument/2006/relationships/hyperlink" Target="https://developers.google.com/google-ads/api/samples/add-lead-form-asset" TargetMode="External"/><Relationship Id="rId41" Type="http://schemas.openxmlformats.org/officeDocument/2006/relationships/hyperlink" Target="https://www.meity.gov.in/documents/act-and-policies/digital-personal-data-protection-rules-2025-gDOxUjMtQWa" TargetMode="External"/><Relationship Id="rId42" Type="http://schemas.openxmlformats.org/officeDocument/2006/relationships/hyperlink" Target="https://www.trai.gov.in/sites/default/files/2024-09/RegulationUcc19072018.pdf" TargetMode="External"/><Relationship Id="rId43" Type="http://schemas.openxmlformats.org/officeDocument/2006/relationships/hyperlink" Target="https://www.trai.gov.in/sites/default/files/2025-02/Regulation_12022025.pdf" TargetMode="External"/><Relationship Id="rId44" Type="http://schemas.openxmlformats.org/officeDocument/2006/relationships/hyperlink" Target="https://www.trai.gov.in/ucc" TargetMode="External"/><Relationship Id="rId45" Type="http://schemas.openxmlformats.org/officeDocument/2006/relationships/header" Target="header2.xml"/><Relationship Id="rId46" Type="http://schemas.openxmlformats.org/officeDocument/2006/relationships/footer" Target="footer2.xml"/><Relationship Id="rId47" Type="http://schemas.openxmlformats.org/officeDocument/2006/relationships/header" Target="header3.xml"/><Relationship Id="rId48" Type="http://schemas.openxmlformats.org/officeDocument/2006/relationships/footer" Target="footer3.xml"/><Relationship Id="rId49" Type="http://schemas.openxmlformats.org/officeDocument/2006/relationships/header" Target="header4.xml"/><Relationship Id="rId50" Type="http://schemas.openxmlformats.org/officeDocument/2006/relationships/footer" Target="footer4.xml"/><Relationship Id="rId51" Type="http://schemas.openxmlformats.org/officeDocument/2006/relationships/image" Target="media/image16.png"/><Relationship Id="rId5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Digital Automobile CRM – Final Technical PRD v4.0</dc:title>
  <dc:subject>10/10 implementation master baseline for multi-tenant automobile dealership CRM</dc:subject>
  <dc:creator>Go Digital Marketing</dc:creator>
  <cp:keywords>Automobile CRM, PRD, Next.js, NestJS, React Native, shadcn, WhatsApp, Google Business Profile, multi-tenant</cp:keywords>
  <dc:description>Implementation master baseline prepared July 31, 2026.</dc:description>
  <cp:lastModifiedBy/>
  <cp:revision>1</cp:revision>
  <dcterms:created xsi:type="dcterms:W3CDTF">2013-12-23T23:15:00Z</dcterms:created>
  <dcterms:modified xsi:type="dcterms:W3CDTF">2013-12-23T23:15:00Z</dcterms:modified>
  <cp:category/>
</cp:coreProperties>
</file>