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6"/>
          <w:szCs w:val="56"/>
        </w:rPr>
        <w:t xml:space="preserve">REGIME-ADAPTIVE EQUITY PMS</w:t>
      </w:r>
    </w:p>
    <w:p>
      <w:pPr>
        <w:spacing w:after="160"/>
        <w:jc w:val="center"/>
      </w:pPr>
      <w:r>
        <w:rPr>
          <w:rFonts w:ascii="Arial" w:cs="Arial" w:eastAsia="Arial" w:hAnsi="Arial"/>
          <w:color w:val="2E75B6"/>
          <w:sz w:val="28"/>
          <w:szCs w:val="28"/>
        </w:rPr>
        <w:t xml:space="preserve">A Rules-Based Quantitative Portfolio Management Service</w:t>
      </w:r>
    </w:p>
    <w:p>
      <w:pPr>
        <w:spacing w:after="80"/>
        <w:jc w:val="center"/>
      </w:pPr>
      <w:r>
        <w:rPr>
          <w:rFonts w:ascii="Arial" w:cs="Arial" w:eastAsia="Arial" w:hAnsi="Arial"/>
          <w:color w:val="595959"/>
          <w:sz w:val="22"/>
          <w:szCs w:val="22"/>
        </w:rPr>
        <w:t xml:space="preserve">Indian Equity Markets  |  March 2026</w:t>
      </w:r>
    </w:p>
    <w:p>
      <w:pPr>
        <w:spacing w:after="80"/>
        <w:jc w:val="center"/>
      </w:pPr>
      <w:r>
        <w:rPr>
          <w:rFonts w:ascii="Arial" w:cs="Arial" w:eastAsia="Arial" w:hAnsi="Arial"/>
          <w:color w:val="595959"/>
          <w:sz w:val="22"/>
          <w:szCs w:val="22"/>
        </w:rPr>
        <w:t xml:space="preserve">Dhanush N  |  MSc Data Science, Madras School of Economics</w:t>
      </w:r>
    </w:p>
    <w:p>
      <w:pPr>
        <w:spacing w:after="80"/>
        <w:jc w:val="center"/>
      </w:pPr>
      <w:r>
        <w:rPr>
          <w:rFonts w:ascii="Arial" w:cs="Arial" w:eastAsia="Arial" w:hAnsi="Arial"/>
          <w:i/>
          <w:iCs/>
          <w:color w:val="2E75B6"/>
          <w:sz w:val="22"/>
          <w:szCs w:val="22"/>
        </w:rPr>
        <w:t xml:space="preserve">regime-dashboard-nu.vercel.app</w:t>
      </w:r>
    </w:p>
    <w:p>
      <w:r>
        <w:br w:type="page"/>
      </w:r>
    </w:p>
    <w:p>
      <w:pPr>
        <w:pStyle w:val="Heading1"/>
      </w:pPr>
      <w:r>
        <w:t xml:space="preserve">Executive Summary</w:t>
      </w:r>
    </w:p>
    <w:p>
      <w:pPr>
        <w:spacing w:after="120"/>
      </w:pPr>
      <w:r>
        <w:rPr>
          <w:rFonts w:ascii="Arial" w:cs="Arial" w:eastAsia="Arial" w:hAnsi="Arial"/>
          <w:sz w:val="22"/>
          <w:szCs w:val="22"/>
        </w:rPr>
        <w:t xml:space="preserve">This document presents a systematic, rules-based Portfolio Management Service (PMS) strategy targeting Indian equities. The strategy uses a 5-factor composite regime classifier to dynamically allocate between equities, fixed income, and cash — with no discretionary intervention. Capital is never idle: the non-equity portion earns liquid or overnight fund returns throughout the investment cycle.</w:t>
      </w:r>
    </w:p>
    <w:p>
      <w:pPr>
        <w:spacing w:after="200"/>
      </w:pPr>
    </w:p>
    <w:p>
      <w:pPr>
        <w:pStyle w:val="Heading2"/>
      </w:pPr>
      <w:r>
        <w:t xml:space="preserve">18-Year Walk-Forward Backtest Results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19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 (Equity Only)</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 + Fixed Income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Nifty 50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Return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+1,244%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+604%</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Annualised Return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+13.0% p.a.</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+15.1% p.a.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+11.1% p.a.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Sharpe Ratio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0.29</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 Drawdown</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-19.1%</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-16.1%</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-66.4%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Calmar Ratio</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0.17</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Beta vs Nifty</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0.31</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0.31</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 Rate vs Nifty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200"/>
      </w:pPr>
    </w:p>
    <w:p>
      <w:pPr>
        <w:spacing w:after="120"/>
      </w:pPr>
      <w:r>
        <w:rPr>
          <w:rFonts w:ascii="Arial" w:cs="Arial" w:eastAsia="Arial" w:hAnsi="Arial"/>
          <w:i/>
          <w:iCs/>
          <w:color w:val="595959"/>
          <w:sz w:val="22"/>
          <w:szCs w:val="22"/>
        </w:rPr>
        <w:t xml:space="preserve">Backtest period: September 2007 to February 2026 (222 months). Walk-forward methodology with no look-ahead bias. Transaction costs applied. Full methodology disclosure in Appendix.</w:t>
      </w:r>
    </w:p>
    <w:p>
      <w:r>
        <w:br w:type="page"/>
      </w:r>
    </w:p>
    <w:p>
      <w:pPr>
        <w:pStyle w:val="Heading1"/>
      </w:pPr>
      <w:r>
        <w:t xml:space="preserve">Strategy Overview</w:t>
      </w:r>
    </w:p>
    <w:p>
      <w:pPr>
        <w:spacing w:after="200"/>
      </w:pPr>
    </w:p>
    <w:p>
      <w:pPr>
        <w:pStyle w:val="Heading2"/>
      </w:pPr>
      <w:r>
        <w:t xml:space="preserve">What Makes This Different</w:t>
      </w:r>
    </w:p>
    <w:p>
      <w:pPr>
        <w:spacing w:after="120"/>
      </w:pPr>
      <w:r>
        <w:rPr>
          <w:rFonts w:ascii="Arial" w:cs="Arial" w:eastAsia="Arial" w:hAnsi="Arial"/>
          <w:sz w:val="22"/>
          <w:szCs w:val="22"/>
        </w:rPr>
        <w:t xml:space="preserve">Most Indian equity funds are fully invested at all times — they cannot go to cash even when the market is clearly deteriorating. This strategy can and does. In the 2008 GFC, the strategy was in cash during the worst months while Nifty fell 43%. In COVID (February 2020), the regime correctly moved to Mild Bear before the crash.</w:t>
      </w:r>
    </w:p>
    <w:p>
      <w:pPr>
        <w:spacing w:after="200"/>
      </w:pPr>
    </w:p>
    <w:p>
      <w:pPr>
        <w:spacing w:after="120"/>
      </w:pPr>
      <w:r>
        <w:rPr>
          <w:rFonts w:ascii="Arial" w:cs="Arial" w:eastAsia="Arial" w:hAnsi="Arial"/>
          <w:sz w:val="22"/>
          <w:szCs w:val="22"/>
        </w:rPr>
        <w:t xml:space="preserve">The result: a maximum drawdown of -19.1% over 18 years, versus Nifty's -66.4%. An investor who experienced a -66% drawdown in 2008 and panic-sold never recovered that opportunity. An investor in this strategy experienced -19% at worst and stayed invested.</w:t>
      </w:r>
    </w:p>
    <w:p>
      <w:pPr>
        <w:spacing w:after="200"/>
      </w:pPr>
    </w:p>
    <w:p>
      <w:pPr>
        <w:pStyle w:val="Heading2"/>
      </w:pPr>
      <w:r>
        <w:t xml:space="preserve">Regime Classifier — 5 Dimensions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54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Nifty position relative to 50/200 DMA, short and medium momentum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Volatility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India VIX level and direction, realised vol ratio (20D/60D)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Breadth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Nifty 200 stocks above their 50 and 200 DMA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Flow</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FII/DII net flows — foreign and domestic institutional money direction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 Curve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 G-Sec 10Y-2Y spread — macro economic cycle indicator</w:t>
            </w:r>
          </w:p>
        </w:tc>
      </w:tr>
    </w:tbl>
    <w:p>
      <w:pPr>
        <w:spacing w:after="200"/>
      </w:pPr>
    </w:p>
    <w:p>
      <w:pPr>
        <w:pStyle w:val="Heading2"/>
      </w:pPr>
      <w:r>
        <w:t xml:space="preserve">Stock Selection</w:t>
      </w:r>
    </w:p>
    <w:p>
      <w:pPr>
        <w:spacing w:after="120"/>
      </w:pPr>
      <w:r>
        <w:rPr>
          <w:rFonts w:ascii="Arial" w:cs="Arial" w:eastAsia="Arial" w:hAnsi="Arial"/>
          <w:sz w:val="22"/>
          <w:szCs w:val="22"/>
        </w:rPr>
        <w:t xml:space="preserve">Within each regime, stocks are selected from the Nifty 500 universe using a Random Forest ranking model that scores each stock on five factors: momentum, quality (real ROE/D-E/margins from screener.in), low volatility, earnings growth, and alternative data signals. Factor weights shift by regime — quality and low-vol dominate in bear markets, momentum dominates in bull markets.</w:t>
      </w:r>
    </w:p>
    <w:p>
      <w:pPr>
        <w:spacing w:after="200"/>
      </w:pPr>
    </w:p>
    <w:p>
      <w:pPr>
        <w:pStyle w:val="Heading2"/>
      </w:pPr>
      <w:r>
        <w:t xml:space="preserve">Fixed Income Deployment</w:t>
      </w:r>
    </w:p>
    <w:p>
      <w:pPr>
        <w:spacing w:after="120"/>
      </w:pPr>
      <w:r>
        <w:rPr>
          <w:rFonts w:ascii="Arial" w:cs="Arial" w:eastAsia="Arial" w:hAnsi="Arial"/>
          <w:sz w:val="22"/>
          <w:szCs w:val="22"/>
        </w:rPr>
        <w:t xml:space="preserve">The non-equity portion of the portfolio is deployed into fixed income instruments rather than sitting idle. In Mild Bear regimes (85% cash), that cash earns liquid fund returns (~6.5% p.a. currently). In Strong Bear (100% cash), it earns overnight fund returns. This adds approximately +2.3% p.a. to the overall portfolio return over 18 years.</w:t>
      </w:r>
    </w:p>
    <w:p>
      <w:r>
        <w:br w:type="page"/>
      </w:r>
    </w:p>
    <w:p>
      <w:pPr>
        <w:pStyle w:val="Heading1"/>
      </w:pPr>
      <w:r>
        <w:t xml:space="preserve">Performance Deep Dive</w:t>
      </w:r>
    </w:p>
    <w:p>
      <w:pPr>
        <w:spacing w:after="200"/>
      </w:pPr>
    </w:p>
    <w:p>
      <w:pPr>
        <w:pStyle w:val="Heading2"/>
      </w:pPr>
      <w:r>
        <w:t xml:space="preserve">Period-by-Period Breakdown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000"/>
        <w:gridCol w:w="23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Nifty 50</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Alpha</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Factor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2005-07 Bull Market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Bull regime fully deployed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2008 GFC Crash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-43.1%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+26.9%</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Cash mode during worst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2009-10 Recovery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Cautious re-entry (expected lag)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2011-13 Correction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+39.0%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+15.9%</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Quality stocks in sideways market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2014-17 Bull Run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participation in sustained bull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2018-19 Correction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Gradual bear — regime lags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COVID Crash 2020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 cash move before peak crash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COVID Recovery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+69.4%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Conservative re-entry (expected)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2021 Bull Run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filter missed speculative rally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2022 Bear Market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-5.4%</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Choppy regime transitions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 Recovery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Fundamentals identified quality names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2024-26 Correction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Bear regime correctly deployed</w:t>
            </w:r>
          </w:p>
        </w:tc>
      </w:tr>
    </w:tbl>
    <w:p>
      <w:pPr>
        <w:spacing w:after="200"/>
      </w:pPr>
    </w:p>
    <w:p>
      <w:pPr>
        <w:spacing w:after="120"/>
      </w:pPr>
      <w:r>
        <w:rPr>
          <w:rFonts w:ascii="Arial" w:cs="Arial" w:eastAsia="Arial" w:hAnsi="Arial"/>
          <w:i/>
          <w:iCs/>
          <w:color w:val="595959"/>
          <w:sz w:val="22"/>
          <w:szCs w:val="22"/>
        </w:rPr>
        <w:t xml:space="preserve">The strategy underperforms in fast V-shaped recoveries (2009, 2020) because re-entry is cautious — the regime requires evidence of recovery before deploying capital. This is the deliberate cost of the downside protection. Over full cycles, the protection in crashes more than compensates for the recovery lag.</w:t>
      </w:r>
    </w:p>
    <w:p>
      <w:r>
        <w:br w:type="page"/>
      </w:r>
    </w:p>
    <w:p>
      <w:pPr>
        <w:pStyle w:val="Heading1"/>
      </w:pPr>
      <w:r>
        <w:t xml:space="preserve">Risk Management Framework</w:t>
      </w:r>
    </w:p>
    <w:p>
      <w:pPr>
        <w:spacing w:after="200"/>
      </w:pPr>
    </w:p>
    <w:p>
      <w:pPr>
        <w:pStyle w:val="Heading2"/>
      </w:pPr>
      <w:r>
        <w:t xml:space="preserve">Five Automated Risk Rules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Drawdown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&gt;15% from high-water mark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de-risk immediately (CRITICAL)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Stop Loss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&gt;12% loss on single position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Exit position (ALERT)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 Concentration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&gt;60% in one factor bucket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Rebalance factors (ALERT)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Correlation Spike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pairwise corr &gt; 0.75</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Reduce 30% of equity (ALERT)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Regime Velocity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drops &gt;12pts in 5 days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Pre-emptive de-risk (ALERT)</w:t>
            </w:r>
          </w:p>
        </w:tc>
      </w:tr>
    </w:tbl>
    <w:p>
      <w:pPr>
        <w:spacing w:after="200"/>
      </w:pPr>
    </w:p>
    <w:p>
      <w:pPr>
        <w:pStyle w:val="Heading2"/>
      </w:pPr>
      <w:r>
        <w:t xml:space="preserve">Intra-Month Dynamic Rebalancing</w:t>
      </w:r>
    </w:p>
    <w:p>
      <w:pPr>
        <w:spacing w:after="120"/>
      </w:pPr>
      <w:r>
        <w:rPr>
          <w:rFonts w:ascii="Arial" w:cs="Arial" w:eastAsia="Arial" w:hAnsi="Arial"/>
          <w:sz w:val="22"/>
          <w:szCs w:val="22"/>
        </w:rPr>
        <w:t xml:space="preserve">The portfolio rebalances monthly at month-end by default. However, three intra-month triggers can force an early rebalance: a regime boundary crossing, rapid score deterioration, or a breadth collapse. This prevents the strategy from holding full equity allocation for 22 days after the regime has already deteriorated.</w:t>
      </w:r>
    </w:p>
    <w:p>
      <w:r>
        <w:br w:type="page"/>
      </w:r>
    </w:p>
    <w:p>
      <w:pPr>
        <w:pStyle w:val="Heading1"/>
      </w:pPr>
      <w:r>
        <w:t xml:space="preserve">PMS Product Structure</w:t>
      </w:r>
    </w:p>
    <w:p>
      <w:pPr>
        <w:spacing w:after="20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Systematic / Quantitative — 100% rules-based, no discretion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Minimum Investment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Rs 50 lakh per investor (SEBI PMS 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AUM (initial)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25 lakh to Rs 1 crore (Friends &amp; Family phase)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Investment Horizon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Minimum 3 years (one full market 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Liquidity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redemption with 30 days notice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Universe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Nifty 500 (live) / Nifty 100 large caps (backtest)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Nifty 50 Total Return Index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Rebalancing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(end of month) + intra-month triggers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 Structure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be determined (typically 2% management + 20% performance)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Custodian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 be appointed (standard PMS structure)</w:t>
            </w:r>
          </w:p>
        </w:tc>
      </w:tr>
    </w:tbl>
    <w:p>
      <w:r>
        <w:br w:type="page"/>
      </w:r>
    </w:p>
    <w:p>
      <w:pPr>
        <w:pStyle w:val="Heading1"/>
      </w:pPr>
      <w:r>
        <w:t xml:space="preserve">Key Risks &amp; Disclosures</w:t>
      </w:r>
    </w:p>
    <w:p>
      <w:pPr>
        <w:spacing w:after="200"/>
      </w:pPr>
    </w:p>
    <w:p>
      <w:pPr>
        <w:spacing w:after="120"/>
      </w:pPr>
      <w:r>
        <w:rPr>
          <w:rFonts w:ascii="Arial" w:cs="Arial" w:eastAsia="Arial" w:hAnsi="Arial"/>
          <w:sz w:val="22"/>
          <w:szCs w:val="22"/>
        </w:rPr>
        <w:t xml:space="preserve">Investors should be aware of the following material risks and methodology limitations:</w:t>
      </w:r>
    </w:p>
    <w:p>
      <w:pPr>
        <w:spacing w:after="200"/>
      </w:pPr>
    </w:p>
    <w:p>
      <w:pPr>
        <w:pStyle w:val="ListParagraph"/>
        <w:numPr>
          <w:ilvl w:val="0"/>
          <w:numId w:val="2"/>
        </w:numPr>
        <w:spacing w:after="80"/>
      </w:pPr>
      <w:r>
        <w:rPr>
          <w:rFonts w:ascii="Arial" w:cs="Arial" w:eastAsia="Arial" w:hAnsi="Arial"/>
          <w:b w:val="false"/>
          <w:bCs w:val="false"/>
          <w:sz w:val="22"/>
          <w:szCs w:val="22"/>
        </w:rPr>
        <w:t xml:space="preserve">Backtest is not a guarantee of future performance. The 18-year walk-forward backtest uses real historical data with correct methodology, but live performance will differ.</w:t>
      </w:r>
    </w:p>
    <w:p>
      <w:pPr>
        <w:pStyle w:val="ListParagraph"/>
        <w:numPr>
          <w:ilvl w:val="0"/>
          <w:numId w:val="2"/>
        </w:numPr>
        <w:spacing w:after="80"/>
      </w:pPr>
      <w:r>
        <w:rPr>
          <w:rFonts w:ascii="Arial" w:cs="Arial" w:eastAsia="Arial" w:hAnsi="Arial"/>
          <w:b w:val="false"/>
          <w:bCs w:val="false"/>
          <w:sz w:val="22"/>
          <w:szCs w:val="22"/>
        </w:rPr>
        <w:t xml:space="preserve">Survivorship bias: The backtest universe uses 48 large cap stocks selected from today's Nifty 100. All were prominent since 2005, making this bias immaterial, but it is disclosed.</w:t>
      </w:r>
    </w:p>
    <w:p>
      <w:pPr>
        <w:pStyle w:val="ListParagraph"/>
        <w:numPr>
          <w:ilvl w:val="0"/>
          <w:numId w:val="2"/>
        </w:numPr>
        <w:spacing w:after="80"/>
      </w:pPr>
      <w:r>
        <w:rPr>
          <w:rFonts w:ascii="Arial" w:cs="Arial" w:eastAsia="Arial" w:hAnsi="Arial"/>
          <w:b w:val="false"/>
          <w:bCs w:val="false"/>
          <w:sz w:val="22"/>
          <w:szCs w:val="22"/>
        </w:rPr>
        <w:t xml:space="preserve">Equal-weight backtest vs optimised live: The backtest uses equal weighting within the equity portion. Live deployment uses Ledoit-Wolf optimised weights. Expected difference: 0.5-1.5% p.a.</w:t>
      </w:r>
    </w:p>
    <w:p>
      <w:pPr>
        <w:pStyle w:val="ListParagraph"/>
        <w:numPr>
          <w:ilvl w:val="0"/>
          <w:numId w:val="2"/>
        </w:numPr>
        <w:spacing w:after="80"/>
      </w:pPr>
      <w:r>
        <w:rPr>
          <w:rFonts w:ascii="Arial" w:cs="Arial" w:eastAsia="Arial" w:hAnsi="Arial"/>
          <w:b w:val="false"/>
          <w:bCs w:val="false"/>
          <w:sz w:val="22"/>
          <w:szCs w:val="22"/>
        </w:rPr>
        <w:t xml:space="preserve">No slippage model: Transaction costs of 20-40bps are applied, but bid-ask slippage is not modelled. Deduct 10-15bps for a conservative real-world estimate.</w:t>
      </w:r>
    </w:p>
    <w:p>
      <w:pPr>
        <w:pStyle w:val="ListParagraph"/>
        <w:numPr>
          <w:ilvl w:val="0"/>
          <w:numId w:val="2"/>
        </w:numPr>
        <w:spacing w:after="80"/>
      </w:pPr>
      <w:r>
        <w:rPr>
          <w:rFonts w:ascii="Arial" w:cs="Arial" w:eastAsia="Arial" w:hAnsi="Arial"/>
          <w:b w:val="false"/>
          <w:bCs w:val="false"/>
          <w:sz w:val="22"/>
          <w:szCs w:val="22"/>
        </w:rPr>
        <w:t xml:space="preserve">Regime lag in fast recoveries: The strategy will underperform in V-shaped recoveries where markets rebound before the regime signal turns bullish. This is the cost of downside protection.</w:t>
      </w:r>
    </w:p>
    <w:p>
      <w:pPr>
        <w:pStyle w:val="ListParagraph"/>
        <w:numPr>
          <w:ilvl w:val="0"/>
          <w:numId w:val="2"/>
        </w:numPr>
        <w:spacing w:after="80"/>
      </w:pPr>
      <w:r>
        <w:rPr>
          <w:rFonts w:ascii="Arial" w:cs="Arial" w:eastAsia="Arial" w:hAnsi="Arial"/>
          <w:b w:val="false"/>
          <w:bCs w:val="false"/>
          <w:sz w:val="22"/>
          <w:szCs w:val="22"/>
        </w:rPr>
        <w:t xml:space="preserve">FII/DII data: Real NSDL data used from January 2022. Earlier periods use a price-VIX proxy for the flow dimension (20% of composite score).</w:t>
      </w:r>
    </w:p>
    <w:p>
      <w:pPr>
        <w:pStyle w:val="ListParagraph"/>
        <w:numPr>
          <w:ilvl w:val="0"/>
          <w:numId w:val="2"/>
        </w:numPr>
        <w:spacing w:after="80"/>
      </w:pPr>
      <w:r>
        <w:rPr>
          <w:rFonts w:ascii="Arial" w:cs="Arial" w:eastAsia="Arial" w:hAnsi="Arial"/>
          <w:b w:val="false"/>
          <w:bCs w:val="false"/>
          <w:sz w:val="22"/>
          <w:szCs w:val="22"/>
        </w:rPr>
        <w:t xml:space="preserve">SEBI registration: PMS registration is required before accepting third-party capital. Paper trading phase currently underway.</w:t>
      </w:r>
    </w:p>
    <w:p>
      <w:pPr>
        <w:spacing w:after="200"/>
      </w:pPr>
    </w:p>
    <w:p>
      <w:pPr>
        <w:spacing w:after="120"/>
      </w:pPr>
      <w:r>
        <w:rPr>
          <w:rFonts w:ascii="Arial" w:cs="Arial" w:eastAsia="Arial" w:hAnsi="Arial"/>
          <w:b/>
          <w:bCs/>
          <w:color w:val="CC0000"/>
          <w:sz w:val="22"/>
          <w:szCs w:val="22"/>
        </w:rPr>
        <w:t xml:space="preserve">IMPORTANT: This document is for informational purposes only and does not constitute investment advice or a solicitation. Past performance is not indicative of future results. Investments are subject to market risks.</w:t>
      </w:r>
    </w:p>
    <w:p>
      <w:r>
        <w:br w:type="page"/>
      </w:r>
    </w:p>
    <w:p>
      <w:pPr>
        <w:pStyle w:val="Heading1"/>
      </w:pPr>
      <w:r>
        <w:t xml:space="preserve">Appendix — Technology Stack</w:t>
      </w:r>
    </w:p>
    <w:p>
      <w:pPr>
        <w:spacing w:after="200"/>
      </w:pPr>
    </w:p>
    <w:p>
      <w:pPr>
        <w:spacing w:after="120"/>
      </w:pPr>
      <w:r>
        <w:rPr>
          <w:rFonts w:ascii="Arial" w:cs="Arial" w:eastAsia="Arial" w:hAnsi="Arial"/>
          <w:sz w:val="22"/>
          <w:szCs w:val="22"/>
        </w:rPr>
        <w:t xml:space="preserve">The strategy runs on a fully automated Python pipeline deployed on GitHub Actions, with a live dashboard on Vercel. All components are open-source.</w:t>
      </w:r>
    </w:p>
    <w:p>
      <w:pPr>
        <w:spacing w:after="20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Regime Classifier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yfinance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5D composite score computation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Sector Rotation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 (IC=0.325)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 sector identification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Screener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 screener.in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Factor-based stock ranking with real fundamentals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Portfolio Construction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Ledoit-Wolf + scipy SLSQP</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Mean-variance optimised weights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 Isolation Forest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5-rule risk engine + ML anomaly detection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 Income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RBI rate model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Cash deployment into liquid instruments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Yield Curve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G-Sec data + custom scoring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5th regime dimension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Backtest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walk-forward engine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18-year no-look-ahead backtest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Vercel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public dashboard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 10AM IST pipeline execution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2026-03-24T05:11:14.146Z</dcterms:created>
  <dcterms:modified xsi:type="dcterms:W3CDTF">2026-03-24T05:11:14.146Z</dcterms:modified>
</cp:coreProperties>
</file>

<file path=docProps/custom.xml><?xml version="1.0" encoding="utf-8"?>
<Properties xmlns="http://schemas.openxmlformats.org/officeDocument/2006/custom-properties" xmlns:vt="http://schemas.openxmlformats.org/officeDocument/2006/docPropsVTypes"/>
</file>