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024"/>
            <w:tcBorders>
              <w:top w:val="single" w:sz="6" w:color="D9D9E0"/>
              <w:left w:val="single" w:sz="6" w:color="D9D9E0"/>
              <w:bottom w:val="single" w:sz="6" w:color="D9D9E0"/>
              <w:right w:val="single" w:sz="6" w:color="D9D9E0"/>
            </w:tcBorders>
          </w:tcPr>
          <w:p>
            <w:r>
              <w:t>Full name</w:t>
            </w:r>
          </w:p>
        </w:tc>
        <w:tc>
          <w:tcPr>
            <w:tcW w:type="dxa" w:w="6624"/>
            <w:tcBorders>
              <w:top w:val="single" w:sz="6" w:color="D9D9E0"/>
              <w:left w:val="single" w:sz="6" w:color="D9D9E0"/>
              <w:bottom w:val="single" w:sz="6" w:color="D9D9E0"/>
              <w:right w:val="single" w:sz="6" w:color="D9D9E0"/>
            </w:tcBorders>
          </w:tcPr>
          <w:p>
            <w:r>
              <w:t>Dhanush Varanasi</w:t>
            </w:r>
          </w:p>
        </w:tc>
      </w:tr>
      <w:tr>
        <w:tc>
          <w:tcPr>
            <w:tcW w:type="dxa" w:w="3024"/>
            <w:tcBorders>
              <w:top w:val="single" w:sz="6" w:color="D9D9E0"/>
              <w:left w:val="single" w:sz="6" w:color="D9D9E0"/>
              <w:bottom w:val="single" w:sz="6" w:color="D9D9E0"/>
              <w:right w:val="single" w:sz="6" w:color="D9D9E0"/>
            </w:tcBorders>
            <w:shd w:val="clear" w:fill="F4F4F7"/>
          </w:tcPr>
          <w:p>
            <w:r>
              <w:t>Project start date</w:t>
            </w:r>
          </w:p>
        </w:tc>
        <w:tc>
          <w:tcPr>
            <w:tcW w:type="dxa" w:w="6624"/>
            <w:tcBorders>
              <w:top w:val="single" w:sz="6" w:color="D9D9E0"/>
              <w:left w:val="single" w:sz="6" w:color="D9D9E0"/>
              <w:bottom w:val="single" w:sz="6" w:color="D9D9E0"/>
              <w:right w:val="single" w:sz="6" w:color="D9D9E0"/>
            </w:tcBorders>
            <w:shd w:val="clear" w:fill="F4F4F7"/>
          </w:tcPr>
          <w:p>
            <w:r>
              <w:t>2026-09-16 for repository work (all commits and tool history start around 13:15 UTC that day).</w:t>
            </w:r>
          </w:p>
        </w:tc>
      </w:tr>
      <w:tr>
        <w:tc>
          <w:tcPr>
            <w:tcW w:type="dxa" w:w="3024"/>
            <w:tcBorders>
              <w:top w:val="single" w:sz="6" w:color="D9D9E0"/>
              <w:left w:val="single" w:sz="6" w:color="D9D9E0"/>
              <w:bottom w:val="single" w:sz="6" w:color="D9D9E0"/>
              <w:right w:val="single" w:sz="6" w:color="D9D9E0"/>
            </w:tcBorders>
          </w:tcPr>
          <w:p>
            <w:r>
              <w:t>Target submission date</w:t>
            </w:r>
          </w:p>
        </w:tc>
        <w:tc>
          <w:tcPr>
            <w:tcW w:type="dxa" w:w="6624"/>
            <w:tcBorders>
              <w:top w:val="single" w:sz="6" w:color="D9D9E0"/>
              <w:left w:val="single" w:sz="6" w:color="D9D9E0"/>
              <w:bottom w:val="single" w:sz="6" w:color="D9D9E0"/>
              <w:right w:val="single" w:sz="6" w:color="D9D9E0"/>
            </w:tcBorders>
          </w:tcPr>
          <w:p>
            <w:r>
              <w:t>2026-09-20 (the real remaining-time deadline established in the Stage 4 Sprint Plan; the template's printed 13 September is the pack's generic placeholder date, superseded per that workbook's Section 1)</w:t>
            </w:r>
          </w:p>
        </w:tc>
      </w:tr>
      <w:tr>
        <w:tc>
          <w:tcPr>
            <w:tcW w:type="dxa" w:w="3024"/>
            <w:tcBorders>
              <w:top w:val="single" w:sz="6" w:color="D9D9E0"/>
              <w:left w:val="single" w:sz="6" w:color="D9D9E0"/>
              <w:bottom w:val="single" w:sz="6" w:color="D9D9E0"/>
              <w:right w:val="single" w:sz="6" w:color="D9D9E0"/>
            </w:tcBorders>
            <w:shd w:val="clear" w:fill="F4F4F7"/>
          </w:tcPr>
          <w:p>
            <w:r>
              <w:t>Hours available per week</w:t>
            </w:r>
          </w:p>
        </w:tc>
        <w:tc>
          <w:tcPr>
            <w:tcW w:type="dxa" w:w="6624"/>
            <w:tcBorders>
              <w:top w:val="single" w:sz="6" w:color="D9D9E0"/>
              <w:left w:val="single" w:sz="6" w:color="D9D9E0"/>
              <w:bottom w:val="single" w:sz="6" w:color="D9D9E0"/>
              <w:right w:val="single" w:sz="6" w:color="D9D9E0"/>
            </w:tcBorders>
            <w:shd w:val="clear" w:fill="F4F4F7"/>
          </w:tcPr>
          <w:p>
            <w:r>
              <w:t>Under 10 hours per week (full-time role at EY; evenings and weekends only)</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r>
              <w:t>1. Discovery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2. Requirements</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0.4</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3. Prompt library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4. Sprint plan</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0.3</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5. Build and revision</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9.8</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 This stage covers the core pipeline build, governance doc, both dependency fixes, the Groq model deprecation fix, both evaluation runs, the decision log bug fix, the PRD revision log workbook, the submission-checklist audit, and creating docs/PRD_REVISION_LOG.md. Also covers the LangChain/LangGraph migration to a new branch (StateGraph pipeline, LangChain-wrapped LLM and retrieval clients), the pipeline.py comment pass, the browser demo UI, the architecture-map artifact, and aligning docs/architecture.md, docs/PRD.md, README.md and the dependency files to the migration branch and LangSmith.</w:t>
            </w:r>
          </w:p>
        </w:tc>
      </w:tr>
      <w:tr>
        <w:tc>
          <w:tcPr>
            <w:tcW w:type="dxa" w:w="2448"/>
            <w:tcBorders>
              <w:top w:val="single" w:sz="6" w:color="D9D9E0"/>
              <w:left w:val="single" w:sz="6" w:color="D9D9E0"/>
              <w:bottom w:val="single" w:sz="6" w:color="D9D9E0"/>
              <w:right w:val="single" w:sz="6" w:color="D9D9E0"/>
            </w:tcBorders>
            <w:shd w:val="clear" w:fill="F4F4F7"/>
          </w:tcPr>
          <w:p>
            <w:r>
              <w:t>6. Report, video, packaging</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3.1</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Report drafting is done, all 10 sections, the AI tool use declaration, and a revision incorporating a same-day clean evaluation run. Video recording, final PDF export, and zip packaging have not started; deferred until the report review is finished. Also covers verifying the architecture diagram's metrics, a routing-claim correction, and adding the LangChain/LangGraph/LangSmith section and Figures 2 through 4 to the report.</w:t>
            </w:r>
          </w:p>
        </w:tc>
      </w:tr>
      <w:tr>
        <w:tc>
          <w:tcPr>
            <w:tcW w:type="dxa" w:w="2448"/>
            <w:tcBorders>
              <w:top w:val="single" w:sz="6" w:color="D9D9E0"/>
              <w:left w:val="single" w:sz="6" w:color="D9D9E0"/>
              <w:bottom w:val="single" w:sz="6" w:color="D9D9E0"/>
              <w:right w:val="single" w:sz="6" w:color="D9D9E0"/>
            </w:tcBorders>
          </w:tcPr>
          <w:p>
            <w:r>
              <w:t>Total</w:t>
            </w:r>
          </w:p>
        </w:tc>
        <w:tc>
          <w:tcPr>
            <w:tcW w:type="dxa" w:w="144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t>14.2</w:t>
            </w:r>
          </w:p>
        </w:tc>
        <w:tc>
          <w:tcPr>
            <w:tcW w:type="dxa" w:w="1296"/>
            <w:tcBorders>
              <w:top w:val="single" w:sz="6" w:color="D9D9E0"/>
              <w:left w:val="single" w:sz="6" w:color="D9D9E0"/>
              <w:bottom w:val="single" w:sz="6" w:color="D9D9E0"/>
              <w:right w:val="single" w:sz="6" w:color="D9D9E0"/>
            </w:tcBorders>
          </w:tcPr>
          <w:p>
            <w:r/>
          </w:p>
        </w:tc>
        <w:tc>
          <w:tcPr>
            <w:tcW w:type="dxa" w:w="3024"/>
            <w:tcBorders>
              <w:top w:val="single" w:sz="6" w:color="D9D9E0"/>
              <w:left w:val="single" w:sz="6" w:color="D9D9E0"/>
              <w:bottom w:val="single" w:sz="6" w:color="D9D9E0"/>
              <w:right w:val="single" w:sz="6" w:color="D9D9E0"/>
            </w:tcBorders>
          </w:tcPr>
          <w:p>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Read the capstone pack: project brief, build specification, dataset guide, all five stakeholder interview transcripts, evaluation framework, governance framework, and all five stage workbook templates.</w:t>
            </w:r>
          </w:p>
        </w:tc>
        <w:tc>
          <w:tcPr>
            <w:tcW w:type="dxa" w:w="864"/>
            <w:tcBorders>
              <w:top w:val="single" w:sz="6" w:color="D9D9E0"/>
              <w:left w:val="single" w:sz="6" w:color="D9D9E0"/>
              <w:bottom w:val="single" w:sz="6" w:color="D9D9E0"/>
              <w:right w:val="single" w:sz="6" w:color="D9D9E0"/>
            </w:tcBorders>
          </w:tcPr>
          <w:p>
            <w:r>
              <w:t>1. Discovery</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Understanding of the problem and the evidence base later used in the Stage 1 workbook and the version one PRD.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type="dxa" w:w="864"/>
            <w:tcBorders>
              <w:top w:val="single" w:sz="6" w:color="D9D9E0"/>
              <w:left w:val="single" w:sz="6" w:color="D9D9E0"/>
              <w:bottom w:val="single" w:sz="6" w:color="D9D9E0"/>
              <w:right w:val="single" w:sz="6" w:color="D9D9E0"/>
            </w:tcBorders>
            <w:shd w:val="clear" w:fill="F4F4F7"/>
          </w:tcPr>
          <w:p>
            <w:r>
              <w:t>2. Requirements / 5. Build and revision</w:t>
            </w:r>
          </w:p>
        </w:tc>
        <w:tc>
          <w:tcPr>
            <w:tcW w:type="dxa" w:w="864"/>
            <w:tcBorders>
              <w:top w:val="single" w:sz="6" w:color="D9D9E0"/>
              <w:left w:val="single" w:sz="6" w:color="D9D9E0"/>
              <w:bottom w:val="single" w:sz="6" w:color="D9D9E0"/>
              <w:right w:val="single" w:sz="6" w:color="D9D9E0"/>
            </w:tcBorders>
            <w:shd w:val="clear" w:fill="F4F4F7"/>
          </w:tcPr>
          <w:p>
            <w:r>
              <w:t>1.3</w:t>
            </w:r>
          </w:p>
        </w:tc>
        <w:tc>
          <w:tcPr>
            <w:tcW w:type="dxa" w:w="2304"/>
            <w:tcBorders>
              <w:top w:val="single" w:sz="6" w:color="D9D9E0"/>
              <w:left w:val="single" w:sz="6" w:color="D9D9E0"/>
              <w:bottom w:val="single" w:sz="6" w:color="D9D9E0"/>
              <w:right w:val="single" w:sz="6" w:color="D9D9E0"/>
            </w:tcBorders>
            <w:shd w:val="clear" w:fill="F4F4F7"/>
          </w:tcPr>
          <w:p>
            <w:r>
              <w:t>Working repository, 51 passing tests, version one PRD.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Wrote the governance doc: decision logging schema, risk register, fairness audit plan, guardrails, incident response, kill switch, declaration.</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docs/governance.md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1 Discovery Workbook and Stage 2 PRD Template with evidence drawn from the interview transcripts and dataset statistics.</w:t>
            </w:r>
          </w:p>
        </w:tc>
        <w:tc>
          <w:tcPr>
            <w:tcW w:type="dxa" w:w="864"/>
            <w:tcBorders>
              <w:top w:val="single" w:sz="6" w:color="D9D9E0"/>
              <w:left w:val="single" w:sz="6" w:color="D9D9E0"/>
              <w:bottom w:val="single" w:sz="6" w:color="D9D9E0"/>
              <w:right w:val="single" w:sz="6" w:color="D9D9E0"/>
            </w:tcBorders>
            <w:shd w:val="clear" w:fill="F4F4F7"/>
          </w:tcPr>
          <w:p>
            <w:r>
              <w:t>1. Discovery / 2. Requirements</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1 and Stage 2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Fixed a dependency conflict: groq==0.11.0 passes a proxies keyword argument that httpx 0.28+ removed.</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requirements.txt pin (httpx==0.27.2), confirmed locally.</w:t>
            </w:r>
          </w:p>
        </w:tc>
        <w:tc>
          <w:tcPr>
            <w:tcW w:type="dxa" w:w="1728"/>
            <w:tcBorders>
              <w:top w:val="single" w:sz="6" w:color="D9D9E0"/>
              <w:left w:val="single" w:sz="6" w:color="D9D9E0"/>
              <w:bottom w:val="single" w:sz="6" w:color="D9D9E0"/>
              <w:right w:val="single" w:sz="6" w:color="D9D9E0"/>
            </w:tcBorders>
          </w:tcPr>
          <w:p>
            <w:r>
              <w:t>Import error on first real Groq call.</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3 Prompt Library and Stage 4 Sprint Plan, including the honest re-scoping of the sprint plan to the real 5 day remaining timeline instead of the template's 3 week one.</w:t>
            </w:r>
          </w:p>
        </w:tc>
        <w:tc>
          <w:tcPr>
            <w:tcW w:type="dxa" w:w="864"/>
            <w:tcBorders>
              <w:top w:val="single" w:sz="6" w:color="D9D9E0"/>
              <w:left w:val="single" w:sz="6" w:color="D9D9E0"/>
              <w:bottom w:val="single" w:sz="6" w:color="D9D9E0"/>
              <w:right w:val="single" w:sz="6" w:color="D9D9E0"/>
            </w:tcBorders>
            <w:shd w:val="clear" w:fill="F4F4F7"/>
          </w:tcPr>
          <w:p>
            <w:r>
              <w:t>3. Prompt library / 4. Sprint plan</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3 and Stage 4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Diagnosed and fixed a Groq model deprecation: llama-3.3-70b-versatile and llama-3.1-8b-instant were retired on 2026-08-16; switched to openai/gpt-oss-120b and openai/gpt-oss-20b.</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Working live Groq calls again.</w:t>
            </w:r>
          </w:p>
        </w:tc>
        <w:tc>
          <w:tcPr>
            <w:tcW w:type="dxa" w:w="1728"/>
            <w:tcBorders>
              <w:top w:val="single" w:sz="6" w:color="D9D9E0"/>
              <w:left w:val="single" w:sz="6" w:color="D9D9E0"/>
              <w:bottom w:val="single" w:sz="6" w:color="D9D9E0"/>
              <w:right w:val="single" w:sz="6" w:color="D9D9E0"/>
            </w:tcBorders>
          </w:tcPr>
          <w:p>
            <w:r>
              <w:t>100 percent of tickets were escalating; traced to a 404 from the provider, not a bug in the pipeline.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Ran the evaluation harness live, unattended, against the 500 ticket development set.</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0.7</w:t>
            </w:r>
          </w:p>
        </w:tc>
        <w:tc>
          <w:tcPr>
            <w:tcW w:type="dxa" w:w="2304"/>
            <w:tcBorders>
              <w:top w:val="single" w:sz="6" w:color="D9D9E0"/>
              <w:left w:val="single" w:sz="6" w:color="D9D9E0"/>
              <w:bottom w:val="single" w:sz="6" w:color="D9D9E0"/>
              <w:right w:val="single" w:sz="6" w:color="D9D9E0"/>
            </w:tcBorders>
            <w:shd w:val="clear" w:fill="F4F4F7"/>
          </w:tcPr>
          <w:p>
            <w:r>
              <w:t>evaluation/results/metrics_report.json (500 tickets processed, 0 ingest errors).</w:t>
            </w:r>
          </w:p>
        </w:tc>
        <w:tc>
          <w:tcPr>
            <w:tcW w:type="dxa" w:w="1728"/>
            <w:tcBorders>
              <w:top w:val="single" w:sz="6" w:color="D9D9E0"/>
              <w:left w:val="single" w:sz="6" w:color="D9D9E0"/>
              <w:bottom w:val="single" w:sz="6" w:color="D9D9E0"/>
              <w:right w:val="single" w:sz="6" w:color="D9D9E0"/>
            </w:tcBorders>
            <w:shd w:val="clear" w:fill="F4F4F7"/>
          </w:tcPr>
          <w:p>
            <w:r>
              <w:t>Groq's daily token quota was exhausted partway through the run (32.2 percent of tickets fell back to forced escalation).</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Ran the evaluation harness live, in my own terminal, against the 80 ticket validation set.</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evaluation/results/validation_run/metrics_report.json.</w:t>
            </w:r>
          </w:p>
        </w:tc>
        <w:tc>
          <w:tcPr>
            <w:tcW w:type="dxa" w:w="1728"/>
            <w:tcBorders>
              <w:top w:val="single" w:sz="6" w:color="D9D9E0"/>
              <w:left w:val="single" w:sz="6" w:color="D9D9E0"/>
              <w:bottom w:val="single" w:sz="6" w:color="D9D9E0"/>
              <w:right w:val="single" w:sz="6" w:color="D9D9E0"/>
            </w:tcBorders>
          </w:tcPr>
          <w:p>
            <w:r>
              <w:t>The same day's Groq quota was already almost fully spent before this run started (90 percent of tickets fell back).</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Investigated why two different sized runs both reported the identical decisions_logged count of 580, found a decision log cross-run reconciliation bug, fixed it, added 2 regression tests.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0.3</w:t>
            </w:r>
          </w:p>
        </w:tc>
        <w:tc>
          <w:tcPr>
            <w:tcW w:type="dxa" w:w="2304"/>
            <w:tcBorders>
              <w:top w:val="single" w:sz="6" w:color="D9D9E0"/>
              <w:left w:val="single" w:sz="6" w:color="D9D9E0"/>
              <w:bottom w:val="single" w:sz="6" w:color="D9D9E0"/>
              <w:right w:val="single" w:sz="6" w:color="D9D9E0"/>
            </w:tcBorders>
            <w:shd w:val="clear" w:fill="F4F4F7"/>
          </w:tcPr>
          <w:p>
            <w:r>
              <w:t>53 of 53 tests passing; fix documented in docs/governance.md.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Filled Stage 5 PRD Revision Log with verified findings from both evaluation runs and the decision log fix.</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Stage 5 completed workbook.</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Cleaned formatting across every report and workbook, and filled the fairness audit table in the governance doc with the real 500 ticket run numbers.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0.2</w:t>
            </w:r>
          </w:p>
        </w:tc>
        <w:tc>
          <w:tcPr>
            <w:tcW w:type="dxa" w:w="2304"/>
            <w:tcBorders>
              <w:top w:val="single" w:sz="6" w:color="D9D9E0"/>
              <w:left w:val="single" w:sz="6" w:color="D9D9E0"/>
              <w:bottom w:val="single" w:sz="6" w:color="D9D9E0"/>
              <w:right w:val="single" w:sz="6" w:color="D9D9E0"/>
            </w:tcBorders>
            <w:shd w:val="clear" w:fill="F4F4F7"/>
          </w:tcPr>
          <w:p>
            <w:r>
              <w:t>Clean reports; filled fairness audit table.</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sections 3 through 10 of the capstone report (discovery, requirements, architecture, implementation, evaluation, governance, requirements revision, conclusions) and the AI tool use declaration, grounded in the real PRD, architecture and governance docs, both live evaluation runs, the Stage 5 revision log, and the stakeholder interview notes.</w:t>
            </w:r>
          </w:p>
        </w:tc>
        <w:tc>
          <w:tcPr>
            <w:tcW w:type="dxa" w:w="864"/>
            <w:tcBorders>
              <w:top w:val="single" w:sz="6" w:color="D9D9E0"/>
              <w:left w:val="single" w:sz="6" w:color="D9D9E0"/>
              <w:bottom w:val="single" w:sz="6" w:color="D9D9E0"/>
              <w:right w:val="single" w:sz="6" w:color="D9D9E0"/>
            </w:tcBorders>
          </w:tcPr>
          <w:p>
            <w:r>
              <w:t>6. Report, video, packaging</w:t>
            </w:r>
          </w:p>
        </w:tc>
        <w:tc>
          <w:tcPr>
            <w:tcW w:type="dxa" w:w="864"/>
            <w:tcBorders>
              <w:top w:val="single" w:sz="6" w:color="D9D9E0"/>
              <w:left w:val="single" w:sz="6" w:color="D9D9E0"/>
              <w:bottom w:val="single" w:sz="6" w:color="D9D9E0"/>
              <w:right w:val="single" w:sz="6" w:color="D9D9E0"/>
            </w:tcBorders>
          </w:tcPr>
          <w:p>
            <w:r>
              <w:t>1.5</w:t>
            </w:r>
          </w:p>
        </w:tc>
        <w:tc>
          <w:tcPr>
            <w:tcW w:type="dxa" w:w="2304"/>
            <w:tcBorders>
              <w:top w:val="single" w:sz="6" w:color="D9D9E0"/>
              <w:left w:val="single" w:sz="6" w:color="D9D9E0"/>
              <w:bottom w:val="single" w:sz="6" w:color="D9D9E0"/>
              <w:right w:val="single" w:sz="6" w:color="D9D9E0"/>
            </w:tcBorders>
          </w:tcPr>
          <w:p>
            <w:r>
              <w:t>DhanushVaranasi_Capstone_Report.docx (22 pages), verified section by section via PDF render.</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2026-09-17</w:t>
            </w:r>
          </w:p>
        </w:tc>
        <w:tc>
          <w:tcPr>
            <w:tcW w:type="dxa" w:w="2736"/>
            <w:tcBorders>
              <w:top w:val="single" w:sz="6" w:color="D9D9E0"/>
              <w:left w:val="single" w:sz="6" w:color="D9D9E0"/>
              <w:bottom w:val="single" w:sz="6" w:color="D9D9E0"/>
              <w:right w:val="single" w:sz="6" w:color="D9D9E0"/>
            </w:tcBorders>
            <w:shd w:val="clear" w:fill="F4F4F7"/>
          </w:tcPr>
          <w:p>
            <w:r>
              <w:t>Audited the repository against the submission guide: commit history, credential scan, CI workflow, and whether all five stage workbooks and the effort log were genuinely complete. Caught and corrected a mistaken claim that Stage 1 and Stage 2 were blank, made from checking the wrong folder; the real committed workbooks were already filled.</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0.4</w:t>
            </w:r>
          </w:p>
        </w:tc>
        <w:tc>
          <w:tcPr>
            <w:tcW w:type="dxa" w:w="2304"/>
            <w:tcBorders>
              <w:top w:val="single" w:sz="6" w:color="D9D9E0"/>
              <w:left w:val="single" w:sz="6" w:color="D9D9E0"/>
              <w:bottom w:val="single" w:sz="6" w:color="D9D9E0"/>
              <w:right w:val="single" w:sz="6" w:color="D9D9E0"/>
            </w:tcBorders>
            <w:shd w:val="clear" w:fill="F4F4F7"/>
          </w:tcPr>
          <w:p>
            <w:r>
              <w:t>Submission-checklist findings; two mistakenly generated duplicate workbook files identified and disregarded.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2026-09-17</w:t>
            </w:r>
          </w:p>
        </w:tc>
        <w:tc>
          <w:tcPr>
            <w:tcW w:type="dxa" w:w="2736"/>
            <w:tcBorders>
              <w:top w:val="single" w:sz="6" w:color="D9D9E0"/>
              <w:left w:val="single" w:sz="6" w:color="D9D9E0"/>
              <w:bottom w:val="single" w:sz="6" w:color="D9D9E0"/>
              <w:right w:val="single" w:sz="6" w:color="D9D9E0"/>
            </w:tcBorders>
          </w:tcPr>
          <w:p>
            <w:r>
              <w:t>Wrote docs/PRD_REVISION_LOG.md so the two existing references to it, in docs/PRD.md and README.md, resolve to real content, rendered from the already-completed Stage 5 workbook rather than new analysis.</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docs/PRD_REVISION_LOG.md</w:t>
            </w:r>
          </w:p>
        </w:tc>
        <w:tc>
          <w:tcPr>
            <w:tcW w:type="dxa" w:w="1728"/>
            <w:tcBorders>
              <w:top w:val="single" w:sz="6" w:color="D9D9E0"/>
              <w:left w:val="single" w:sz="6" w:color="D9D9E0"/>
              <w:bottom w:val="single" w:sz="6" w:color="D9D9E0"/>
              <w:right w:val="single" w:sz="6" w:color="D9D9E0"/>
            </w:tcBorders>
          </w:tcPr>
          <w:p>
            <w:r>
              <w:t>None</w:t>
            </w:r>
          </w:p>
        </w:tc>
      </w:tr>
      <w:tr>
        <w:tc>
          <w:tcPr>
            <w:tcW w:type="dxa" w:w="1608"/>
          </w:tcPr>
          <w:p>
            <w:r>
              <w:t>2026-09-17</w:t>
            </w:r>
          </w:p>
        </w:tc>
        <w:tc>
          <w:tcPr>
            <w:tcW w:type="dxa" w:w="1608"/>
          </w:tcPr>
          <w:p>
            <w:r>
              <w:t>Incorporated a third, clean evaluation run (a same-day rerun of the 80-ticket validation set with zero fallbacks) into the report and the PRD revision log: rewrote report section 7 and updated sections 1, 8, 9 and 10, corrected the NFR-01 latency root-cause claim (generation-call inference time, not retry backoff, per a final-action latency split), and added a dated addendum to docs/PRD_REVISION_LOG.md recording the clean run's findings, including a newly surfaced customer-tier fairness question the earlier 500-ticket run had appeared to settle.</w:t>
            </w:r>
          </w:p>
        </w:tc>
        <w:tc>
          <w:tcPr>
            <w:tcW w:type="dxa" w:w="1608"/>
          </w:tcPr>
          <w:p>
            <w:r>
              <w:t>6. Report, video, packaging</w:t>
            </w:r>
          </w:p>
        </w:tc>
        <w:tc>
          <w:tcPr>
            <w:tcW w:type="dxa" w:w="1608"/>
          </w:tcPr>
          <w:p>
            <w:r>
              <w:t>0.8</w:t>
            </w:r>
          </w:p>
        </w:tc>
        <w:tc>
          <w:tcPr>
            <w:tcW w:type="dxa" w:w="1608"/>
          </w:tcPr>
          <w:p>
            <w:r>
              <w:t>DhanushVaranasi_Capstone_Report.docx (24 pages), docs/PRD_REVISION_LOG.md addendum.</w:t>
            </w:r>
          </w:p>
        </w:tc>
        <w:tc>
          <w:tcPr>
            <w:tcW w:type="dxa" w:w="1608"/>
          </w:tcPr>
          <w:p>
            <w:r>
              <w:t>None</w:t>
            </w:r>
          </w:p>
        </w:tc>
      </w:tr>
      <w:tr>
        <w:tc>
          <w:tcPr>
            <w:tcW w:type="dxa" w:w="1608"/>
          </w:tcPr>
          <w:p>
            <w:r>
              <w:t>2026-09-17</w:t>
            </w:r>
          </w:p>
        </w:tc>
        <w:tc>
          <w:tcPr>
            <w:tcW w:type="dxa" w:w="1608"/>
          </w:tcPr>
          <w:p>
            <w:r>
              <w:t>Migrated the pipeline to LangChain and LangGraph on a new branch (langchain-langgraph-migration), left master untouched: rewrote src/pipeline.py as a langgraph.graph.StateGraph (one node per stage, same conditional edges), swapped src/llm_client.py to call Groq through langchain_groq.ChatGroq and src/retrieve/retriever.py to langchain_chroma.Chroma with langchain_huggingface.HuggingFaceEmbeddings, all behind unchanged public interfaces. Fixed a numpy dependency pin needed for Python 3.13.</w:t>
            </w:r>
          </w:p>
        </w:tc>
        <w:tc>
          <w:tcPr>
            <w:tcW w:type="dxa" w:w="1608"/>
          </w:tcPr>
          <w:p>
            <w:r>
              <w:t>5. Build and revision</w:t>
            </w:r>
          </w:p>
        </w:tc>
        <w:tc>
          <w:tcPr>
            <w:tcW w:type="dxa" w:w="1608"/>
          </w:tcPr>
          <w:p>
            <w:r>
              <w:t>2.2</w:t>
            </w:r>
          </w:p>
        </w:tc>
        <w:tc>
          <w:tcPr>
            <w:tcW w:type="dxa" w:w="1608"/>
          </w:tcPr>
          <w:p>
            <w:r>
              <w:t>New branch langchain-langgraph-migration; 53 of 53 tests passing unchanged; two live scenarios run for real against live Groq and live retrieval, one independently confirmed on my own Mac.</w:t>
            </w:r>
          </w:p>
        </w:tc>
        <w:tc>
          <w:tcPr>
            <w:tcW w:type="dxa" w:w="1608"/>
          </w:tcPr>
          <w:p>
            <w:r>
              <w:t>A numpy resolver failure on Python 3.13, fixed and reverified on 3.11 and 3.13.</w:t>
            </w:r>
          </w:p>
        </w:tc>
      </w:tr>
      <w:tr>
        <w:tc>
          <w:tcPr>
            <w:tcW w:type="dxa" w:w="1608"/>
          </w:tcPr>
          <w:p>
            <w:r>
              <w:t>2026-09-17</w:t>
            </w:r>
          </w:p>
        </w:tc>
        <w:tc>
          <w:tcPr>
            <w:tcW w:type="dxa" w:w="1608"/>
          </w:tcPr>
          <w:p>
            <w:r>
              <w:t>Added full explanatory comments to src/pipeline.py (state shape, every node, every conditional edge, the graph build) and built a browser demo UI, a chat-style page plus tabs showing each pipeline decision, on both branches for the video.</w:t>
            </w:r>
          </w:p>
        </w:tc>
        <w:tc>
          <w:tcPr>
            <w:tcW w:type="dxa" w:w="1608"/>
          </w:tcPr>
          <w:p>
            <w:r>
              <w:t>5. Build and revision</w:t>
            </w:r>
          </w:p>
        </w:tc>
        <w:tc>
          <w:tcPr>
            <w:tcW w:type="dxa" w:w="1608"/>
          </w:tcPr>
          <w:p>
            <w:r>
              <w:t>1.2</w:t>
            </w:r>
          </w:p>
        </w:tc>
        <w:tc>
          <w:tcPr>
            <w:tcW w:type="dxa" w:w="1608"/>
          </w:tcPr>
          <w:p>
            <w:r>
              <w:t>Commented src/pipeline.py; web/index.html and one new FastAPI route, verified with a fake-client test client and then run live.</w:t>
            </w:r>
          </w:p>
        </w:tc>
        <w:tc>
          <w:tcPr>
            <w:tcW w:type="dxa" w:w="1608"/>
          </w:tcPr>
          <w:p>
            <w:r>
              <w:t>None</w:t>
            </w:r>
          </w:p>
        </w:tc>
      </w:tr>
      <w:tr>
        <w:tc>
          <w:tcPr>
            <w:tcW w:type="dxa" w:w="1608"/>
          </w:tcPr>
          <w:p>
            <w:r>
              <w:t>2026-09-17</w:t>
            </w:r>
          </w:p>
        </w:tc>
        <w:tc>
          <w:tcPr>
            <w:tcW w:type="dxa" w:w="1608"/>
          </w:tcPr>
          <w:p>
            <w:r>
              <w:t>Built and published an architecture-map artifact (pipeline flow, routing cascade, and three-layer stack diagrams, a component table, and a LangSmith explanation), then aligned docs/architecture.md, docs/PRD.md, README.md, requirements.txt and .env.example to the migration branch and documented LangSmith tracing. Replaced an initial Mermaid-diagram pass in docs/architecture.md with three custom SVGs matching the artifact's style after review.</w:t>
            </w:r>
          </w:p>
        </w:tc>
        <w:tc>
          <w:tcPr>
            <w:tcW w:type="dxa" w:w="1608"/>
          </w:tcPr>
          <w:p>
            <w:r>
              <w:t>5. Build and revision</w:t>
            </w:r>
          </w:p>
        </w:tc>
        <w:tc>
          <w:tcPr>
            <w:tcW w:type="dxa" w:w="1608"/>
          </w:tcPr>
          <w:p>
            <w:r>
              <w:t>2.0</w:t>
            </w:r>
          </w:p>
        </w:tc>
        <w:tc>
          <w:tcPr>
            <w:tcW w:type="dxa" w:w="1608"/>
          </w:tcPr>
          <w:p>
            <w:r>
              <w:t>Architecture-map artifact; updated docs/architecture.md, docs/PRD.md, README.md, requirements.txt, .env.example; docs/diagrams/pipeline_flow.svg, routing_cascade.svg, layered_stack.svg.</w:t>
            </w:r>
          </w:p>
        </w:tc>
        <w:tc>
          <w:tcPr>
            <w:tcW w:type="dxa" w:w="1608"/>
          </w:tcPr>
          <w:p>
            <w:r>
              <w:t>First diagram pass used generic Mermaid styling; redone as custom SVGs after review.</w:t>
            </w:r>
          </w:p>
        </w:tc>
      </w:tr>
      <w:tr>
        <w:tc>
          <w:tcPr>
            <w:tcW w:type="dxa" w:w="1608"/>
          </w:tcPr>
          <w:p>
            <w:r>
              <w:t>2026-09-17</w:t>
            </w:r>
          </w:p>
        </w:tc>
        <w:tc>
          <w:tcPr>
            <w:tcW w:type="dxa" w:w="1608"/>
          </w:tcPr>
          <w:p>
            <w:r>
              <w:t>Verified the architecture diagram's embedded metrics against the code, corrected a report claim about the always-escalate routing rule and billing, and added a LangChain/LangGraph branch subsection, Figures 2 through 4, and a LangSmith paragraph to the capstone report.</w:t>
            </w:r>
          </w:p>
        </w:tc>
        <w:tc>
          <w:tcPr>
            <w:tcW w:type="dxa" w:w="1608"/>
          </w:tcPr>
          <w:p>
            <w:r>
              <w:t>6. Report, video, packaging</w:t>
            </w:r>
          </w:p>
        </w:tc>
        <w:tc>
          <w:tcPr>
            <w:tcW w:type="dxa" w:w="1608"/>
          </w:tcPr>
          <w:p>
            <w:r>
              <w:t>0.8</w:t>
            </w:r>
          </w:p>
        </w:tc>
        <w:tc>
          <w:tcPr>
            <w:tcW w:type="dxa" w:w="1608"/>
          </w:tcPr>
          <w:p>
            <w:r>
              <w:t>DhanushVaranasi_Capstone_Report.docx (27 pages), corrected section 5 routing paragraph.</w:t>
            </w:r>
          </w:p>
        </w:tc>
        <w:tc>
          <w:tcPr>
            <w:tcW w:type="dxa" w:w="1608"/>
          </w:tcPr>
          <w:p>
            <w:r>
              <w:t>None</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This project's real remaining timeline (5 calendar days to the 2026-09-20 deadline) fit inside what the templates call "week one", so there is no separate week two of work to log. See Stage 4 Sprint Plan, Section 1, for the reasoning.</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for the same reason as week two above.</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r>
              <w:t>B-04: Vector store and retrieval</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B-05: Evaluation harness</w:t>
            </w:r>
          </w:p>
        </w:tc>
        <w:tc>
          <w:tcPr>
            <w:tcW w:type="dxa" w:w="1584"/>
            <w:tcBorders>
              <w:top w:val="single" w:sz="6" w:color="D9D9E0"/>
              <w:left w:val="single" w:sz="6" w:color="D9D9E0"/>
              <w:bottom w:val="single" w:sz="6" w:color="D9D9E0"/>
              <w:right w:val="single" w:sz="6" w:color="D9D9E0"/>
            </w:tcBorders>
            <w:shd w:val="clear" w:fill="F4F4F7"/>
          </w:tcPr>
          <w:p>
            <w:r>
              <w:t>5</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B-06: Intent and urgency classifier</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B-08: Answer generation with citations</w:t>
            </w:r>
          </w:p>
        </w:tc>
        <w:tc>
          <w:tcPr>
            <w:tcW w:type="dxa" w:w="1584"/>
            <w:tcBorders>
              <w:top w:val="single" w:sz="6" w:color="D9D9E0"/>
              <w:left w:val="single" w:sz="6" w:color="D9D9E0"/>
              <w:bottom w:val="single" w:sz="6" w:color="D9D9E0"/>
              <w:right w:val="single" w:sz="6" w:color="D9D9E0"/>
            </w:tcBorders>
            <w:shd w:val="clear" w:fill="F4F4F7"/>
          </w:tcPr>
          <w:p>
            <w:r>
              <w:t>4</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B-09: Guardrails and validation</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Which task took far longer than you expected, and why?</w:t>
            </w:r>
          </w:p>
        </w:tc>
        <w:tc>
          <w:tcPr>
            <w:tcW w:type="dxa" w:w="6048"/>
            <w:tcBorders>
              <w:top w:val="single" w:sz="6" w:color="D9D9E0"/>
              <w:left w:val="single" w:sz="6" w:color="D9D9E0"/>
              <w:bottom w:val="single" w:sz="6" w:color="D9D9E0"/>
              <w:right w:val="single" w:sz="6" w:color="D9D9E0"/>
            </w:tcBorders>
          </w:tcPr>
          <w:p>
            <w:r>
              <w:t>Not the code itself but the 500 ticket evaluation run: 42.7 minutes of wall clock time, and partway through it Groq's daily token quota was exhausted, which was not budgeted for at all since the free tier was assumed to simply work for a run of that size.</w:t>
            </w:r>
          </w:p>
        </w:tc>
      </w:tr>
      <w:tr>
        <w:tc>
          <w:tcPr>
            <w:tcW w:type="dxa" w:w="3600"/>
            <w:tcBorders>
              <w:top w:val="single" w:sz="6" w:color="D9D9E0"/>
              <w:left w:val="single" w:sz="6" w:color="D9D9E0"/>
              <w:bottom w:val="single" w:sz="6" w:color="D9D9E0"/>
              <w:right w:val="single" w:sz="6" w:color="D9D9E0"/>
            </w:tcBorders>
            <w:shd w:val="clear" w:fill="F4F4F7"/>
          </w:tcPr>
          <w:p>
            <w: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tc>
          <w:tcPr>
            <w:tcW w:type="dxa" w:w="3600"/>
            <w:tcBorders>
              <w:top w:val="single" w:sz="6" w:color="D9D9E0"/>
              <w:left w:val="single" w:sz="6" w:color="D9D9E0"/>
              <w:bottom w:val="single" w:sz="6" w:color="D9D9E0"/>
              <w:right w:val="single" w:sz="6" w:color="D9D9E0"/>
            </w:tcBorders>
          </w:tcPr>
          <w:p>
            <w:r>
              <w:t>What would you allocate differently if you started again on Monday?</w:t>
            </w:r>
          </w:p>
        </w:tc>
        <w:tc>
          <w:tcPr>
            <w:tcW w:type="dxa" w:w="6048"/>
            <w:tcBorders>
              <w:top w:val="single" w:sz="6" w:color="D9D9E0"/>
              <w:left w:val="single" w:sz="6" w:color="D9D9E0"/>
              <w:bottom w:val="single" w:sz="6" w:color="D9D9E0"/>
              <w:right w:val="single" w:sz="6" w:color="D9D9E0"/>
            </w:tcBorders>
          </w:tcPr>
          <w:p>
            <w:r>
              <w:t>Budget a small canary run, 10 to 20 tickets, before committing to any large unattended run, to check the day's remaining Groq quota headroom first.</w:t>
            </w:r>
          </w:p>
        </w:tc>
      </w:tr>
      <w:tr>
        <w:tc>
          <w:tcPr>
            <w:tcW w:type="dxa" w:w="3600"/>
            <w:tcBorders>
              <w:top w:val="single" w:sz="6" w:color="D9D9E0"/>
              <w:left w:val="single" w:sz="6" w:color="D9D9E0"/>
              <w:bottom w:val="single" w:sz="6" w:color="D9D9E0"/>
              <w:right w:val="single" w:sz="6" w:color="D9D9E0"/>
            </w:tcBorders>
            <w:shd w:val="clear" w:fill="F4F4F7"/>
          </w:tcPr>
          <w:p>
            <w:r>
              <w:t>What did you spend time on that turned out not to matter?</w:t>
            </w:r>
          </w:p>
        </w:tc>
        <w:tc>
          <w:tcPr>
            <w:tcW w:type="dxa" w:w="6048"/>
            <w:tcBorders>
              <w:top w:val="single" w:sz="6" w:color="D9D9E0"/>
              <w:left w:val="single" w:sz="6" w:color="D9D9E0"/>
              <w:bottom w:val="single" w:sz="6" w:color="D9D9E0"/>
              <w:right w:val="single" w:sz="6" w:color="D9D9E0"/>
            </w:tcBorders>
            <w:shd w:val="clear" w:fill="F4F4F7"/>
          </w:tcPr>
          <w:p>
            <w:r>
              <w:t>Nothing identified yet as of this session. Every hour logged above fed directly into a workbook, a working fix, or a documented finding.</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r>
              <w:t>Dhanush Varanasi</w:t>
            </w:r>
          </w:p>
        </w:tc>
        <w:tc>
          <w:tcPr>
            <w:tcW w:type="dxa" w:w="2736"/>
            <w:tcBorders>
              <w:top w:val="single" w:sz="6" w:color="D9D9E0"/>
              <w:left w:val="single" w:sz="6" w:color="D9D9E0"/>
              <w:bottom w:val="single" w:sz="6" w:color="D9D9E0"/>
              <w:right w:val="single" w:sz="6" w:color="D9D9E0"/>
            </w:tcBorders>
          </w:tcPr>
          <w:p>
            <w:r>
              <w:t>[Pending signature]</w:t>
            </w:r>
          </w:p>
        </w:tc>
        <w:tc>
          <w:tcPr>
            <w:tcW w:type="dxa" w:w="1584"/>
            <w:tcBorders>
              <w:top w:val="single" w:sz="6" w:color="D9D9E0"/>
              <w:left w:val="single" w:sz="6" w:color="D9D9E0"/>
              <w:bottom w:val="single" w:sz="6" w:color="D9D9E0"/>
              <w:right w:val="single" w:sz="6" w:color="D9D9E0"/>
            </w:tcBorders>
          </w:tcPr>
          <w:p>
            <w:r>
              <w:t>2026-09-17</w:t>
            </w:r>
          </w:p>
        </w:tc>
        <w:tc>
          <w:tcPr>
            <w:tcW w:type="dxa" w:w="2592"/>
            <w:tcBorders>
              <w:top w:val="single" w:sz="6" w:color="D9D9E0"/>
              <w:left w:val="single" w:sz="6" w:color="D9D9E0"/>
              <w:bottom w:val="single" w:sz="6" w:color="D9D9E0"/>
              <w:right w:val="single" w:sz="6" w:color="D9D9E0"/>
            </w:tcBorders>
          </w:tcPr>
          <w:p>
            <w:r>
              <w:t>14.2 (through 2026-09-17)</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