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104AE"/>
    <w:p w14:paraId="0C8A8CEB"/>
    <w:p w14:paraId="77994C28">
      <w:pPr>
        <w:spacing w:after="40"/>
        <w:jc w:val="center"/>
      </w:pPr>
      <w:r>
        <w:rPr>
          <w:b/>
          <w:color w:val="E8660A"/>
          <w:sz w:val="26"/>
        </w:rPr>
        <w:t>FORWARD DEPLOYED AI ENGINEERING</w:t>
      </w:r>
    </w:p>
    <w:p w14:paraId="1C490E0A">
      <w:pPr>
        <w:spacing w:after="520"/>
        <w:jc w:val="center"/>
      </w:pPr>
      <w:r>
        <w:rPr>
          <w:color w:val="4A4A63"/>
          <w:sz w:val="19"/>
        </w:rPr>
        <w:t>Capstone Project</w:t>
      </w:r>
    </w:p>
    <w:p w14:paraId="237A5D2B">
      <w:pPr>
        <w:spacing w:after="120"/>
        <w:jc w:val="center"/>
      </w:pPr>
      <w:r>
        <w:rPr>
          <w:b/>
          <w:color w:val="1A1A2E"/>
          <w:sz w:val="60"/>
        </w:rPr>
        <w:t>Stage One: Discovery</w:t>
      </w:r>
    </w:p>
    <w:p w14:paraId="3728D957">
      <w:pPr>
        <w:pBdr>
          <w:bottom w:val="single" w:color="E8660A" w:sz="10" w:space="6"/>
        </w:pBdr>
        <w:spacing w:after="280"/>
        <w:jc w:val="center"/>
      </w:pPr>
      <w:r>
        <w:rPr>
          <w:color w:val="E8660A"/>
          <w:sz w:val="26"/>
        </w:rPr>
        <w:t>The workbook you complete before you design anything</w:t>
      </w:r>
    </w:p>
    <w:p w14:paraId="351E6BC3">
      <w:pPr>
        <w:spacing w:after="400"/>
        <w:jc w:val="center"/>
      </w:pPr>
      <w:r>
        <w:rPr>
          <w:i/>
          <w:color w:val="4A4A63"/>
          <w:sz w:val="21"/>
        </w:rPr>
        <w:t>Fill this in first. Nothing in the later stages is valid unless it can be traced</w:t>
      </w:r>
      <w:r>
        <w:rPr>
          <w:i/>
          <w:color w:val="4A4A63"/>
          <w:sz w:val="21"/>
        </w:rPr>
        <w:br w:type="textWrapping"/>
      </w:r>
      <w:r>
        <w:rPr>
          <w:i/>
          <w:color w:val="4A4A63"/>
          <w:sz w:val="21"/>
        </w:rPr>
        <w:t>back to something you recorded on these pages.</w:t>
      </w:r>
    </w:p>
    <w:tbl>
      <w:tblPr>
        <w:tblStyle w:val="12"/>
        <w:tblW w:w="0" w:type="auto"/>
        <w:jc w:val="center"/>
        <w:tblLayout w:type="autofit"/>
        <w:tblCellMar>
          <w:top w:w="0" w:type="dxa"/>
          <w:left w:w="108" w:type="dxa"/>
          <w:bottom w:w="0" w:type="dxa"/>
          <w:right w:w="108" w:type="dxa"/>
        </w:tblCellMar>
      </w:tblPr>
      <w:tblGrid>
        <w:gridCol w:w="6624"/>
      </w:tblGrid>
      <w:tr w14:paraId="634D1B2C">
        <w:trPr>
          <w:jc w:val="center"/>
        </w:trPr>
        <w:tc>
          <w:tcPr>
            <w:tcW w:w="6624" w:type="dxa"/>
            <w:tcBorders>
              <w:top w:val="nil"/>
              <w:left w:val="nil"/>
              <w:bottom w:val="nil"/>
              <w:right w:val="nil"/>
            </w:tcBorders>
            <w:shd w:val="clear" w:color="auto" w:fill="1A1A2E"/>
          </w:tcPr>
          <w:p w14:paraId="38F8CF71">
            <w:pPr>
              <w:jc w:val="center"/>
            </w:pPr>
            <w:r>
              <w:rPr>
                <w:b/>
                <w:color w:val="FFFFFF"/>
                <w:sz w:val="20"/>
              </w:rPr>
              <w:t>WEEK ONE  ·  DAYS ONE TO THREE</w:t>
            </w:r>
          </w:p>
        </w:tc>
      </w:tr>
    </w:tbl>
    <w:p w14:paraId="6F07E2F5">
      <w:r>
        <w:br w:type="page"/>
      </w:r>
    </w:p>
    <w:p w14:paraId="7201E3A9">
      <w:pPr>
        <w:pBdr>
          <w:bottom w:val="single" w:color="E8660A" w:sz="8" w:space="6"/>
        </w:pBdr>
        <w:spacing w:before="440" w:after="60"/>
      </w:pPr>
      <w:r>
        <w:rPr>
          <w:b/>
          <w:color w:val="1A1A2E"/>
          <w:sz w:val="34"/>
        </w:rPr>
        <w:t>How to use this workbook</w:t>
      </w:r>
    </w:p>
    <w:p w14:paraId="575BC3CA">
      <w:pPr>
        <w:spacing w:after="140"/>
      </w:pPr>
      <w:r>
        <w:rPr>
          <w:i w:val="0"/>
          <w:sz w:val="21"/>
        </w:rPr>
        <w:t>This workbook is a set of tables for you to complete. The prompts in the left-hand column tell you what belongs in each row; the remaining columns are yours to fill in. Where a table has blank rows at the bottom, add as many more as you need.</w:t>
      </w:r>
    </w:p>
    <w:p w14:paraId="6EBFE458">
      <w:pPr>
        <w:spacing w:after="140"/>
      </w:pPr>
      <w:r>
        <w:rPr>
          <w:i w:val="0"/>
          <w:sz w:val="21"/>
        </w:rPr>
        <w:t>Work through the sections in order. Section one establishes who you are talking to, sections two to five gather the evidence, and section six is where you turn that evidence into a problem statement. Do not attempt section six before the others are genuinely finished, because the whole point of the exercise is that the conclusion follows from the evidence rather than the other way round.</w:t>
      </w:r>
    </w:p>
    <w:tbl>
      <w:tblPr>
        <w:tblStyle w:val="12"/>
        <w:tblW w:w="0" w:type="auto"/>
        <w:tblInd w:w="0" w:type="dxa"/>
        <w:tblLayout w:type="autofit"/>
        <w:tblCellMar>
          <w:top w:w="0" w:type="dxa"/>
          <w:left w:w="108" w:type="dxa"/>
          <w:bottom w:w="0" w:type="dxa"/>
          <w:right w:w="108" w:type="dxa"/>
        </w:tblCellMar>
      </w:tblPr>
      <w:tblGrid>
        <w:gridCol w:w="9648"/>
      </w:tblGrid>
      <w:tr w14:paraId="79441E5E">
        <w:tc>
          <w:tcPr>
            <w:tcW w:w="9648" w:type="dxa"/>
            <w:tcBorders>
              <w:top w:val="nil"/>
              <w:left w:val="nil"/>
              <w:bottom w:val="nil"/>
              <w:right w:val="nil"/>
            </w:tcBorders>
            <w:shd w:val="clear" w:color="auto" w:fill="FDEDE1"/>
          </w:tcPr>
          <w:p w14:paraId="11CE2B3B">
            <w:pPr>
              <w:spacing w:before="140" w:after="60"/>
            </w:pPr>
            <w:r>
              <w:rPr>
                <w:b/>
                <w:color w:val="E8660A"/>
                <w:sz w:val="21"/>
              </w:rPr>
              <w:t>What finished looks like</w:t>
            </w:r>
          </w:p>
          <w:p w14:paraId="6B60A32C">
            <w:pPr>
              <w:spacing w:after="160"/>
            </w:pPr>
            <w:r>
              <w:rPr>
                <w:color w:val="333344"/>
                <w:sz w:val="20"/>
              </w:rPr>
              <w:t>You are finished with discovery when a further interview tells you nothing you did not already know, and when every claim in your problem statement can be pointed at a specific row in one of these tables. If either of those is not yet true, you are not finished, however much time has passed.</w:t>
            </w:r>
          </w:p>
        </w:tc>
      </w:tr>
    </w:tbl>
    <w:p w14:paraId="75F68193">
      <w:pPr>
        <w:spacing w:after="40"/>
      </w:pPr>
    </w:p>
    <w:p w14:paraId="0D3D97A8">
      <w:pPr>
        <w:spacing w:before="200" w:after="60"/>
        <w:jc w:val="center"/>
      </w:pPr>
      <w:r>
        <w:drawing>
          <wp:inline distT="0" distB="0" distL="114300" distR="114300">
            <wp:extent cx="4389120" cy="3301365"/>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389120" cy="3301993"/>
                    </a:xfrm>
                    <a:prstGeom prst="rect">
                      <a:avLst/>
                    </a:prstGeom>
                  </pic:spPr>
                </pic:pic>
              </a:graphicData>
            </a:graphic>
          </wp:inline>
        </w:drawing>
      </w:r>
    </w:p>
    <w:p w14:paraId="114EC416">
      <w:pPr>
        <w:spacing w:after="240"/>
        <w:jc w:val="center"/>
      </w:pPr>
      <w:r>
        <w:rPr>
          <w:i/>
          <w:color w:val="4A4A63"/>
          <w:sz w:val="17"/>
        </w:rPr>
        <w:t>Figure 1. Discovery repeats until the answers stop changing.</w:t>
      </w:r>
    </w:p>
    <w:p w14:paraId="3401605B">
      <w:r>
        <w:br w:type="page"/>
      </w:r>
    </w:p>
    <w:p w14:paraId="26A60429">
      <w:pPr>
        <w:pBdr>
          <w:bottom w:val="single" w:color="E8660A" w:sz="8" w:space="6"/>
        </w:pBdr>
        <w:spacing w:before="440" w:after="60"/>
      </w:pPr>
      <w:r>
        <w:rPr>
          <w:b/>
          <w:color w:val="E8660A"/>
          <w:sz w:val="34"/>
        </w:rPr>
        <w:t xml:space="preserve">1   </w:t>
      </w:r>
      <w:r>
        <w:rPr>
          <w:b/>
          <w:color w:val="1A1A2E"/>
          <w:sz w:val="34"/>
        </w:rPr>
        <w:t>Section one: what the interviews tell you</w:t>
      </w:r>
    </w:p>
    <w:p w14:paraId="289F7D6C">
      <w:pPr>
        <w:spacing w:after="140"/>
      </w:pPr>
      <w:r>
        <w:rPr>
          <w:i w:val="0"/>
          <w:sz w:val="21"/>
        </w:rPr>
        <w:t>Your discovery evidence is in two places: the five stakeholder interview transcripts in the datasets folder, and the ticket data itself. Start with the transcripts. Read all five before you write anything, then come back and fill in the table below.</w:t>
      </w:r>
    </w:p>
    <w:p w14:paraId="2335E69A">
      <w:pPr>
        <w:spacing w:after="140"/>
      </w:pPr>
      <w:r>
        <w:rPr>
          <w:i w:val="0"/>
          <w:sz w:val="21"/>
        </w:rPr>
        <w:t>The prompts in the left column are the people you spoke to. For each, record what you were trying to learn from them, what they actually told you, and, importantly, what they seemed not to know about their own operation. That last column is often where the useful material is, because each of the five can only see their own part of the problem.</w:t>
      </w:r>
    </w:p>
    <w:tbl>
      <w:tblPr>
        <w:tblStyle w:val="12"/>
        <w:tblW w:w="0" w:type="auto"/>
        <w:jc w:val="center"/>
        <w:tblLayout w:type="fixed"/>
        <w:tblCellMar>
          <w:top w:w="0" w:type="dxa"/>
          <w:left w:w="108" w:type="dxa"/>
          <w:bottom w:w="0" w:type="dxa"/>
          <w:right w:w="108" w:type="dxa"/>
        </w:tblCellMar>
      </w:tblPr>
      <w:tblGrid>
        <w:gridCol w:w="2412"/>
        <w:gridCol w:w="2412"/>
        <w:gridCol w:w="2412"/>
        <w:gridCol w:w="2412"/>
      </w:tblGrid>
      <w:tr w14:paraId="30E1CD98">
        <w:trPr>
          <w:jc w:val="center"/>
        </w:trPr>
        <w:tc>
          <w:tcPr>
            <w:tcW w:w="2160" w:type="dxa"/>
            <w:tcBorders>
              <w:top w:val="single" w:color="D9D9E0" w:sz="6" w:space="0"/>
              <w:left w:val="single" w:color="D9D9E0" w:sz="6" w:space="0"/>
              <w:bottom w:val="single" w:color="D9D9E0" w:sz="6" w:space="0"/>
              <w:right w:val="single" w:color="D9D9E0" w:sz="6" w:space="0"/>
            </w:tcBorders>
            <w:shd w:val="clear" w:color="auto" w:fill="E8660A"/>
          </w:tcPr>
          <w:p w14:paraId="43FA8DEE">
            <w:pPr>
              <w:spacing w:before="60" w:after="60"/>
            </w:pPr>
            <w:r>
              <w:rPr>
                <w:b/>
                <w:color w:val="FFFFFF"/>
                <w:sz w:val="17"/>
              </w:rPr>
              <w:t>Who</w:t>
            </w:r>
          </w:p>
        </w:tc>
        <w:tc>
          <w:tcPr>
            <w:tcW w:w="2592" w:type="dxa"/>
            <w:tcBorders>
              <w:top w:val="single" w:color="D9D9E0" w:sz="6" w:space="0"/>
              <w:left w:val="single" w:color="D9D9E0" w:sz="6" w:space="0"/>
              <w:bottom w:val="single" w:color="D9D9E0" w:sz="6" w:space="0"/>
              <w:right w:val="single" w:color="D9D9E0" w:sz="6" w:space="0"/>
            </w:tcBorders>
            <w:shd w:val="clear" w:color="auto" w:fill="E8660A"/>
          </w:tcPr>
          <w:p w14:paraId="3123F9EC">
            <w:pPr>
              <w:spacing w:before="60" w:after="60"/>
            </w:pPr>
            <w:r>
              <w:rPr>
                <w:b/>
                <w:color w:val="FFFFFF"/>
                <w:sz w:val="17"/>
              </w:rPr>
              <w:t>What they told you</w:t>
            </w:r>
          </w:p>
        </w:tc>
        <w:tc>
          <w:tcPr>
            <w:tcW w:w="2448" w:type="dxa"/>
            <w:tcBorders>
              <w:top w:val="single" w:color="D9D9E0" w:sz="6" w:space="0"/>
              <w:left w:val="single" w:color="D9D9E0" w:sz="6" w:space="0"/>
              <w:bottom w:val="single" w:color="D9D9E0" w:sz="6" w:space="0"/>
              <w:right w:val="single" w:color="D9D9E0" w:sz="6" w:space="0"/>
            </w:tcBorders>
            <w:shd w:val="clear" w:color="auto" w:fill="E8660A"/>
          </w:tcPr>
          <w:p w14:paraId="59B17D36">
            <w:pPr>
              <w:spacing w:before="60" w:after="60"/>
            </w:pPr>
            <w:r>
              <w:rPr>
                <w:b/>
                <w:color w:val="FFFFFF"/>
                <w:sz w:val="17"/>
              </w:rPr>
              <w:t>What they appear not to know</w:t>
            </w:r>
          </w:p>
        </w:tc>
        <w:tc>
          <w:tcPr>
            <w:tcW w:w="2448" w:type="dxa"/>
            <w:tcBorders>
              <w:top w:val="single" w:color="D9D9E0" w:sz="6" w:space="0"/>
              <w:left w:val="single" w:color="D9D9E0" w:sz="6" w:space="0"/>
              <w:bottom w:val="single" w:color="D9D9E0" w:sz="6" w:space="0"/>
              <w:right w:val="single" w:color="D9D9E0" w:sz="6" w:space="0"/>
            </w:tcBorders>
            <w:shd w:val="clear" w:color="auto" w:fill="E8660A"/>
          </w:tcPr>
          <w:p w14:paraId="1CFFFBA8">
            <w:pPr>
              <w:spacing w:before="60" w:after="60"/>
            </w:pPr>
            <w:r>
              <w:rPr>
                <w:b/>
                <w:color w:val="FFFFFF"/>
                <w:sz w:val="17"/>
              </w:rPr>
              <w:t>What you want to verify in the data</w:t>
            </w:r>
          </w:p>
        </w:tc>
      </w:tr>
      <w:tr w14:paraId="0491C825">
        <w:trPr>
          <w:jc w:val="center"/>
        </w:trPr>
        <w:tc>
          <w:tcPr>
            <w:tcW w:w="2160" w:type="dxa"/>
            <w:tcBorders>
              <w:top w:val="single" w:color="D9D9E0" w:sz="6" w:space="0"/>
              <w:left w:val="single" w:color="D9D9E0" w:sz="6" w:space="0"/>
              <w:bottom w:val="single" w:color="D9D9E0" w:sz="6" w:space="0"/>
              <w:right w:val="single" w:color="D9D9E0" w:sz="6" w:space="0"/>
            </w:tcBorders>
          </w:tcPr>
          <w:p w14:paraId="147B344E">
            <w:pPr>
              <w:spacing w:before="50" w:after="50"/>
            </w:pPr>
            <w:r>
              <w:rPr>
                <w:sz w:val="16"/>
              </w:rPr>
              <w:t>Marcus Adeyemi, Head of Support</w:t>
            </w:r>
          </w:p>
        </w:tc>
        <w:tc>
          <w:tcPr>
            <w:tcW w:w="2592" w:type="dxa"/>
            <w:tcBorders>
              <w:top w:val="single" w:color="D9D9E0" w:sz="6" w:space="0"/>
              <w:left w:val="single" w:color="D9D9E0" w:sz="6" w:space="0"/>
              <w:bottom w:val="single" w:color="D9D9E0" w:sz="6" w:space="0"/>
              <w:right w:val="single" w:color="D9D9E0" w:sz="6" w:space="0"/>
            </w:tcBorders>
          </w:tcPr>
          <w:p w14:paraId="66AF75D5">
            <w:r>
              <w:t>Underwater: 500+ tickets/week, 6 agents, 8-12h reply vs 2h SLA. Tried +2 headcount (volume caught up in a month), a canned-response library (agents hated it -- finding the right one took longer than writing the answer), and outsourcing tier 1 (too expensive). Cares about FCR (42%, vs 65% industry benchmark he's been told) more than response time, even though response time is the contractual metric he reports. Failure = a confidently wrong answer reaching a customer, or a tool that creates more agent work than it saves.</w:t>
            </w:r>
          </w:p>
        </w:tc>
        <w:tc>
          <w:tcPr>
            <w:tcW w:w="2448" w:type="dxa"/>
            <w:tcBorders>
              <w:top w:val="single" w:color="D9D9E0" w:sz="6" w:space="0"/>
              <w:left w:val="single" w:color="D9D9E0" w:sz="6" w:space="0"/>
              <w:bottom w:val="single" w:color="D9D9E0" w:sz="6" w:space="0"/>
              <w:right w:val="single" w:color="D9D9E0" w:sz="6" w:space="0"/>
            </w:tcBorders>
          </w:tcPr>
          <w:p w14:paraId="094D0FD2">
            <w:r>
              <w:t>Doesn't know the actual ticket composition ('If you asked me for a breakdown I would be guessing') despite having the data. Sees the escalation rate but not what's inside escalations (see Daniel).</w:t>
            </w:r>
          </w:p>
        </w:tc>
        <w:tc>
          <w:tcPr>
            <w:tcW w:w="2448" w:type="dxa"/>
            <w:tcBorders>
              <w:top w:val="single" w:color="D9D9E0" w:sz="6" w:space="0"/>
              <w:left w:val="single" w:color="D9D9E0" w:sz="6" w:space="0"/>
              <w:bottom w:val="single" w:color="D9D9E0" w:sz="6" w:space="0"/>
              <w:right w:val="single" w:color="D9D9E0" w:sz="6" w:space="0"/>
            </w:tcBorders>
          </w:tcPr>
          <w:p w14:paraId="7A213966">
            <w:r>
              <w:t>Real intent/channel breakdown; true FCR/escalation rate against his stated 42%/58%; whether tier 2 load is as unavoidable as he assumes.</w:t>
            </w:r>
          </w:p>
        </w:tc>
      </w:tr>
      <w:tr w14:paraId="7F6EAE11">
        <w:trPr>
          <w:jc w:val="center"/>
        </w:trPr>
        <w:tc>
          <w:tcPr>
            <w:tcW w:w="2160" w:type="dxa"/>
            <w:tcBorders>
              <w:top w:val="single" w:color="D9D9E0" w:sz="6" w:space="0"/>
              <w:left w:val="single" w:color="D9D9E0" w:sz="6" w:space="0"/>
              <w:bottom w:val="single" w:color="D9D9E0" w:sz="6" w:space="0"/>
              <w:right w:val="single" w:color="D9D9E0" w:sz="6" w:space="0"/>
            </w:tcBorders>
            <w:shd w:val="clear" w:color="auto" w:fill="F4F4F7"/>
          </w:tcPr>
          <w:p w14:paraId="1D6C8729">
            <w:pPr>
              <w:spacing w:before="50" w:after="50"/>
            </w:pPr>
            <w:r>
              <w:rPr>
                <w:sz w:val="16"/>
              </w:rPr>
              <w:t>Sofia Restrepo, Tier One Agent</w:t>
            </w:r>
          </w:p>
        </w:tc>
        <w:tc>
          <w:tcPr>
            <w:tcW w:w="2592" w:type="dxa"/>
            <w:tcBorders>
              <w:top w:val="single" w:color="D9D9E0" w:sz="6" w:space="0"/>
              <w:left w:val="single" w:color="D9D9E0" w:sz="6" w:space="0"/>
              <w:bottom w:val="single" w:color="D9D9E0" w:sz="6" w:space="0"/>
              <w:right w:val="single" w:color="D9D9E0" w:sz="6" w:space="0"/>
            </w:tcBorders>
            <w:shd w:val="clear" w:color="auto" w:fill="F4F4F7"/>
          </w:tcPr>
          <w:p w14:paraId="1285D28C">
            <w:r>
              <w:t>~70% of her tickets are ones she's answered before that month. Time goes to finding and writing the answer, not deciding it -- internal search is unusable so she (and Daniel) keep personal answer files instead of searching the KB. Escalates on 3 triggers: doesn't know, not confident enough to send, or a security topic (always). Not worried about job loss, worried about being blamed for a wrong automated answer. Non-fluent tickets take longer because she has to work out the actual question first; she believes those have the worst satisfaction scores and thinks nobody has noticed.</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28C8F99A">
            <w:r>
              <w:t>That her 'I can't find things in the docs' comment to Ines was heard as 'the docs are bad', which is not what she meant -- the docs are fine, the search is the problem.</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778AB805">
            <w:r>
              <w:t>Non-fluent ticket resolution/CSAT numbers specifically; how much of her queue really is repeat questions.</w:t>
            </w:r>
          </w:p>
        </w:tc>
      </w:tr>
      <w:tr w14:paraId="628EC138">
        <w:trPr>
          <w:jc w:val="center"/>
        </w:trPr>
        <w:tc>
          <w:tcPr>
            <w:tcW w:w="2160" w:type="dxa"/>
            <w:tcBorders>
              <w:top w:val="single" w:color="D9D9E0" w:sz="6" w:space="0"/>
              <w:left w:val="single" w:color="D9D9E0" w:sz="6" w:space="0"/>
              <w:bottom w:val="single" w:color="D9D9E0" w:sz="6" w:space="0"/>
              <w:right w:val="single" w:color="D9D9E0" w:sz="6" w:space="0"/>
            </w:tcBorders>
          </w:tcPr>
          <w:p w14:paraId="5760B24F">
            <w:pPr>
              <w:spacing w:before="50" w:after="50"/>
            </w:pPr>
            <w:r>
              <w:rPr>
                <w:sz w:val="16"/>
              </w:rPr>
              <w:t>Daniel Okonkwo, Tier Two Engineer</w:t>
            </w:r>
          </w:p>
        </w:tc>
        <w:tc>
          <w:tcPr>
            <w:tcW w:w="2592" w:type="dxa"/>
            <w:tcBorders>
              <w:top w:val="single" w:color="D9D9E0" w:sz="6" w:space="0"/>
              <w:left w:val="single" w:color="D9D9E0" w:sz="6" w:space="0"/>
              <w:bottom w:val="single" w:color="D9D9E0" w:sz="6" w:space="0"/>
              <w:right w:val="single" w:color="D9D9E0" w:sz="6" w:space="0"/>
            </w:tcBorders>
          </w:tcPr>
          <w:p w14:paraId="2C0DAC48">
            <w:r>
              <w:t>About half of what reaches tier 2 is something tier 1 could have resolved with more confidence or better findability -- directly contradicts Marcus's escalation-rate-only view of the problem. Escalations arrive as bare forwards with no summary or note of what was tried, which is the real source of the extra customer frustration (having to re-ask what the customer already answered). Wants context, not correctness: ticket + likely category + relevant docs + specific point of low confidence. Worried automation trained on 'what we do now' will scale up answers from personal snippet files that are years out of date. Names security/account-compromise, billing disputes, and data-location issues as categories that must never be automated.</w:t>
            </w:r>
          </w:p>
        </w:tc>
        <w:tc>
          <w:tcPr>
            <w:tcW w:w="2448" w:type="dxa"/>
            <w:tcBorders>
              <w:top w:val="single" w:color="D9D9E0" w:sz="6" w:space="0"/>
              <w:left w:val="single" w:color="D9D9E0" w:sz="6" w:space="0"/>
              <w:bottom w:val="single" w:color="D9D9E0" w:sz="6" w:space="0"/>
              <w:right w:val="single" w:color="D9D9E0" w:sz="6" w:space="0"/>
            </w:tcBorders>
          </w:tcPr>
          <w:p w14:paraId="358DAF42">
            <w:r>
              <w:t>N/A -- his 'about half' estimate is the one that most needs checking against the data, since nobody (including Marcus) tracks what's actually inside an escalation.</w:t>
            </w:r>
          </w:p>
        </w:tc>
        <w:tc>
          <w:tcPr>
            <w:tcW w:w="2448" w:type="dxa"/>
            <w:tcBorders>
              <w:top w:val="single" w:color="D9D9E0" w:sz="6" w:space="0"/>
              <w:left w:val="single" w:color="D9D9E0" w:sz="6" w:space="0"/>
              <w:bottom w:val="single" w:color="D9D9E0" w:sz="6" w:space="0"/>
              <w:right w:val="single" w:color="D9D9E0" w:sz="6" w:space="0"/>
            </w:tcBorders>
          </w:tcPr>
          <w:p w14:paraId="6E146F98">
            <w:r>
              <w:t>The real proportion of historically-escalated tickets that were answerable_from_docs.</w:t>
            </w:r>
          </w:p>
        </w:tc>
      </w:tr>
      <w:tr w14:paraId="734A93DC">
        <w:trPr>
          <w:jc w:val="center"/>
        </w:trPr>
        <w:tc>
          <w:tcPr>
            <w:tcW w:w="2160" w:type="dxa"/>
            <w:tcBorders>
              <w:top w:val="single" w:color="D9D9E0" w:sz="6" w:space="0"/>
              <w:left w:val="single" w:color="D9D9E0" w:sz="6" w:space="0"/>
              <w:bottom w:val="single" w:color="D9D9E0" w:sz="6" w:space="0"/>
              <w:right w:val="single" w:color="D9D9E0" w:sz="6" w:space="0"/>
            </w:tcBorders>
            <w:shd w:val="clear" w:color="auto" w:fill="F4F4F7"/>
          </w:tcPr>
          <w:p w14:paraId="0039440A">
            <w:pPr>
              <w:spacing w:before="50" w:after="50"/>
            </w:pPr>
            <w:r>
              <w:rPr>
                <w:sz w:val="16"/>
              </w:rPr>
              <w:t>Ines Varga, Technical Writer</w:t>
            </w:r>
          </w:p>
        </w:tc>
        <w:tc>
          <w:tcPr>
            <w:tcW w:w="2592" w:type="dxa"/>
            <w:tcBorders>
              <w:top w:val="single" w:color="D9D9E0" w:sz="6" w:space="0"/>
              <w:left w:val="single" w:color="D9D9E0" w:sz="6" w:space="0"/>
              <w:bottom w:val="single" w:color="D9D9E0" w:sz="6" w:space="0"/>
              <w:right w:val="single" w:color="D9D9E0" w:sz="6" w:space="0"/>
            </w:tcBorders>
            <w:shd w:val="clear" w:color="auto" w:fill="F4F4F7"/>
          </w:tcPr>
          <w:p w14:paraId="319EC85C">
            <w:r>
              <w:t>29 knowledge-base articles, she wrote most, reviewed on a rotation. Well used externally; she believes the support team doesn't use them internally at all -- she noticed because tickets were answered with a paragraph reconstructed from memory that was almost word-for-word one of her articles. Root cause: internal keyword search matches titles/exact terms, and customers don't phrase problems the way article titles do ('my deployment keeps dying' vs. 'resolving container health check failures'). Wants citation-level traceability so a wrong answer can be diagnosed as 'article is wrong' vs. 'system misread it'. Feature requests, roadmap questions and genuinely novel incidents have no article to retrieve, by design.</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6C74ADE1">
            <w:r>
              <w:t>The full scale of the personal-snippet-file problem Daniel described -- unreviewed answers circulating outside her review cycle entirely.</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32C31EAD">
            <w:r>
              <w:t>answerable_from_docs proportion; article coverage by intent category.</w:t>
            </w:r>
          </w:p>
        </w:tc>
      </w:tr>
      <w:tr w14:paraId="7467EFFC">
        <w:trPr>
          <w:jc w:val="center"/>
        </w:trPr>
        <w:tc>
          <w:tcPr>
            <w:tcW w:w="2160" w:type="dxa"/>
            <w:tcBorders>
              <w:top w:val="single" w:color="D9D9E0" w:sz="6" w:space="0"/>
              <w:left w:val="single" w:color="D9D9E0" w:sz="6" w:space="0"/>
              <w:bottom w:val="single" w:color="D9D9E0" w:sz="6" w:space="0"/>
              <w:right w:val="single" w:color="D9D9E0" w:sz="6" w:space="0"/>
            </w:tcBorders>
          </w:tcPr>
          <w:p w14:paraId="2F25CFE9">
            <w:pPr>
              <w:spacing w:before="50" w:after="50"/>
            </w:pPr>
            <w:r>
              <w:rPr>
                <w:sz w:val="16"/>
              </w:rPr>
              <w:t>Ravi Menon, Customer</w:t>
            </w:r>
          </w:p>
        </w:tc>
        <w:tc>
          <w:tcPr>
            <w:tcW w:w="2592" w:type="dxa"/>
            <w:tcBorders>
              <w:top w:val="single" w:color="D9D9E0" w:sz="6" w:space="0"/>
              <w:left w:val="single" w:color="D9D9E0" w:sz="6" w:space="0"/>
              <w:bottom w:val="single" w:color="D9D9E0" w:sz="6" w:space="0"/>
              <w:right w:val="single" w:color="D9D9E0" w:sz="6" w:space="0"/>
            </w:tcBorders>
          </w:tcPr>
          <w:p w14:paraId="21CC1C71">
            <w:r>
              <w:t>Support is 'slow but decent once you get there.' The cost of waiting depends entirely on the underlying urgency even though every ticket sits in the same queue (a pagination question vs. a broken deployment at 9am). Self-serves against the docs about half the time, and often gets the same answer from support later having already burned hours. Fine with automation provided it's honest -- wants to know a reply is automated so he can calibrate how much to verify before acting on it. Notices tier gaps: a colleague on the enterprise plan gets ~1hr responses; if the gap between his (business) tier and enterprise widens, it surfaces at renewal.</w:t>
            </w:r>
          </w:p>
        </w:tc>
        <w:tc>
          <w:tcPr>
            <w:tcW w:w="2448" w:type="dxa"/>
            <w:tcBorders>
              <w:top w:val="single" w:color="D9D9E0" w:sz="6" w:space="0"/>
              <w:left w:val="single" w:color="D9D9E0" w:sz="6" w:space="0"/>
              <w:bottom w:val="single" w:color="D9D9E0" w:sz="6" w:space="0"/>
              <w:right w:val="single" w:color="D9D9E0" w:sz="6" w:space="0"/>
            </w:tcBorders>
          </w:tcPr>
          <w:p w14:paraId="77D56529">
            <w:r>
              <w:t>N/A -- reports his own experience directly and consistently with the other four accounts.</w:t>
            </w:r>
          </w:p>
        </w:tc>
        <w:tc>
          <w:tcPr>
            <w:tcW w:w="2448" w:type="dxa"/>
            <w:tcBorders>
              <w:top w:val="single" w:color="D9D9E0" w:sz="6" w:space="0"/>
              <w:left w:val="single" w:color="D9D9E0" w:sz="6" w:space="0"/>
              <w:bottom w:val="single" w:color="D9D9E0" w:sz="6" w:space="0"/>
              <w:right w:val="single" w:color="D9D9E0" w:sz="6" w:space="0"/>
            </w:tcBorders>
          </w:tcPr>
          <w:p w14:paraId="7232E8FB">
            <w:r>
              <w:t>Whether urgency correlates with actual resolution speed today; the size of the tier-based response gap.</w:t>
            </w:r>
          </w:p>
        </w:tc>
      </w:tr>
    </w:tbl>
    <w:p w14:paraId="6277B524">
      <w:pPr>
        <w:spacing w:after="80"/>
      </w:pPr>
    </w:p>
    <w:p w14:paraId="20B357B5">
      <w:pPr>
        <w:spacing w:before="300" w:after="60"/>
      </w:pPr>
      <w:r>
        <w:rPr>
          <w:b/>
          <w:color w:val="1A1A2E"/>
          <w:sz w:val="25"/>
        </w:rPr>
        <w:t>Where the accounts disagree</w:t>
      </w:r>
    </w:p>
    <w:p w14:paraId="3A06150B">
      <w:pPr>
        <w:spacing w:after="140"/>
      </w:pPr>
      <w:r>
        <w:rPr>
          <w:i w:val="0"/>
          <w:sz w:val="21"/>
        </w:rPr>
        <w:t>At least three points of disagreement run through the transcripts, and each can be settled by going to the ticket data rather than by deciding whose account sounds more convincing. Identify them, then resolve them with evidence.</w:t>
      </w:r>
    </w:p>
    <w:tbl>
      <w:tblPr>
        <w:tblStyle w:val="12"/>
        <w:tblW w:w="0" w:type="auto"/>
        <w:jc w:val="center"/>
        <w:tblLayout w:type="fixed"/>
        <w:tblCellMar>
          <w:top w:w="0" w:type="dxa"/>
          <w:left w:w="108" w:type="dxa"/>
          <w:bottom w:w="0" w:type="dxa"/>
          <w:right w:w="108" w:type="dxa"/>
        </w:tblCellMar>
      </w:tblPr>
      <w:tblGrid>
        <w:gridCol w:w="2412"/>
        <w:gridCol w:w="2412"/>
        <w:gridCol w:w="2412"/>
        <w:gridCol w:w="2412"/>
      </w:tblGrid>
      <w:tr w14:paraId="77770418">
        <w:trPr>
          <w:jc w:val="center"/>
        </w:trPr>
        <w:tc>
          <w:tcPr>
            <w:tcW w:w="2304" w:type="dxa"/>
            <w:tcBorders>
              <w:top w:val="single" w:color="D9D9E0" w:sz="6" w:space="0"/>
              <w:left w:val="single" w:color="D9D9E0" w:sz="6" w:space="0"/>
              <w:bottom w:val="single" w:color="D9D9E0" w:sz="6" w:space="0"/>
              <w:right w:val="single" w:color="D9D9E0" w:sz="6" w:space="0"/>
            </w:tcBorders>
            <w:shd w:val="clear" w:color="auto" w:fill="E8660A"/>
          </w:tcPr>
          <w:p w14:paraId="598E1983">
            <w:pPr>
              <w:spacing w:before="60" w:after="60"/>
            </w:pPr>
            <w:r>
              <w:rPr>
                <w:b/>
                <w:color w:val="FFFFFF"/>
                <w:sz w:val="17"/>
              </w:rPr>
              <w:t>The disagreement</w:t>
            </w:r>
          </w:p>
        </w:tc>
        <w:tc>
          <w:tcPr>
            <w:tcW w:w="2448" w:type="dxa"/>
            <w:tcBorders>
              <w:top w:val="single" w:color="D9D9E0" w:sz="6" w:space="0"/>
              <w:left w:val="single" w:color="D9D9E0" w:sz="6" w:space="0"/>
              <w:bottom w:val="single" w:color="D9D9E0" w:sz="6" w:space="0"/>
              <w:right w:val="single" w:color="D9D9E0" w:sz="6" w:space="0"/>
            </w:tcBorders>
            <w:shd w:val="clear" w:color="auto" w:fill="E8660A"/>
          </w:tcPr>
          <w:p w14:paraId="27BEB137">
            <w:pPr>
              <w:spacing w:before="60" w:after="60"/>
            </w:pPr>
            <w:r>
              <w:rPr>
                <w:b/>
                <w:color w:val="FFFFFF"/>
                <w:sz w:val="17"/>
              </w:rPr>
              <w:t>Who says what</w:t>
            </w:r>
          </w:p>
        </w:tc>
        <w:tc>
          <w:tcPr>
            <w:tcW w:w="2448" w:type="dxa"/>
            <w:tcBorders>
              <w:top w:val="single" w:color="D9D9E0" w:sz="6" w:space="0"/>
              <w:left w:val="single" w:color="D9D9E0" w:sz="6" w:space="0"/>
              <w:bottom w:val="single" w:color="D9D9E0" w:sz="6" w:space="0"/>
              <w:right w:val="single" w:color="D9D9E0" w:sz="6" w:space="0"/>
            </w:tcBorders>
            <w:shd w:val="clear" w:color="auto" w:fill="E8660A"/>
          </w:tcPr>
          <w:p w14:paraId="7900797C">
            <w:pPr>
              <w:spacing w:before="60" w:after="60"/>
            </w:pPr>
            <w:r>
              <w:rPr>
                <w:b/>
                <w:color w:val="FFFFFF"/>
                <w:sz w:val="17"/>
              </w:rPr>
              <w:t>How the data settles it</w:t>
            </w:r>
          </w:p>
        </w:tc>
        <w:tc>
          <w:tcPr>
            <w:tcW w:w="2448" w:type="dxa"/>
            <w:tcBorders>
              <w:top w:val="single" w:color="D9D9E0" w:sz="6" w:space="0"/>
              <w:left w:val="single" w:color="D9D9E0" w:sz="6" w:space="0"/>
              <w:bottom w:val="single" w:color="D9D9E0" w:sz="6" w:space="0"/>
              <w:right w:val="single" w:color="D9D9E0" w:sz="6" w:space="0"/>
            </w:tcBorders>
            <w:shd w:val="clear" w:color="auto" w:fill="E8660A"/>
          </w:tcPr>
          <w:p w14:paraId="6E8322DA">
            <w:pPr>
              <w:spacing w:before="60" w:after="60"/>
            </w:pPr>
            <w:r>
              <w:rPr>
                <w:b/>
                <w:color w:val="FFFFFF"/>
                <w:sz w:val="17"/>
              </w:rPr>
              <w:t>What follows from the answer</w:t>
            </w:r>
          </w:p>
        </w:tc>
      </w:tr>
      <w:tr w14:paraId="41DF6783">
        <w:trPr>
          <w:jc w:val="center"/>
        </w:trPr>
        <w:tc>
          <w:tcPr>
            <w:tcW w:w="2304" w:type="dxa"/>
            <w:tcBorders>
              <w:top w:val="single" w:color="D9D9E0" w:sz="6" w:space="0"/>
              <w:left w:val="single" w:color="D9D9E0" w:sz="6" w:space="0"/>
              <w:bottom w:val="single" w:color="D9D9E0" w:sz="6" w:space="0"/>
              <w:right w:val="single" w:color="D9D9E0" w:sz="6" w:space="0"/>
            </w:tcBorders>
          </w:tcPr>
          <w:p w14:paraId="1DEC13F4">
            <w:r>
              <w:t>Whether escalations are 'genuinely hard' or a confidence/findability problem</w:t>
            </w:r>
          </w:p>
        </w:tc>
        <w:tc>
          <w:tcPr>
            <w:tcW w:w="2448" w:type="dxa"/>
            <w:tcBorders>
              <w:top w:val="single" w:color="D9D9E0" w:sz="6" w:space="0"/>
              <w:left w:val="single" w:color="D9D9E0" w:sz="6" w:space="0"/>
              <w:bottom w:val="single" w:color="D9D9E0" w:sz="6" w:space="0"/>
              <w:right w:val="single" w:color="D9D9E0" w:sz="6" w:space="0"/>
            </w:tcBorders>
          </w:tcPr>
          <w:p w14:paraId="27783A1C">
            <w:r>
              <w:t>Marcus tracks the escalation rate (58%) and frames tier-2 load as inherent difficulty. Daniel says about half of what reaches him didn't need to.</w:t>
            </w:r>
          </w:p>
        </w:tc>
        <w:tc>
          <w:tcPr>
            <w:tcW w:w="2448" w:type="dxa"/>
            <w:tcBorders>
              <w:top w:val="single" w:color="D9D9E0" w:sz="6" w:space="0"/>
              <w:left w:val="single" w:color="D9D9E0" w:sz="6" w:space="0"/>
              <w:bottom w:val="single" w:color="D9D9E0" w:sz="6" w:space="0"/>
              <w:right w:val="single" w:color="D9D9E0" w:sz="6" w:space="0"/>
            </w:tcBorders>
          </w:tcPr>
          <w:p w14:paraId="27418E65">
            <w:r>
              <w:t>138 of 281 historically-escalated dev-set tickets (49%) were themselves answerable_from_docs -- Daniel's 'about half' is close to exactly right.</w:t>
            </w:r>
          </w:p>
        </w:tc>
        <w:tc>
          <w:tcPr>
            <w:tcW w:w="2448" w:type="dxa"/>
            <w:tcBorders>
              <w:top w:val="single" w:color="D9D9E0" w:sz="6" w:space="0"/>
              <w:left w:val="single" w:color="D9D9E0" w:sz="6" w:space="0"/>
              <w:bottom w:val="single" w:color="D9D9E0" w:sz="6" w:space="0"/>
              <w:right w:val="single" w:color="D9D9E0" w:sz="6" w:space="0"/>
            </w:tcBorders>
          </w:tcPr>
          <w:p w14:paraId="4E7D5B01">
            <w:r>
              <w:t>The system should optimise for confident, grounded auto-resolution plus rich escalation context, not just 'escalate anything uncertain' -- a large share of today's escalations were avoidable.</w:t>
            </w:r>
          </w:p>
        </w:tc>
      </w:tr>
      <w:tr w14:paraId="079F4C81">
        <w:trPr>
          <w:jc w:val="center"/>
        </w:trPr>
        <w:tc>
          <w:tcPr>
            <w:tcW w:w="2304" w:type="dxa"/>
            <w:tcBorders>
              <w:top w:val="single" w:color="D9D9E0" w:sz="6" w:space="0"/>
              <w:left w:val="single" w:color="D9D9E0" w:sz="6" w:space="0"/>
              <w:bottom w:val="single" w:color="D9D9E0" w:sz="6" w:space="0"/>
              <w:right w:val="single" w:color="D9D9E0" w:sz="6" w:space="0"/>
            </w:tcBorders>
            <w:shd w:val="clear" w:color="auto" w:fill="F4F4F7"/>
          </w:tcPr>
          <w:p w14:paraId="6523F4BD">
            <w:r>
              <w:t>Whether the documentation itself is the gap</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1FAF21EC">
            <w:r>
              <w:t>Sofia says the documentation is fine, she just can't find things in it; this was heard by Ines as a complaint about documentation quality.</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5254E44D">
            <w:r>
              <w:t>71.4% of tickets are answerable_from_docs -- coverage is good. The problem is retrieval/findability, confirming Sofia's more precise framing.</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6EFD359E">
            <w:r>
              <w:t>Effort belongs in retrieval quality (chunking, embeddings, relevance threshold), not in writing more documentation.</w:t>
            </w:r>
          </w:p>
        </w:tc>
      </w:tr>
      <w:tr w14:paraId="49E21937">
        <w:trPr>
          <w:jc w:val="center"/>
        </w:trPr>
        <w:tc>
          <w:tcPr>
            <w:tcW w:w="2304" w:type="dxa"/>
            <w:tcBorders>
              <w:top w:val="single" w:color="D9D9E0" w:sz="6" w:space="0"/>
              <w:left w:val="single" w:color="D9D9E0" w:sz="6" w:space="0"/>
              <w:bottom w:val="single" w:color="D9D9E0" w:sz="6" w:space="0"/>
              <w:right w:val="single" w:color="D9D9E0" w:sz="6" w:space="0"/>
            </w:tcBorders>
          </w:tcPr>
          <w:p w14:paraId="0E6CCB06">
            <w:r>
              <w:t>Whether non-fluent-English customers get worse service</w:t>
            </w:r>
          </w:p>
        </w:tc>
        <w:tc>
          <w:tcPr>
            <w:tcW w:w="2448" w:type="dxa"/>
            <w:tcBorders>
              <w:top w:val="single" w:color="D9D9E0" w:sz="6" w:space="0"/>
              <w:left w:val="single" w:color="D9D9E0" w:sz="6" w:space="0"/>
              <w:bottom w:val="single" w:color="D9D9E0" w:sz="6" w:space="0"/>
              <w:right w:val="single" w:color="D9D9E0" w:sz="6" w:space="0"/>
            </w:tcBorders>
          </w:tcPr>
          <w:p w14:paraId="5B422988">
            <w:r>
              <w:t>Sofia says these tickets take longer and have the worst, unnoticed satisfaction scores.</w:t>
            </w:r>
          </w:p>
        </w:tc>
        <w:tc>
          <w:tcPr>
            <w:tcW w:w="2448" w:type="dxa"/>
            <w:tcBorders>
              <w:top w:val="single" w:color="D9D9E0" w:sz="6" w:space="0"/>
              <w:left w:val="single" w:color="D9D9E0" w:sz="6" w:space="0"/>
              <w:bottom w:val="single" w:color="D9D9E0" w:sz="6" w:space="0"/>
              <w:right w:val="single" w:color="D9D9E0" w:sz="6" w:space="0"/>
            </w:tcBorders>
          </w:tcPr>
          <w:p w14:paraId="43A8A040">
            <w:r>
              <w:t>Mixed: the larger 500-ticket dev set shows FCR/CSAT roughly flat by fluency (43.2% vs 45.8% FCR); the smaller 80-ticket validation set shows a large gap (21.1% vs 54.1% FCR). Historical data alone doesn't settle this cleanly either way.</w:t>
            </w:r>
          </w:p>
        </w:tc>
        <w:tc>
          <w:tcPr>
            <w:tcW w:w="2448" w:type="dxa"/>
            <w:tcBorders>
              <w:top w:val="single" w:color="D9D9E0" w:sz="6" w:space="0"/>
              <w:left w:val="single" w:color="D9D9E0" w:sz="6" w:space="0"/>
              <w:bottom w:val="single" w:color="D9D9E0" w:sz="6" w:space="0"/>
              <w:right w:val="single" w:color="D9D9E0" w:sz="6" w:space="0"/>
            </w:tcBorders>
          </w:tcPr>
          <w:p w14:paraId="797A4FB0">
            <w:r>
              <w:t>Not resolved by history -- must be tested directly against this system's own retrieval behaviour in the fairness audit rather than assumed true or false.</w:t>
            </w:r>
          </w:p>
        </w:tc>
      </w:tr>
      <w:tr w14:paraId="2236DBCD">
        <w:trPr>
          <w:jc w:val="center"/>
        </w:trPr>
        <w:tc>
          <w:tcPr>
            <w:tcW w:w="2304" w:type="dxa"/>
            <w:tcBorders>
              <w:top w:val="single" w:color="D9D9E0" w:sz="6" w:space="0"/>
              <w:left w:val="single" w:color="D9D9E0" w:sz="6" w:space="0"/>
              <w:bottom w:val="single" w:color="D9D9E0" w:sz="6" w:space="0"/>
              <w:right w:val="single" w:color="D9D9E0" w:sz="6" w:space="0"/>
            </w:tcBorders>
            <w:shd w:val="clear" w:color="auto" w:fill="F4F4F7"/>
          </w:tcPr>
          <w:p w14:paraId="770AD02F">
            <w:pPr>
              <w:spacing w:before="50" w:after="50"/>
            </w:pP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57A247C0">
            <w:pPr>
              <w:spacing w:before="50" w:after="50"/>
            </w:pP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0EFE69F9">
            <w:pPr>
              <w:spacing w:before="50" w:after="50"/>
            </w:pP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57CDFF82">
            <w:pPr>
              <w:spacing w:before="50" w:after="50"/>
            </w:pPr>
          </w:p>
        </w:tc>
      </w:tr>
    </w:tbl>
    <w:p w14:paraId="26B86C6C">
      <w:pPr>
        <w:spacing w:after="80"/>
      </w:pPr>
    </w:p>
    <w:p w14:paraId="2FFC3842">
      <w:pPr>
        <w:spacing w:before="300" w:after="60"/>
      </w:pPr>
      <w:r>
        <w:rPr>
          <w:b/>
          <w:color w:val="1A1A2E"/>
          <w:sz w:val="25"/>
        </w:rPr>
        <w:t>What nobody said</w:t>
      </w:r>
    </w:p>
    <w:p w14:paraId="5013F6BF">
      <w:pPr>
        <w:spacing w:after="140"/>
      </w:pPr>
      <w:r>
        <w:rPr>
          <w:i w:val="0"/>
          <w:sz w:val="21"/>
        </w:rPr>
        <w:t>Real stakeholders leave out the things so familiar to them that they no longer notice them. Record anything you expected somebody to raise that none of the five actually did.</w:t>
      </w:r>
    </w:p>
    <w:tbl>
      <w:tblPr>
        <w:tblStyle w:val="12"/>
        <w:tblW w:w="0" w:type="auto"/>
        <w:jc w:val="center"/>
        <w:tblLayout w:type="fixed"/>
        <w:tblCellMar>
          <w:top w:w="0" w:type="dxa"/>
          <w:left w:w="108" w:type="dxa"/>
          <w:bottom w:w="0" w:type="dxa"/>
          <w:right w:w="108" w:type="dxa"/>
        </w:tblCellMar>
      </w:tblPr>
      <w:tblGrid>
        <w:gridCol w:w="3216"/>
        <w:gridCol w:w="3216"/>
        <w:gridCol w:w="3216"/>
      </w:tblGrid>
      <w:tr w14:paraId="5884BAC5">
        <w:trPr>
          <w:jc w:val="center"/>
        </w:trPr>
        <w:tc>
          <w:tcPr>
            <w:tcW w:w="3168" w:type="dxa"/>
            <w:tcBorders>
              <w:top w:val="single" w:color="D9D9E0" w:sz="6" w:space="0"/>
              <w:left w:val="single" w:color="D9D9E0" w:sz="6" w:space="0"/>
              <w:bottom w:val="single" w:color="D9D9E0" w:sz="6" w:space="0"/>
              <w:right w:val="single" w:color="D9D9E0" w:sz="6" w:space="0"/>
            </w:tcBorders>
            <w:shd w:val="clear" w:color="auto" w:fill="E8660A"/>
          </w:tcPr>
          <w:p w14:paraId="2F099B52">
            <w:pPr>
              <w:spacing w:before="60" w:after="60"/>
            </w:pPr>
            <w:r>
              <w:rPr>
                <w:b/>
                <w:color w:val="FFFFFF"/>
                <w:sz w:val="17"/>
              </w:rPr>
              <w:t>What was never mentioned</w:t>
            </w:r>
          </w:p>
        </w:tc>
        <w:tc>
          <w:tcPr>
            <w:tcW w:w="3312" w:type="dxa"/>
            <w:tcBorders>
              <w:top w:val="single" w:color="D9D9E0" w:sz="6" w:space="0"/>
              <w:left w:val="single" w:color="D9D9E0" w:sz="6" w:space="0"/>
              <w:bottom w:val="single" w:color="D9D9E0" w:sz="6" w:space="0"/>
              <w:right w:val="single" w:color="D9D9E0" w:sz="6" w:space="0"/>
            </w:tcBorders>
            <w:shd w:val="clear" w:color="auto" w:fill="E8660A"/>
          </w:tcPr>
          <w:p w14:paraId="4EDA8A3D">
            <w:pPr>
              <w:spacing w:before="60" w:after="60"/>
            </w:pPr>
            <w:r>
              <w:rPr>
                <w:b/>
                <w:color w:val="FFFFFF"/>
                <w:sz w:val="17"/>
              </w:rPr>
              <w:t>Why you would have expected it</w:t>
            </w:r>
          </w:p>
        </w:tc>
        <w:tc>
          <w:tcPr>
            <w:tcW w:w="3168" w:type="dxa"/>
            <w:tcBorders>
              <w:top w:val="single" w:color="D9D9E0" w:sz="6" w:space="0"/>
              <w:left w:val="single" w:color="D9D9E0" w:sz="6" w:space="0"/>
              <w:bottom w:val="single" w:color="D9D9E0" w:sz="6" w:space="0"/>
              <w:right w:val="single" w:color="D9D9E0" w:sz="6" w:space="0"/>
            </w:tcBorders>
            <w:shd w:val="clear" w:color="auto" w:fill="E8660A"/>
          </w:tcPr>
          <w:p w14:paraId="3AF953AB">
            <w:pPr>
              <w:spacing w:before="60" w:after="60"/>
            </w:pPr>
            <w:r>
              <w:rPr>
                <w:b/>
                <w:color w:val="FFFFFF"/>
                <w:sz w:val="17"/>
              </w:rPr>
              <w:t>How you will check it</w:t>
            </w:r>
          </w:p>
        </w:tc>
      </w:tr>
      <w:tr w14:paraId="6880B2C0">
        <w:trPr>
          <w:jc w:val="center"/>
        </w:trPr>
        <w:tc>
          <w:tcPr>
            <w:tcW w:w="3168" w:type="dxa"/>
            <w:tcBorders>
              <w:top w:val="single" w:color="D9D9E0" w:sz="6" w:space="0"/>
              <w:left w:val="single" w:color="D9D9E0" w:sz="6" w:space="0"/>
              <w:bottom w:val="single" w:color="D9D9E0" w:sz="6" w:space="0"/>
              <w:right w:val="single" w:color="D9D9E0" w:sz="6" w:space="0"/>
            </w:tcBorders>
          </w:tcPr>
          <w:p w14:paraId="404BF0A9">
            <w:r>
              <w:t>Documentation-comment tickets take far longer to resolve than any other channel (avg ~515 min) despite the brief describing them as narrow and technical</w:t>
            </w:r>
          </w:p>
        </w:tc>
        <w:tc>
          <w:tcPr>
            <w:tcW w:w="3312" w:type="dxa"/>
            <w:tcBorders>
              <w:top w:val="single" w:color="D9D9E0" w:sz="6" w:space="0"/>
              <w:left w:val="single" w:color="D9D9E0" w:sz="6" w:space="0"/>
              <w:bottom w:val="single" w:color="D9D9E0" w:sz="6" w:space="0"/>
              <w:right w:val="single" w:color="D9D9E0" w:sz="6" w:space="0"/>
            </w:tcBorders>
          </w:tcPr>
          <w:p w14:paraId="24DC8A51">
            <w:r>
              <w:t>If they're narrow/technical they should be fast to answer</w:t>
            </w:r>
          </w:p>
        </w:tc>
        <w:tc>
          <w:tcPr>
            <w:tcW w:w="3168" w:type="dxa"/>
            <w:tcBorders>
              <w:top w:val="single" w:color="D9D9E0" w:sz="6" w:space="0"/>
              <w:left w:val="single" w:color="D9D9E0" w:sz="6" w:space="0"/>
              <w:bottom w:val="single" w:color="D9D9E0" w:sz="6" w:space="0"/>
              <w:right w:val="single" w:color="D9D9E0" w:sz="6" w:space="0"/>
            </w:tcBorders>
          </w:tcPr>
          <w:p w14:paraId="71327E45">
            <w:r>
              <w:t>Compared median/average resolution time by channel directly in the data</w:t>
            </w:r>
          </w:p>
        </w:tc>
      </w:tr>
      <w:tr w14:paraId="2B3A23C1">
        <w:trPr>
          <w:jc w:val="center"/>
        </w:trPr>
        <w:tc>
          <w:tcPr>
            <w:tcW w:w="3168" w:type="dxa"/>
            <w:tcBorders>
              <w:top w:val="single" w:color="D9D9E0" w:sz="6" w:space="0"/>
              <w:left w:val="single" w:color="D9D9E0" w:sz="6" w:space="0"/>
              <w:bottom w:val="single" w:color="D9D9E0" w:sz="6" w:space="0"/>
              <w:right w:val="single" w:color="D9D9E0" w:sz="6" w:space="0"/>
            </w:tcBorders>
            <w:shd w:val="clear" w:color="auto" w:fill="F4F4F7"/>
          </w:tcPr>
          <w:p w14:paraId="46D760B9">
            <w:r>
              <w:t>Four intent categories (compliance_request, security_incident, feature_request, unclear_request) are escalated 100% of the time already, with no exceptions</w:t>
            </w:r>
          </w:p>
        </w:tc>
        <w:tc>
          <w:tcPr>
            <w:tcW w:w="3312" w:type="dxa"/>
            <w:tcBorders>
              <w:top w:val="single" w:color="D9D9E0" w:sz="6" w:space="0"/>
              <w:left w:val="single" w:color="D9D9E0" w:sz="6" w:space="0"/>
              <w:bottom w:val="single" w:color="D9D9E0" w:sz="6" w:space="0"/>
              <w:right w:val="single" w:color="D9D9E0" w:sz="6" w:space="0"/>
            </w:tcBorders>
            <w:shd w:val="clear" w:color="auto" w:fill="F4F4F7"/>
          </w:tcPr>
          <w:p w14:paraId="7A3BE2F9">
            <w:r>
              <w:t>Marcus mentions being worried about compliance and security but never states this as an existing hard rule, even though the data shows it already functions as one</w:t>
            </w:r>
          </w:p>
        </w:tc>
        <w:tc>
          <w:tcPr>
            <w:tcW w:w="3168" w:type="dxa"/>
            <w:tcBorders>
              <w:top w:val="single" w:color="D9D9E0" w:sz="6" w:space="0"/>
              <w:left w:val="single" w:color="D9D9E0" w:sz="6" w:space="0"/>
              <w:bottom w:val="single" w:color="D9D9E0" w:sz="6" w:space="0"/>
              <w:right w:val="single" w:color="D9D9E0" w:sz="6" w:space="0"/>
            </w:tcBorders>
            <w:shd w:val="clear" w:color="auto" w:fill="F4F4F7"/>
          </w:tcPr>
          <w:p w14:paraId="4B4C10D9">
            <w:r>
              <w:t>Cross-tabulated must_not_auto_respond against intent in the data</w:t>
            </w:r>
          </w:p>
        </w:tc>
      </w:tr>
      <w:tr w14:paraId="6EC9CE83">
        <w:trPr>
          <w:jc w:val="center"/>
        </w:trPr>
        <w:tc>
          <w:tcPr>
            <w:tcW w:w="3168" w:type="dxa"/>
            <w:tcBorders>
              <w:top w:val="single" w:color="D9D9E0" w:sz="6" w:space="0"/>
              <w:left w:val="single" w:color="D9D9E0" w:sz="6" w:space="0"/>
              <w:bottom w:val="single" w:color="D9D9E0" w:sz="6" w:space="0"/>
              <w:right w:val="single" w:color="D9D9E0" w:sz="6" w:space="0"/>
            </w:tcBorders>
          </w:tcPr>
          <w:p w14:paraId="2549436D">
            <w:r>
              <w:t>21.6% of tickets are repeat contacts -- the same customer raising the same issue again within a week</w:t>
            </w:r>
          </w:p>
        </w:tc>
        <w:tc>
          <w:tcPr>
            <w:tcW w:w="3312" w:type="dxa"/>
            <w:tcBorders>
              <w:top w:val="single" w:color="D9D9E0" w:sz="6" w:space="0"/>
              <w:left w:val="single" w:color="D9D9E0" w:sz="6" w:space="0"/>
              <w:bottom w:val="single" w:color="D9D9E0" w:sz="6" w:space="0"/>
              <w:right w:val="single" w:color="D9D9E0" w:sz="6" w:space="0"/>
            </w:tcBorders>
          </w:tcPr>
          <w:p w14:paraId="57CC8FC0">
            <w:r>
              <w:t>Daniel's account of agents relearning wrong 'personal snippet' answers implies recurring issues, but no one names a repeat-contact rate directly</w:t>
            </w:r>
          </w:p>
        </w:tc>
        <w:tc>
          <w:tcPr>
            <w:tcW w:w="3168" w:type="dxa"/>
            <w:tcBorders>
              <w:top w:val="single" w:color="D9D9E0" w:sz="6" w:space="0"/>
              <w:left w:val="single" w:color="D9D9E0" w:sz="6" w:space="0"/>
              <w:bottom w:val="single" w:color="D9D9E0" w:sz="6" w:space="0"/>
              <w:right w:val="single" w:color="D9D9E0" w:sz="6" w:space="0"/>
            </w:tcBorders>
          </w:tcPr>
          <w:p w14:paraId="34370014">
            <w:r>
              <w:t>Computed history.repeat_contact directly from the ticket data</w:t>
            </w:r>
          </w:p>
        </w:tc>
      </w:tr>
      <w:tr w14:paraId="4A2129C7">
        <w:trPr>
          <w:jc w:val="center"/>
        </w:trPr>
        <w:tc>
          <w:tcPr>
            <w:tcW w:w="3168" w:type="dxa"/>
            <w:tcBorders>
              <w:top w:val="single" w:color="D9D9E0" w:sz="6" w:space="0"/>
              <w:left w:val="single" w:color="D9D9E0" w:sz="6" w:space="0"/>
              <w:bottom w:val="single" w:color="D9D9E0" w:sz="6" w:space="0"/>
              <w:right w:val="single" w:color="D9D9E0" w:sz="6" w:space="0"/>
            </w:tcBorders>
            <w:shd w:val="clear" w:color="auto" w:fill="F4F4F7"/>
          </w:tcPr>
          <w:p w14:paraId="42C9D414">
            <w:pPr>
              <w:spacing w:before="50" w:after="50"/>
            </w:pPr>
          </w:p>
        </w:tc>
        <w:tc>
          <w:tcPr>
            <w:tcW w:w="3312" w:type="dxa"/>
            <w:tcBorders>
              <w:top w:val="single" w:color="D9D9E0" w:sz="6" w:space="0"/>
              <w:left w:val="single" w:color="D9D9E0" w:sz="6" w:space="0"/>
              <w:bottom w:val="single" w:color="D9D9E0" w:sz="6" w:space="0"/>
              <w:right w:val="single" w:color="D9D9E0" w:sz="6" w:space="0"/>
            </w:tcBorders>
            <w:shd w:val="clear" w:color="auto" w:fill="F4F4F7"/>
          </w:tcPr>
          <w:p w14:paraId="0DAD12F2">
            <w:pPr>
              <w:spacing w:before="50" w:after="50"/>
            </w:pPr>
          </w:p>
        </w:tc>
        <w:tc>
          <w:tcPr>
            <w:tcW w:w="3168" w:type="dxa"/>
            <w:tcBorders>
              <w:top w:val="single" w:color="D9D9E0" w:sz="6" w:space="0"/>
              <w:left w:val="single" w:color="D9D9E0" w:sz="6" w:space="0"/>
              <w:bottom w:val="single" w:color="D9D9E0" w:sz="6" w:space="0"/>
              <w:right w:val="single" w:color="D9D9E0" w:sz="6" w:space="0"/>
            </w:tcBorders>
            <w:shd w:val="clear" w:color="auto" w:fill="F4F4F7"/>
          </w:tcPr>
          <w:p w14:paraId="5686B0A6">
            <w:pPr>
              <w:spacing w:before="50" w:after="50"/>
            </w:pPr>
          </w:p>
        </w:tc>
      </w:tr>
    </w:tbl>
    <w:p w14:paraId="4246B1D0">
      <w:pPr>
        <w:spacing w:after="80"/>
      </w:pPr>
    </w:p>
    <w:p w14:paraId="78D939C2">
      <w:r>
        <w:br w:type="page"/>
      </w:r>
    </w:p>
    <w:p w14:paraId="7BD584F0">
      <w:pPr>
        <w:pBdr>
          <w:bottom w:val="single" w:color="E8660A" w:sz="8" w:space="6"/>
        </w:pBdr>
        <w:spacing w:before="440" w:after="60"/>
      </w:pPr>
      <w:r>
        <w:rPr>
          <w:b/>
          <w:color w:val="E8660A"/>
          <w:sz w:val="34"/>
        </w:rPr>
        <w:t xml:space="preserve">2   </w:t>
      </w:r>
      <w:r>
        <w:rPr>
          <w:b/>
          <w:color w:val="1A1A2E"/>
          <w:sz w:val="34"/>
        </w:rPr>
        <w:t>Section two: what the ticket data shows</w:t>
      </w:r>
    </w:p>
    <w:p w14:paraId="01C30F08">
      <w:pPr>
        <w:spacing w:after="140"/>
      </w:pPr>
      <w:r>
        <w:rPr>
          <w:i w:val="0"/>
          <w:sz w:val="21"/>
        </w:rPr>
        <w:t>Before you interpret anything, count it. Load development_tickets.json and fill in the table below from the data itself rather than from impression. Where a figure surprises you, write the surprise down; those are usually the most productive threads to pull.</w:t>
      </w:r>
    </w:p>
    <w:tbl>
      <w:tblPr>
        <w:tblStyle w:val="12"/>
        <w:tblW w:w="0" w:type="auto"/>
        <w:jc w:val="center"/>
        <w:tblLayout w:type="fixed"/>
        <w:tblCellMar>
          <w:top w:w="0" w:type="dxa"/>
          <w:left w:w="108" w:type="dxa"/>
          <w:bottom w:w="0" w:type="dxa"/>
          <w:right w:w="108" w:type="dxa"/>
        </w:tblCellMar>
      </w:tblPr>
      <w:tblGrid>
        <w:gridCol w:w="2412"/>
        <w:gridCol w:w="2412"/>
        <w:gridCol w:w="2412"/>
        <w:gridCol w:w="2412"/>
      </w:tblGrid>
      <w:tr w14:paraId="640CA87B">
        <w:trPr>
          <w:jc w:val="center"/>
        </w:trPr>
        <w:tc>
          <w:tcPr>
            <w:tcW w:w="2880" w:type="dxa"/>
            <w:tcBorders>
              <w:top w:val="single" w:color="D9D9E0" w:sz="6" w:space="0"/>
              <w:left w:val="single" w:color="D9D9E0" w:sz="6" w:space="0"/>
              <w:bottom w:val="single" w:color="D9D9E0" w:sz="6" w:space="0"/>
              <w:right w:val="single" w:color="D9D9E0" w:sz="6" w:space="0"/>
            </w:tcBorders>
            <w:shd w:val="clear" w:color="auto" w:fill="E8660A"/>
          </w:tcPr>
          <w:p w14:paraId="1E34265E">
            <w:pPr>
              <w:spacing w:before="60" w:after="60"/>
            </w:pPr>
            <w:r>
              <w:rPr>
                <w:b/>
                <w:color w:val="FFFFFF"/>
                <w:sz w:val="17"/>
              </w:rPr>
              <w:t>What to measure</w:t>
            </w:r>
          </w:p>
        </w:tc>
        <w:tc>
          <w:tcPr>
            <w:tcW w:w="1440" w:type="dxa"/>
            <w:tcBorders>
              <w:top w:val="single" w:color="D9D9E0" w:sz="6" w:space="0"/>
              <w:left w:val="single" w:color="D9D9E0" w:sz="6" w:space="0"/>
              <w:bottom w:val="single" w:color="D9D9E0" w:sz="6" w:space="0"/>
              <w:right w:val="single" w:color="D9D9E0" w:sz="6" w:space="0"/>
            </w:tcBorders>
            <w:shd w:val="clear" w:color="auto" w:fill="E8660A"/>
          </w:tcPr>
          <w:p w14:paraId="024875D8">
            <w:pPr>
              <w:spacing w:before="60" w:after="60"/>
            </w:pPr>
            <w:r>
              <w:rPr>
                <w:b/>
                <w:color w:val="FFFFFF"/>
                <w:sz w:val="17"/>
              </w:rPr>
              <w:t>Your figure</w:t>
            </w:r>
          </w:p>
        </w:tc>
        <w:tc>
          <w:tcPr>
            <w:tcW w:w="2592" w:type="dxa"/>
            <w:tcBorders>
              <w:top w:val="single" w:color="D9D9E0" w:sz="6" w:space="0"/>
              <w:left w:val="single" w:color="D9D9E0" w:sz="6" w:space="0"/>
              <w:bottom w:val="single" w:color="D9D9E0" w:sz="6" w:space="0"/>
              <w:right w:val="single" w:color="D9D9E0" w:sz="6" w:space="0"/>
            </w:tcBorders>
            <w:shd w:val="clear" w:color="auto" w:fill="E8660A"/>
          </w:tcPr>
          <w:p w14:paraId="05BDE3F6">
            <w:pPr>
              <w:spacing w:before="60" w:after="60"/>
            </w:pPr>
            <w:r>
              <w:rPr>
                <w:b/>
                <w:color w:val="FFFFFF"/>
                <w:sz w:val="17"/>
              </w:rPr>
              <w:t>Where the figure came from</w:t>
            </w:r>
          </w:p>
        </w:tc>
        <w:tc>
          <w:tcPr>
            <w:tcW w:w="2736" w:type="dxa"/>
            <w:tcBorders>
              <w:top w:val="single" w:color="D9D9E0" w:sz="6" w:space="0"/>
              <w:left w:val="single" w:color="D9D9E0" w:sz="6" w:space="0"/>
              <w:bottom w:val="single" w:color="D9D9E0" w:sz="6" w:space="0"/>
              <w:right w:val="single" w:color="D9D9E0" w:sz="6" w:space="0"/>
            </w:tcBorders>
            <w:shd w:val="clear" w:color="auto" w:fill="E8660A"/>
          </w:tcPr>
          <w:p w14:paraId="08AB4148">
            <w:pPr>
              <w:spacing w:before="60" w:after="60"/>
            </w:pPr>
            <w:r>
              <w:rPr>
                <w:b/>
                <w:color w:val="FFFFFF"/>
                <w:sz w:val="17"/>
              </w:rPr>
              <w:t>What surprised you about it</w:t>
            </w:r>
          </w:p>
        </w:tc>
      </w:tr>
      <w:tr w14:paraId="03D9FE69">
        <w:trPr>
          <w:jc w:val="center"/>
        </w:trPr>
        <w:tc>
          <w:tcPr>
            <w:tcW w:w="2880" w:type="dxa"/>
            <w:tcBorders>
              <w:top w:val="single" w:color="D9D9E0" w:sz="6" w:space="0"/>
              <w:left w:val="single" w:color="D9D9E0" w:sz="6" w:space="0"/>
              <w:bottom w:val="single" w:color="D9D9E0" w:sz="6" w:space="0"/>
              <w:right w:val="single" w:color="D9D9E0" w:sz="6" w:space="0"/>
            </w:tcBorders>
          </w:tcPr>
          <w:p w14:paraId="0D79BC11">
            <w:pPr>
              <w:spacing w:before="50" w:after="50"/>
            </w:pPr>
            <w:r>
              <w:rPr>
                <w:sz w:val="16"/>
              </w:rPr>
              <w:t>Total tickets in the sample</w:t>
            </w:r>
          </w:p>
        </w:tc>
        <w:tc>
          <w:tcPr>
            <w:tcW w:w="1440" w:type="dxa"/>
            <w:tcBorders>
              <w:top w:val="single" w:color="D9D9E0" w:sz="6" w:space="0"/>
              <w:left w:val="single" w:color="D9D9E0" w:sz="6" w:space="0"/>
              <w:bottom w:val="single" w:color="D9D9E0" w:sz="6" w:space="0"/>
              <w:right w:val="single" w:color="D9D9E0" w:sz="6" w:space="0"/>
            </w:tcBorders>
          </w:tcPr>
          <w:p w14:paraId="0574E302">
            <w:r>
              <w:t>500</w:t>
            </w:r>
          </w:p>
        </w:tc>
        <w:tc>
          <w:tcPr>
            <w:tcW w:w="2592" w:type="dxa"/>
            <w:tcBorders>
              <w:top w:val="single" w:color="D9D9E0" w:sz="6" w:space="0"/>
              <w:left w:val="single" w:color="D9D9E0" w:sz="6" w:space="0"/>
              <w:bottom w:val="single" w:color="D9D9E0" w:sz="6" w:space="0"/>
              <w:right w:val="single" w:color="D9D9E0" w:sz="6" w:space="0"/>
            </w:tcBorders>
          </w:tcPr>
          <w:p w14:paraId="45B5939D">
            <w:r>
              <w:t>len(development_tickets.json)</w:t>
            </w:r>
          </w:p>
        </w:tc>
        <w:tc>
          <w:tcPr>
            <w:tcW w:w="2736" w:type="dxa"/>
            <w:tcBorders>
              <w:top w:val="single" w:color="D9D9E0" w:sz="6" w:space="0"/>
              <w:left w:val="single" w:color="D9D9E0" w:sz="6" w:space="0"/>
              <w:bottom w:val="single" w:color="D9D9E0" w:sz="6" w:space="0"/>
              <w:right w:val="single" w:color="D9D9E0" w:sz="6" w:space="0"/>
            </w:tcBorders>
          </w:tcPr>
          <w:p w14:paraId="7AC78724">
            <w:r>
              <w:t>N/A</w:t>
            </w:r>
          </w:p>
        </w:tc>
      </w:tr>
      <w:tr w14:paraId="7C0350E4">
        <w:trPr>
          <w:jc w:val="center"/>
        </w:trPr>
        <w:tc>
          <w:tcPr>
            <w:tcW w:w="2880" w:type="dxa"/>
            <w:tcBorders>
              <w:top w:val="single" w:color="D9D9E0" w:sz="6" w:space="0"/>
              <w:left w:val="single" w:color="D9D9E0" w:sz="6" w:space="0"/>
              <w:bottom w:val="single" w:color="D9D9E0" w:sz="6" w:space="0"/>
              <w:right w:val="single" w:color="D9D9E0" w:sz="6" w:space="0"/>
            </w:tcBorders>
            <w:shd w:val="clear" w:color="auto" w:fill="F4F4F7"/>
          </w:tcPr>
          <w:p w14:paraId="25416F1C">
            <w:pPr>
              <w:spacing w:before="50" w:after="50"/>
            </w:pPr>
            <w:r>
              <w:rPr>
                <w:sz w:val="16"/>
              </w:rPr>
              <w:t>Split by channel</w:t>
            </w:r>
          </w:p>
        </w:tc>
        <w:tc>
          <w:tcPr>
            <w:tcW w:w="1440" w:type="dxa"/>
            <w:tcBorders>
              <w:top w:val="single" w:color="D9D9E0" w:sz="6" w:space="0"/>
              <w:left w:val="single" w:color="D9D9E0" w:sz="6" w:space="0"/>
              <w:bottom w:val="single" w:color="D9D9E0" w:sz="6" w:space="0"/>
              <w:right w:val="single" w:color="D9D9E0" w:sz="6" w:space="0"/>
            </w:tcBorders>
            <w:shd w:val="clear" w:color="auto" w:fill="F4F4F7"/>
          </w:tcPr>
          <w:p w14:paraId="7E679C6A">
            <w:r>
              <w:t>email 212 (42.4%), chat 155 (31.0%), docs_comment 78 (15.6%), forum 55 (11.0%)</w:t>
            </w:r>
          </w:p>
        </w:tc>
        <w:tc>
          <w:tcPr>
            <w:tcW w:w="2592" w:type="dxa"/>
            <w:tcBorders>
              <w:top w:val="single" w:color="D9D9E0" w:sz="6" w:space="0"/>
              <w:left w:val="single" w:color="D9D9E0" w:sz="6" w:space="0"/>
              <w:bottom w:val="single" w:color="D9D9E0" w:sz="6" w:space="0"/>
              <w:right w:val="single" w:color="D9D9E0" w:sz="6" w:space="0"/>
            </w:tcBorders>
            <w:shd w:val="clear" w:color="auto" w:fill="F4F4F7"/>
          </w:tcPr>
          <w:p w14:paraId="4D934033">
            <w:r>
              <w:t>Counter over the channel field</w:t>
            </w:r>
          </w:p>
        </w:tc>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0E79C73F">
            <w:r>
              <w:t>docs_comment is a much smaller share than expected given how much interview time went to documentation</w:t>
            </w:r>
          </w:p>
        </w:tc>
      </w:tr>
      <w:tr w14:paraId="0C767273">
        <w:trPr>
          <w:jc w:val="center"/>
        </w:trPr>
        <w:tc>
          <w:tcPr>
            <w:tcW w:w="2880" w:type="dxa"/>
            <w:tcBorders>
              <w:top w:val="single" w:color="D9D9E0" w:sz="6" w:space="0"/>
              <w:left w:val="single" w:color="D9D9E0" w:sz="6" w:space="0"/>
              <w:bottom w:val="single" w:color="D9D9E0" w:sz="6" w:space="0"/>
              <w:right w:val="single" w:color="D9D9E0" w:sz="6" w:space="0"/>
            </w:tcBorders>
          </w:tcPr>
          <w:p w14:paraId="247CDABB">
            <w:pPr>
              <w:spacing w:before="50" w:after="50"/>
            </w:pPr>
            <w:r>
              <w:rPr>
                <w:sz w:val="16"/>
              </w:rPr>
              <w:t>Split by intent category</w:t>
            </w:r>
          </w:p>
        </w:tc>
        <w:tc>
          <w:tcPr>
            <w:tcW w:w="1440" w:type="dxa"/>
            <w:tcBorders>
              <w:top w:val="single" w:color="D9D9E0" w:sz="6" w:space="0"/>
              <w:left w:val="single" w:color="D9D9E0" w:sz="6" w:space="0"/>
              <w:bottom w:val="single" w:color="D9D9E0" w:sz="6" w:space="0"/>
              <w:right w:val="single" w:color="D9D9E0" w:sz="6" w:space="0"/>
            </w:tcBorders>
          </w:tcPr>
          <w:p w14:paraId="214AB706">
            <w:r>
              <w:t>22 classes, near-uniform: 2.6%-5.8% each (highest: data_export/data_residency at 5.8%; lowest: rate_limit at 2.6%)</w:t>
            </w:r>
          </w:p>
        </w:tc>
        <w:tc>
          <w:tcPr>
            <w:tcW w:w="2592" w:type="dxa"/>
            <w:tcBorders>
              <w:top w:val="single" w:color="D9D9E0" w:sz="6" w:space="0"/>
              <w:left w:val="single" w:color="D9D9E0" w:sz="6" w:space="0"/>
              <w:bottom w:val="single" w:color="D9D9E0" w:sz="6" w:space="0"/>
              <w:right w:val="single" w:color="D9D9E0" w:sz="6" w:space="0"/>
            </w:tcBorders>
          </w:tcPr>
          <w:p w14:paraId="491FEABF">
            <w:r>
              <w:t>Counter over labels.intent</w:t>
            </w:r>
          </w:p>
        </w:tc>
        <w:tc>
          <w:tcPr>
            <w:tcW w:w="2736" w:type="dxa"/>
            <w:tcBorders>
              <w:top w:val="single" w:color="D9D9E0" w:sz="6" w:space="0"/>
              <w:left w:val="single" w:color="D9D9E0" w:sz="6" w:space="0"/>
              <w:bottom w:val="single" w:color="D9D9E0" w:sz="6" w:space="0"/>
              <w:right w:val="single" w:color="D9D9E0" w:sz="6" w:space="0"/>
            </w:tcBorders>
          </w:tcPr>
          <w:p w14:paraId="6E5DCB3A">
            <w:r>
              <w:t>No dominant category at all -- rules out 'automate the top 3 intents and you're mostly done'</w:t>
            </w:r>
          </w:p>
        </w:tc>
      </w:tr>
      <w:tr w14:paraId="3BDF222E">
        <w:trPr>
          <w:jc w:val="center"/>
        </w:trPr>
        <w:tc>
          <w:tcPr>
            <w:tcW w:w="2880" w:type="dxa"/>
            <w:tcBorders>
              <w:top w:val="single" w:color="D9D9E0" w:sz="6" w:space="0"/>
              <w:left w:val="single" w:color="D9D9E0" w:sz="6" w:space="0"/>
              <w:bottom w:val="single" w:color="D9D9E0" w:sz="6" w:space="0"/>
              <w:right w:val="single" w:color="D9D9E0" w:sz="6" w:space="0"/>
            </w:tcBorders>
            <w:shd w:val="clear" w:color="auto" w:fill="F4F4F7"/>
          </w:tcPr>
          <w:p w14:paraId="205488C6">
            <w:pPr>
              <w:spacing w:before="50" w:after="50"/>
            </w:pPr>
            <w:r>
              <w:rPr>
                <w:sz w:val="16"/>
              </w:rPr>
              <w:t>Split by urgency</w:t>
            </w:r>
          </w:p>
        </w:tc>
        <w:tc>
          <w:tcPr>
            <w:tcW w:w="1440" w:type="dxa"/>
            <w:tcBorders>
              <w:top w:val="single" w:color="D9D9E0" w:sz="6" w:space="0"/>
              <w:left w:val="single" w:color="D9D9E0" w:sz="6" w:space="0"/>
              <w:bottom w:val="single" w:color="D9D9E0" w:sz="6" w:space="0"/>
              <w:right w:val="single" w:color="D9D9E0" w:sz="6" w:space="0"/>
            </w:tcBorders>
            <w:shd w:val="clear" w:color="auto" w:fill="F4F4F7"/>
          </w:tcPr>
          <w:p w14:paraId="6A92E199">
            <w:r>
              <w:t>high 146 (29.2%), medium 226 (45.2%), low 128 (25.6%)</w:t>
            </w:r>
          </w:p>
        </w:tc>
        <w:tc>
          <w:tcPr>
            <w:tcW w:w="2592" w:type="dxa"/>
            <w:tcBorders>
              <w:top w:val="single" w:color="D9D9E0" w:sz="6" w:space="0"/>
              <w:left w:val="single" w:color="D9D9E0" w:sz="6" w:space="0"/>
              <w:bottom w:val="single" w:color="D9D9E0" w:sz="6" w:space="0"/>
              <w:right w:val="single" w:color="D9D9E0" w:sz="6" w:space="0"/>
            </w:tcBorders>
            <w:shd w:val="clear" w:color="auto" w:fill="F4F4F7"/>
          </w:tcPr>
          <w:p w14:paraId="60A7016F">
            <w:r>
              <w:t>Counter over labels.urgency</w:t>
            </w:r>
          </w:p>
        </w:tc>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4E281EF4">
            <w:r>
              <w:t>N/A</w:t>
            </w:r>
          </w:p>
        </w:tc>
      </w:tr>
      <w:tr w14:paraId="6FE63F43">
        <w:trPr>
          <w:jc w:val="center"/>
        </w:trPr>
        <w:tc>
          <w:tcPr>
            <w:tcW w:w="2880" w:type="dxa"/>
            <w:tcBorders>
              <w:top w:val="single" w:color="D9D9E0" w:sz="6" w:space="0"/>
              <w:left w:val="single" w:color="D9D9E0" w:sz="6" w:space="0"/>
              <w:bottom w:val="single" w:color="D9D9E0" w:sz="6" w:space="0"/>
              <w:right w:val="single" w:color="D9D9E0" w:sz="6" w:space="0"/>
            </w:tcBorders>
          </w:tcPr>
          <w:p w14:paraId="2A46FDBC">
            <w:pPr>
              <w:spacing w:before="50" w:after="50"/>
            </w:pPr>
            <w:r>
              <w:rPr>
                <w:sz w:val="16"/>
              </w:rPr>
              <w:t>Proportion marked resolved on first contact</w:t>
            </w:r>
          </w:p>
        </w:tc>
        <w:tc>
          <w:tcPr>
            <w:tcW w:w="1440" w:type="dxa"/>
            <w:tcBorders>
              <w:top w:val="single" w:color="D9D9E0" w:sz="6" w:space="0"/>
              <w:left w:val="single" w:color="D9D9E0" w:sz="6" w:space="0"/>
              <w:bottom w:val="single" w:color="D9D9E0" w:sz="6" w:space="0"/>
              <w:right w:val="single" w:color="D9D9E0" w:sz="6" w:space="0"/>
            </w:tcBorders>
          </w:tcPr>
          <w:p w14:paraId="2D5232E3">
            <w:r>
              <w:t>43.8% overall</w:t>
            </w:r>
          </w:p>
        </w:tc>
        <w:tc>
          <w:tcPr>
            <w:tcW w:w="2592" w:type="dxa"/>
            <w:tcBorders>
              <w:top w:val="single" w:color="D9D9E0" w:sz="6" w:space="0"/>
              <w:left w:val="single" w:color="D9D9E0" w:sz="6" w:space="0"/>
              <w:bottom w:val="single" w:color="D9D9E0" w:sz="6" w:space="0"/>
              <w:right w:val="single" w:color="D9D9E0" w:sz="6" w:space="0"/>
            </w:tcBorders>
          </w:tcPr>
          <w:p w14:paraId="08A554BB">
            <w:r>
              <w:t>history.first_contact_resolution</w:t>
            </w:r>
          </w:p>
        </w:tc>
        <w:tc>
          <w:tcPr>
            <w:tcW w:w="2736" w:type="dxa"/>
            <w:tcBorders>
              <w:top w:val="single" w:color="D9D9E0" w:sz="6" w:space="0"/>
              <w:left w:val="single" w:color="D9D9E0" w:sz="6" w:space="0"/>
              <w:bottom w:val="single" w:color="D9D9E0" w:sz="6" w:space="0"/>
              <w:right w:val="single" w:color="D9D9E0" w:sz="6" w:space="0"/>
            </w:tcBorders>
          </w:tcPr>
          <w:p w14:paraId="22025069">
            <w:r>
              <w:t>Matches Marcus's stated 42% closely -- the dataset is internally consistent with the brief</w:t>
            </w:r>
          </w:p>
        </w:tc>
      </w:tr>
      <w:tr w14:paraId="14BF281A">
        <w:trPr>
          <w:jc w:val="center"/>
        </w:trPr>
        <w:tc>
          <w:tcPr>
            <w:tcW w:w="2880" w:type="dxa"/>
            <w:tcBorders>
              <w:top w:val="single" w:color="D9D9E0" w:sz="6" w:space="0"/>
              <w:left w:val="single" w:color="D9D9E0" w:sz="6" w:space="0"/>
              <w:bottom w:val="single" w:color="D9D9E0" w:sz="6" w:space="0"/>
              <w:right w:val="single" w:color="D9D9E0" w:sz="6" w:space="0"/>
            </w:tcBorders>
            <w:shd w:val="clear" w:color="auto" w:fill="F4F4F7"/>
          </w:tcPr>
          <w:p w14:paraId="71771156">
            <w:pPr>
              <w:spacing w:before="50" w:after="50"/>
            </w:pPr>
            <w:r>
              <w:rPr>
                <w:sz w:val="16"/>
              </w:rPr>
              <w:t>Average satisfaction rating</w:t>
            </w:r>
          </w:p>
        </w:tc>
        <w:tc>
          <w:tcPr>
            <w:tcW w:w="1440" w:type="dxa"/>
            <w:tcBorders>
              <w:top w:val="single" w:color="D9D9E0" w:sz="6" w:space="0"/>
              <w:left w:val="single" w:color="D9D9E0" w:sz="6" w:space="0"/>
              <w:bottom w:val="single" w:color="D9D9E0" w:sz="6" w:space="0"/>
              <w:right w:val="single" w:color="D9D9E0" w:sz="6" w:space="0"/>
            </w:tcBorders>
            <w:shd w:val="clear" w:color="auto" w:fill="F4F4F7"/>
          </w:tcPr>
          <w:p w14:paraId="023F4704">
            <w:r>
              <w:t>2.97 / 5 (ticket-level average across all 500)</w:t>
            </w:r>
          </w:p>
        </w:tc>
        <w:tc>
          <w:tcPr>
            <w:tcW w:w="2592" w:type="dxa"/>
            <w:tcBorders>
              <w:top w:val="single" w:color="D9D9E0" w:sz="6" w:space="0"/>
              <w:left w:val="single" w:color="D9D9E0" w:sz="6" w:space="0"/>
              <w:bottom w:val="single" w:color="D9D9E0" w:sz="6" w:space="0"/>
              <w:right w:val="single" w:color="D9D9E0" w:sz="6" w:space="0"/>
            </w:tcBorders>
            <w:shd w:val="clear" w:color="auto" w:fill="F4F4F7"/>
          </w:tcPr>
          <w:p w14:paraId="20B9FF2B">
            <w:r>
              <w:t>history.csat_rating</w:t>
            </w:r>
          </w:p>
        </w:tc>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7602FDD4">
            <w:r>
              <w:t>Lower than the 3.2/5 company-wide figure Marcus quotes -- plausibly because per-ticket average and a quarterly company survey aren't the same measurement</w:t>
            </w:r>
          </w:p>
        </w:tc>
      </w:tr>
      <w:tr w14:paraId="53F91195">
        <w:trPr>
          <w:jc w:val="center"/>
        </w:trPr>
        <w:tc>
          <w:tcPr>
            <w:tcW w:w="2880" w:type="dxa"/>
            <w:tcBorders>
              <w:top w:val="single" w:color="D9D9E0" w:sz="6" w:space="0"/>
              <w:left w:val="single" w:color="D9D9E0" w:sz="6" w:space="0"/>
              <w:bottom w:val="single" w:color="D9D9E0" w:sz="6" w:space="0"/>
              <w:right w:val="single" w:color="D9D9E0" w:sz="6" w:space="0"/>
            </w:tcBorders>
          </w:tcPr>
          <w:p w14:paraId="09A7C55A">
            <w:pPr>
              <w:spacing w:before="50" w:after="50"/>
            </w:pPr>
            <w:r>
              <w:rPr>
                <w:sz w:val="16"/>
              </w:rPr>
              <w:t>Most frequent single question</w:t>
            </w:r>
          </w:p>
        </w:tc>
        <w:tc>
          <w:tcPr>
            <w:tcW w:w="1440" w:type="dxa"/>
            <w:tcBorders>
              <w:top w:val="single" w:color="D9D9E0" w:sz="6" w:space="0"/>
              <w:left w:val="single" w:color="D9D9E0" w:sz="6" w:space="0"/>
              <w:bottom w:val="single" w:color="D9D9E0" w:sz="6" w:space="0"/>
              <w:right w:val="single" w:color="D9D9E0" w:sz="6" w:space="0"/>
            </w:tcBorders>
          </w:tcPr>
          <w:p w14:paraId="504D3F67">
            <w:r>
              <w:t>No single question dominates -- top literal subjects are 'please add per-project spend caps' (12), 'connecting our CI pipeline' (11), 'pagination returns duplicates' (9)</w:t>
            </w:r>
          </w:p>
        </w:tc>
        <w:tc>
          <w:tcPr>
            <w:tcW w:w="2592" w:type="dxa"/>
            <w:tcBorders>
              <w:top w:val="single" w:color="D9D9E0" w:sz="6" w:space="0"/>
              <w:left w:val="single" w:color="D9D9E0" w:sz="6" w:space="0"/>
              <w:bottom w:val="single" w:color="D9D9E0" w:sz="6" w:space="0"/>
              <w:right w:val="single" w:color="D9D9E0" w:sz="6" w:space="0"/>
            </w:tcBorders>
          </w:tcPr>
          <w:p w14:paraId="64F6779A">
            <w:r>
              <w:t>Counter over the subject field</w:t>
            </w:r>
          </w:p>
        </w:tc>
        <w:tc>
          <w:tcPr>
            <w:tcW w:w="2736" w:type="dxa"/>
            <w:tcBorders>
              <w:top w:val="single" w:color="D9D9E0" w:sz="6" w:space="0"/>
              <w:left w:val="single" w:color="D9D9E0" w:sz="6" w:space="0"/>
              <w:bottom w:val="single" w:color="D9D9E0" w:sz="6" w:space="0"/>
              <w:right w:val="single" w:color="D9D9E0" w:sz="6" w:space="0"/>
            </w:tcBorders>
          </w:tcPr>
          <w:p w14:paraId="55B79DDE">
            <w:r>
              <w:t>Confirms the near-uniform intent split -- there is no one FAQ carrying the volume</w:t>
            </w:r>
          </w:p>
        </w:tc>
      </w:tr>
      <w:tr w14:paraId="40A85554">
        <w:trPr>
          <w:jc w:val="center"/>
        </w:trPr>
        <w:tc>
          <w:tcPr>
            <w:tcW w:w="2880" w:type="dxa"/>
            <w:tcBorders>
              <w:top w:val="single" w:color="D9D9E0" w:sz="6" w:space="0"/>
              <w:left w:val="single" w:color="D9D9E0" w:sz="6" w:space="0"/>
              <w:bottom w:val="single" w:color="D9D9E0" w:sz="6" w:space="0"/>
              <w:right w:val="single" w:color="D9D9E0" w:sz="6" w:space="0"/>
            </w:tcBorders>
            <w:shd w:val="clear" w:color="auto" w:fill="F4F4F7"/>
          </w:tcPr>
          <w:p w14:paraId="6954761A">
            <w:pPr>
              <w:spacing w:before="50" w:after="50"/>
            </w:pPr>
            <w:r>
              <w:rPr>
                <w:sz w:val="16"/>
              </w:rPr>
              <w:t>Proportion answerable from existing documentation</w:t>
            </w:r>
          </w:p>
        </w:tc>
        <w:tc>
          <w:tcPr>
            <w:tcW w:w="1440" w:type="dxa"/>
            <w:tcBorders>
              <w:top w:val="single" w:color="D9D9E0" w:sz="6" w:space="0"/>
              <w:left w:val="single" w:color="D9D9E0" w:sz="6" w:space="0"/>
              <w:bottom w:val="single" w:color="D9D9E0" w:sz="6" w:space="0"/>
              <w:right w:val="single" w:color="D9D9E0" w:sz="6" w:space="0"/>
            </w:tcBorders>
            <w:shd w:val="clear" w:color="auto" w:fill="F4F4F7"/>
          </w:tcPr>
          <w:p w14:paraId="56796ECF">
            <w:r>
              <w:t>71.4% (357/500)</w:t>
            </w:r>
          </w:p>
        </w:tc>
        <w:tc>
          <w:tcPr>
            <w:tcW w:w="2592" w:type="dxa"/>
            <w:tcBorders>
              <w:top w:val="single" w:color="D9D9E0" w:sz="6" w:space="0"/>
              <w:left w:val="single" w:color="D9D9E0" w:sz="6" w:space="0"/>
              <w:bottom w:val="single" w:color="D9D9E0" w:sz="6" w:space="0"/>
              <w:right w:val="single" w:color="D9D9E0" w:sz="6" w:space="0"/>
            </w:tcBorders>
            <w:shd w:val="clear" w:color="auto" w:fill="F4F4F7"/>
          </w:tcPr>
          <w:p w14:paraId="00FBE76D">
            <w:r>
              <w:t>labels.answerable_from_docs</w:t>
            </w:r>
          </w:p>
        </w:tc>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5FF047D8">
            <w:r>
              <w:t>This is the single most important number in the whole workbook -- see section 6</w:t>
            </w:r>
          </w:p>
        </w:tc>
      </w:tr>
      <w:tr w14:paraId="39C6F481">
        <w:trPr>
          <w:jc w:val="center"/>
        </w:trPr>
        <w:tc>
          <w:tcPr>
            <w:tcW w:w="2880" w:type="dxa"/>
            <w:tcBorders>
              <w:top w:val="single" w:color="D9D9E0" w:sz="6" w:space="0"/>
              <w:left w:val="single" w:color="D9D9E0" w:sz="6" w:space="0"/>
              <w:bottom w:val="single" w:color="D9D9E0" w:sz="6" w:space="0"/>
              <w:right w:val="single" w:color="D9D9E0" w:sz="6" w:space="0"/>
            </w:tcBorders>
          </w:tcPr>
          <w:p w14:paraId="10FF170D">
            <w:pPr>
              <w:spacing w:before="50" w:after="50"/>
            </w:pPr>
            <w:r>
              <w:rPr>
                <w:sz w:val="16"/>
              </w:rPr>
              <w:t>Proportion marked non-fluent, and their outcomes</w:t>
            </w:r>
          </w:p>
        </w:tc>
        <w:tc>
          <w:tcPr>
            <w:tcW w:w="1440" w:type="dxa"/>
            <w:tcBorders>
              <w:top w:val="single" w:color="D9D9E0" w:sz="6" w:space="0"/>
              <w:left w:val="single" w:color="D9D9E0" w:sz="6" w:space="0"/>
              <w:bottom w:val="single" w:color="D9D9E0" w:sz="6" w:space="0"/>
              <w:right w:val="single" w:color="D9D9E0" w:sz="6" w:space="0"/>
            </w:tcBorders>
          </w:tcPr>
          <w:p w14:paraId="4BDE5464">
            <w:r>
              <w:t>24.0% (120/500) non-fluent. FCR 45.8% vs 43.2% fluent; CSAT 3.04 vs 2.95; repeat-contact 19.2% vs 22.4% -- roughly even or even slightly better in this sample, which does not confirm Sofia's account at this scale</w:t>
            </w:r>
          </w:p>
        </w:tc>
        <w:tc>
          <w:tcPr>
            <w:tcW w:w="2592" w:type="dxa"/>
            <w:tcBorders>
              <w:top w:val="single" w:color="D9D9E0" w:sz="6" w:space="0"/>
              <w:left w:val="single" w:color="D9D9E0" w:sz="6" w:space="0"/>
              <w:bottom w:val="single" w:color="D9D9E0" w:sz="6" w:space="0"/>
              <w:right w:val="single" w:color="D9D9E0" w:sz="6" w:space="0"/>
            </w:tcBorders>
          </w:tcPr>
          <w:p w14:paraId="6904FFCB">
            <w:r>
              <w:t>language_fluency crossed with history.*</w:t>
            </w:r>
          </w:p>
        </w:tc>
        <w:tc>
          <w:tcPr>
            <w:tcW w:w="2736" w:type="dxa"/>
            <w:tcBorders>
              <w:top w:val="single" w:color="D9D9E0" w:sz="6" w:space="0"/>
              <w:left w:val="single" w:color="D9D9E0" w:sz="6" w:space="0"/>
              <w:bottom w:val="single" w:color="D9D9E0" w:sz="6" w:space="0"/>
              <w:right w:val="single" w:color="D9D9E0" w:sz="6" w:space="0"/>
            </w:tcBorders>
          </w:tcPr>
          <w:p w14:paraId="26D93B48">
            <w:r>
              <w:t>Genuinely surprising given Sofia's direct testimony -- see disagreement #3 above</w:t>
            </w:r>
          </w:p>
        </w:tc>
      </w:tr>
      <w:tr w14:paraId="18A32F00">
        <w:trPr>
          <w:jc w:val="center"/>
        </w:trPr>
        <w:tc>
          <w:tcPr>
            <w:tcW w:w="2880" w:type="dxa"/>
            <w:tcBorders>
              <w:top w:val="single" w:color="D9D9E0" w:sz="6" w:space="0"/>
              <w:left w:val="single" w:color="D9D9E0" w:sz="6" w:space="0"/>
              <w:bottom w:val="single" w:color="D9D9E0" w:sz="6" w:space="0"/>
              <w:right w:val="single" w:color="D9D9E0" w:sz="6" w:space="0"/>
            </w:tcBorders>
            <w:shd w:val="clear" w:color="auto" w:fill="F4F4F7"/>
          </w:tcPr>
          <w:p w14:paraId="0C86CAC2">
            <w:pPr>
              <w:spacing w:before="50" w:after="50"/>
            </w:pPr>
            <w:r>
              <w:rPr>
                <w:sz w:val="16"/>
              </w:rPr>
              <w:t>Outcomes by customer tier</w:t>
            </w:r>
          </w:p>
        </w:tc>
        <w:tc>
          <w:tcPr>
            <w:tcW w:w="1440" w:type="dxa"/>
            <w:tcBorders>
              <w:top w:val="single" w:color="D9D9E0" w:sz="6" w:space="0"/>
              <w:left w:val="single" w:color="D9D9E0" w:sz="6" w:space="0"/>
              <w:bottom w:val="single" w:color="D9D9E0" w:sz="6" w:space="0"/>
              <w:right w:val="single" w:color="D9D9E0" w:sz="6" w:space="0"/>
            </w:tcBorders>
            <w:shd w:val="clear" w:color="auto" w:fill="F4F4F7"/>
          </w:tcPr>
          <w:p w14:paraId="28B77CAC">
            <w:r>
              <w:t>FCR: standard 43.1%, business 48.2%, enterprise 37.3%. CSAT roughly flat (2.91-3.05) across tiers</w:t>
            </w:r>
          </w:p>
        </w:tc>
        <w:tc>
          <w:tcPr>
            <w:tcW w:w="2592" w:type="dxa"/>
            <w:tcBorders>
              <w:top w:val="single" w:color="D9D9E0" w:sz="6" w:space="0"/>
              <w:left w:val="single" w:color="D9D9E0" w:sz="6" w:space="0"/>
              <w:bottom w:val="single" w:color="D9D9E0" w:sz="6" w:space="0"/>
              <w:right w:val="single" w:color="D9D9E0" w:sz="6" w:space="0"/>
            </w:tcBorders>
            <w:shd w:val="clear" w:color="auto" w:fill="F4F4F7"/>
          </w:tcPr>
          <w:p w14:paraId="37B04861">
            <w:r>
              <w:t>customer_tier crossed with history.*</w:t>
            </w:r>
          </w:p>
        </w:tc>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2C8AF960">
            <w:r>
              <w:t>Enterprise has the LOWEST historical FCR despite presumably being prioritised -- worth flagging to Marcus given his stated worry about enterprise SLAs</w:t>
            </w:r>
          </w:p>
        </w:tc>
      </w:tr>
      <w:tr w14:paraId="184CEB42">
        <w:trPr>
          <w:jc w:val="center"/>
        </w:trPr>
        <w:tc>
          <w:tcPr>
            <w:tcW w:w="2880" w:type="dxa"/>
            <w:tcBorders>
              <w:top w:val="single" w:color="D9D9E0" w:sz="6" w:space="0"/>
              <w:left w:val="single" w:color="D9D9E0" w:sz="6" w:space="0"/>
              <w:bottom w:val="single" w:color="D9D9E0" w:sz="6" w:space="0"/>
              <w:right w:val="single" w:color="D9D9E0" w:sz="6" w:space="0"/>
            </w:tcBorders>
          </w:tcPr>
          <w:p w14:paraId="463F05E9">
            <w:pPr>
              <w:spacing w:before="50" w:after="50"/>
            </w:pPr>
            <w:r>
              <w:rPr>
                <w:sz w:val="16"/>
              </w:rPr>
              <w:t>Proportion that are repeat contacts</w:t>
            </w:r>
          </w:p>
        </w:tc>
        <w:tc>
          <w:tcPr>
            <w:tcW w:w="1440" w:type="dxa"/>
            <w:tcBorders>
              <w:top w:val="single" w:color="D9D9E0" w:sz="6" w:space="0"/>
              <w:left w:val="single" w:color="D9D9E0" w:sz="6" w:space="0"/>
              <w:bottom w:val="single" w:color="D9D9E0" w:sz="6" w:space="0"/>
              <w:right w:val="single" w:color="D9D9E0" w:sz="6" w:space="0"/>
            </w:tcBorders>
          </w:tcPr>
          <w:p w14:paraId="0C318C42">
            <w:r>
              <w:t>21.6% overall</w:t>
            </w:r>
          </w:p>
        </w:tc>
        <w:tc>
          <w:tcPr>
            <w:tcW w:w="2592" w:type="dxa"/>
            <w:tcBorders>
              <w:top w:val="single" w:color="D9D9E0" w:sz="6" w:space="0"/>
              <w:left w:val="single" w:color="D9D9E0" w:sz="6" w:space="0"/>
              <w:bottom w:val="single" w:color="D9D9E0" w:sz="6" w:space="0"/>
              <w:right w:val="single" w:color="D9D9E0" w:sz="6" w:space="0"/>
            </w:tcBorders>
          </w:tcPr>
          <w:p w14:paraId="41990EC2">
            <w:r>
              <w:t>history.repeat_contact</w:t>
            </w:r>
          </w:p>
        </w:tc>
        <w:tc>
          <w:tcPr>
            <w:tcW w:w="2736" w:type="dxa"/>
            <w:tcBorders>
              <w:top w:val="single" w:color="D9D9E0" w:sz="6" w:space="0"/>
              <w:left w:val="single" w:color="D9D9E0" w:sz="6" w:space="0"/>
              <w:bottom w:val="single" w:color="D9D9E0" w:sz="6" w:space="0"/>
              <w:right w:val="single" w:color="D9D9E0" w:sz="6" w:space="0"/>
            </w:tcBorders>
          </w:tcPr>
          <w:p w14:paraId="6F01093A">
            <w:r>
              <w:t>Nobody mentioned this number directly in interview -- see 'what nobody said' above</w:t>
            </w:r>
          </w:p>
        </w:tc>
      </w:tr>
      <w:tr w14:paraId="0237B6E4">
        <w:trPr>
          <w:jc w:val="center"/>
        </w:trPr>
        <w:tc>
          <w:tcPr>
            <w:tcW w:w="2880" w:type="dxa"/>
            <w:tcBorders>
              <w:top w:val="single" w:color="D9D9E0" w:sz="6" w:space="0"/>
              <w:left w:val="single" w:color="D9D9E0" w:sz="6" w:space="0"/>
              <w:bottom w:val="single" w:color="D9D9E0" w:sz="6" w:space="0"/>
              <w:right w:val="single" w:color="D9D9E0" w:sz="6" w:space="0"/>
            </w:tcBorders>
            <w:shd w:val="clear" w:color="auto" w:fill="F4F4F7"/>
          </w:tcPr>
          <w:p w14:paraId="1BD6F5A6">
            <w:pPr>
              <w:spacing w:before="50" w:after="50"/>
            </w:pPr>
          </w:p>
        </w:tc>
        <w:tc>
          <w:tcPr>
            <w:tcW w:w="1440" w:type="dxa"/>
            <w:tcBorders>
              <w:top w:val="single" w:color="D9D9E0" w:sz="6" w:space="0"/>
              <w:left w:val="single" w:color="D9D9E0" w:sz="6" w:space="0"/>
              <w:bottom w:val="single" w:color="D9D9E0" w:sz="6" w:space="0"/>
              <w:right w:val="single" w:color="D9D9E0" w:sz="6" w:space="0"/>
            </w:tcBorders>
            <w:shd w:val="clear" w:color="auto" w:fill="F4F4F7"/>
          </w:tcPr>
          <w:p w14:paraId="7BD57468">
            <w:pPr>
              <w:spacing w:before="50" w:after="50"/>
            </w:pPr>
          </w:p>
        </w:tc>
        <w:tc>
          <w:tcPr>
            <w:tcW w:w="2592" w:type="dxa"/>
            <w:tcBorders>
              <w:top w:val="single" w:color="D9D9E0" w:sz="6" w:space="0"/>
              <w:left w:val="single" w:color="D9D9E0" w:sz="6" w:space="0"/>
              <w:bottom w:val="single" w:color="D9D9E0" w:sz="6" w:space="0"/>
              <w:right w:val="single" w:color="D9D9E0" w:sz="6" w:space="0"/>
            </w:tcBorders>
            <w:shd w:val="clear" w:color="auto" w:fill="F4F4F7"/>
          </w:tcPr>
          <w:p w14:paraId="685E1F3A">
            <w:pPr>
              <w:spacing w:before="50" w:after="50"/>
            </w:pPr>
          </w:p>
        </w:tc>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23CFD20A">
            <w:pPr>
              <w:spacing w:before="50" w:after="50"/>
            </w:pPr>
          </w:p>
        </w:tc>
      </w:tr>
      <w:tr w14:paraId="3F57B0C8">
        <w:trPr>
          <w:jc w:val="center"/>
        </w:trPr>
        <w:tc>
          <w:tcPr>
            <w:tcW w:w="2880" w:type="dxa"/>
            <w:tcBorders>
              <w:top w:val="single" w:color="D9D9E0" w:sz="6" w:space="0"/>
              <w:left w:val="single" w:color="D9D9E0" w:sz="6" w:space="0"/>
              <w:bottom w:val="single" w:color="D9D9E0" w:sz="6" w:space="0"/>
              <w:right w:val="single" w:color="D9D9E0" w:sz="6" w:space="0"/>
            </w:tcBorders>
          </w:tcPr>
          <w:p w14:paraId="5F4C523F">
            <w:pPr>
              <w:spacing w:before="50" w:after="50"/>
            </w:pPr>
          </w:p>
        </w:tc>
        <w:tc>
          <w:tcPr>
            <w:tcW w:w="1440" w:type="dxa"/>
            <w:tcBorders>
              <w:top w:val="single" w:color="D9D9E0" w:sz="6" w:space="0"/>
              <w:left w:val="single" w:color="D9D9E0" w:sz="6" w:space="0"/>
              <w:bottom w:val="single" w:color="D9D9E0" w:sz="6" w:space="0"/>
              <w:right w:val="single" w:color="D9D9E0" w:sz="6" w:space="0"/>
            </w:tcBorders>
          </w:tcPr>
          <w:p w14:paraId="759CAE18">
            <w:pPr>
              <w:spacing w:before="50" w:after="50"/>
            </w:pPr>
          </w:p>
        </w:tc>
        <w:tc>
          <w:tcPr>
            <w:tcW w:w="2592" w:type="dxa"/>
            <w:tcBorders>
              <w:top w:val="single" w:color="D9D9E0" w:sz="6" w:space="0"/>
              <w:left w:val="single" w:color="D9D9E0" w:sz="6" w:space="0"/>
              <w:bottom w:val="single" w:color="D9D9E0" w:sz="6" w:space="0"/>
              <w:right w:val="single" w:color="D9D9E0" w:sz="6" w:space="0"/>
            </w:tcBorders>
          </w:tcPr>
          <w:p w14:paraId="53528CD5">
            <w:pPr>
              <w:spacing w:before="50" w:after="50"/>
            </w:pPr>
          </w:p>
        </w:tc>
        <w:tc>
          <w:tcPr>
            <w:tcW w:w="2736" w:type="dxa"/>
            <w:tcBorders>
              <w:top w:val="single" w:color="D9D9E0" w:sz="6" w:space="0"/>
              <w:left w:val="single" w:color="D9D9E0" w:sz="6" w:space="0"/>
              <w:bottom w:val="single" w:color="D9D9E0" w:sz="6" w:space="0"/>
              <w:right w:val="single" w:color="D9D9E0" w:sz="6" w:space="0"/>
            </w:tcBorders>
          </w:tcPr>
          <w:p w14:paraId="0E145EC5">
            <w:pPr>
              <w:spacing w:before="50" w:after="50"/>
            </w:pPr>
          </w:p>
        </w:tc>
      </w:tr>
    </w:tbl>
    <w:p w14:paraId="38A9AC63">
      <w:pPr>
        <w:spacing w:after="80"/>
      </w:pPr>
    </w:p>
    <w:tbl>
      <w:tblPr>
        <w:tblStyle w:val="12"/>
        <w:tblW w:w="0" w:type="auto"/>
        <w:tblInd w:w="0" w:type="dxa"/>
        <w:tblLayout w:type="autofit"/>
        <w:tblCellMar>
          <w:top w:w="0" w:type="dxa"/>
          <w:left w:w="108" w:type="dxa"/>
          <w:bottom w:w="0" w:type="dxa"/>
          <w:right w:w="108" w:type="dxa"/>
        </w:tblCellMar>
      </w:tblPr>
      <w:tblGrid>
        <w:gridCol w:w="9648"/>
      </w:tblGrid>
      <w:tr w14:paraId="6F4B0222">
        <w:tc>
          <w:tcPr>
            <w:tcW w:w="9648" w:type="dxa"/>
            <w:tcBorders>
              <w:top w:val="nil"/>
              <w:left w:val="nil"/>
              <w:bottom w:val="nil"/>
              <w:right w:val="nil"/>
            </w:tcBorders>
            <w:shd w:val="clear" w:color="auto" w:fill="F4F4F7"/>
          </w:tcPr>
          <w:p w14:paraId="7B1A7A84">
            <w:pPr>
              <w:spacing w:before="140" w:after="60"/>
            </w:pPr>
            <w:r>
              <w:rPr>
                <w:b/>
                <w:color w:val="E8660A"/>
                <w:sz w:val="21"/>
              </w:rPr>
              <w:t>Two rows matter more than the rest</w:t>
            </w:r>
          </w:p>
          <w:p w14:paraId="09DB6157">
            <w:pPr>
              <w:spacing w:after="160"/>
            </w:pPr>
            <w:r>
              <w:rPr>
                <w:color w:val="333344"/>
                <w:sz w:val="20"/>
              </w:rPr>
              <w:t>The proportion of tickets already answerable from existing documentation tells you whether CloudServe lack answers or merely lack a way of reaching them. Those are different problems with different solutions. The non-fluent segment matters for a different reason: something in the transcripts points at it, and the data will tell you whether that person was right.</w:t>
            </w:r>
          </w:p>
        </w:tc>
      </w:tr>
    </w:tbl>
    <w:p w14:paraId="7EABD733">
      <w:pPr>
        <w:spacing w:after="40"/>
      </w:pPr>
    </w:p>
    <w:p w14:paraId="4DAB741C">
      <w:r>
        <w:br w:type="page"/>
      </w:r>
    </w:p>
    <w:p w14:paraId="29B6E40D">
      <w:pPr>
        <w:pBdr>
          <w:bottom w:val="single" w:color="E8660A" w:sz="8" w:space="6"/>
        </w:pBdr>
        <w:spacing w:before="440" w:after="60"/>
      </w:pPr>
      <w:r>
        <w:rPr>
          <w:b/>
          <w:color w:val="E8660A"/>
          <w:sz w:val="34"/>
        </w:rPr>
        <w:t xml:space="preserve">3   </w:t>
      </w:r>
      <w:r>
        <w:rPr>
          <w:b/>
          <w:color w:val="1A1A2E"/>
          <w:sz w:val="34"/>
        </w:rPr>
        <w:t>Section three: where the time actually goes</w:t>
      </w:r>
    </w:p>
    <w:p w14:paraId="7735DA58">
      <w:pPr>
        <w:spacing w:after="140"/>
      </w:pPr>
      <w:r>
        <w:rPr>
          <w:i w:val="0"/>
          <w:sz w:val="21"/>
        </w:rPr>
        <w:t>Understanding volume is not the same as understanding effort. A category that accounts for five per cent of tickets but forty per cent of agent hours is where the real problem lives. Work out, as far as your evidence allows, how effort is distributed.</w:t>
      </w:r>
    </w:p>
    <w:tbl>
      <w:tblPr>
        <w:tblStyle w:val="12"/>
        <w:tblW w:w="0" w:type="auto"/>
        <w:jc w:val="center"/>
        <w:tblLayout w:type="fixed"/>
        <w:tblCellMar>
          <w:top w:w="0" w:type="dxa"/>
          <w:left w:w="108" w:type="dxa"/>
          <w:bottom w:w="0" w:type="dxa"/>
          <w:right w:w="108" w:type="dxa"/>
        </w:tblCellMar>
      </w:tblPr>
      <w:tblGrid>
        <w:gridCol w:w="1930"/>
        <w:gridCol w:w="1930"/>
        <w:gridCol w:w="1930"/>
        <w:gridCol w:w="1930"/>
        <w:gridCol w:w="1930"/>
      </w:tblGrid>
      <w:tr w14:paraId="25B3FD2E">
        <w:trPr>
          <w:jc w:val="center"/>
        </w:trPr>
        <w:tc>
          <w:tcPr>
            <w:tcW w:w="2016" w:type="dxa"/>
            <w:tcBorders>
              <w:top w:val="single" w:color="D9D9E0" w:sz="6" w:space="0"/>
              <w:left w:val="single" w:color="D9D9E0" w:sz="6" w:space="0"/>
              <w:bottom w:val="single" w:color="D9D9E0" w:sz="6" w:space="0"/>
              <w:right w:val="single" w:color="D9D9E0" w:sz="6" w:space="0"/>
            </w:tcBorders>
            <w:shd w:val="clear" w:color="auto" w:fill="E8660A"/>
          </w:tcPr>
          <w:p w14:paraId="3C46A0BF">
            <w:pPr>
              <w:spacing w:before="60" w:after="60"/>
            </w:pPr>
            <w:r>
              <w:rPr>
                <w:b/>
                <w:color w:val="FFFFFF"/>
                <w:sz w:val="17"/>
              </w:rPr>
              <w:t>Ticket category</w:t>
            </w:r>
          </w:p>
        </w:tc>
        <w:tc>
          <w:tcPr>
            <w:tcW w:w="1440" w:type="dxa"/>
            <w:tcBorders>
              <w:top w:val="single" w:color="D9D9E0" w:sz="6" w:space="0"/>
              <w:left w:val="single" w:color="D9D9E0" w:sz="6" w:space="0"/>
              <w:bottom w:val="single" w:color="D9D9E0" w:sz="6" w:space="0"/>
              <w:right w:val="single" w:color="D9D9E0" w:sz="6" w:space="0"/>
            </w:tcBorders>
            <w:shd w:val="clear" w:color="auto" w:fill="E8660A"/>
          </w:tcPr>
          <w:p w14:paraId="3F5333D0">
            <w:pPr>
              <w:spacing w:before="60" w:after="60"/>
            </w:pPr>
            <w:r>
              <w:rPr>
                <w:b/>
                <w:color w:val="FFFFFF"/>
                <w:sz w:val="17"/>
              </w:rPr>
              <w:t>Share of volume</w:t>
            </w:r>
          </w:p>
        </w:tc>
        <w:tc>
          <w:tcPr>
            <w:tcW w:w="1728" w:type="dxa"/>
            <w:tcBorders>
              <w:top w:val="single" w:color="D9D9E0" w:sz="6" w:space="0"/>
              <w:left w:val="single" w:color="D9D9E0" w:sz="6" w:space="0"/>
              <w:bottom w:val="single" w:color="D9D9E0" w:sz="6" w:space="0"/>
              <w:right w:val="single" w:color="D9D9E0" w:sz="6" w:space="0"/>
            </w:tcBorders>
            <w:shd w:val="clear" w:color="auto" w:fill="E8660A"/>
          </w:tcPr>
          <w:p w14:paraId="25AE8FF0">
            <w:pPr>
              <w:spacing w:before="60" w:after="60"/>
            </w:pPr>
            <w:r>
              <w:rPr>
                <w:b/>
                <w:color w:val="FFFFFF"/>
                <w:sz w:val="17"/>
              </w:rPr>
              <w:t>Estimated share of effort</w:t>
            </w:r>
          </w:p>
        </w:tc>
        <w:tc>
          <w:tcPr>
            <w:tcW w:w="2448" w:type="dxa"/>
            <w:tcBorders>
              <w:top w:val="single" w:color="D9D9E0" w:sz="6" w:space="0"/>
              <w:left w:val="single" w:color="D9D9E0" w:sz="6" w:space="0"/>
              <w:bottom w:val="single" w:color="D9D9E0" w:sz="6" w:space="0"/>
              <w:right w:val="single" w:color="D9D9E0" w:sz="6" w:space="0"/>
            </w:tcBorders>
            <w:shd w:val="clear" w:color="auto" w:fill="E8660A"/>
          </w:tcPr>
          <w:p w14:paraId="3DA3E3E4">
            <w:pPr>
              <w:spacing w:before="60" w:after="60"/>
            </w:pPr>
            <w:r>
              <w:rPr>
                <w:b/>
                <w:color w:val="FFFFFF"/>
                <w:sz w:val="17"/>
              </w:rPr>
              <w:t>Why the two differ</w:t>
            </w:r>
          </w:p>
        </w:tc>
        <w:tc>
          <w:tcPr>
            <w:tcW w:w="2016" w:type="dxa"/>
            <w:tcBorders>
              <w:top w:val="single" w:color="D9D9E0" w:sz="6" w:space="0"/>
              <w:left w:val="single" w:color="D9D9E0" w:sz="6" w:space="0"/>
              <w:bottom w:val="single" w:color="D9D9E0" w:sz="6" w:space="0"/>
              <w:right w:val="single" w:color="D9D9E0" w:sz="6" w:space="0"/>
            </w:tcBorders>
            <w:shd w:val="clear" w:color="auto" w:fill="E8660A"/>
          </w:tcPr>
          <w:p w14:paraId="33D1B863">
            <w:pPr>
              <w:spacing w:before="60" w:after="60"/>
            </w:pPr>
            <w:r>
              <w:rPr>
                <w:b/>
                <w:color w:val="FFFFFF"/>
                <w:sz w:val="17"/>
              </w:rPr>
              <w:t>Evidence for your estimate</w:t>
            </w:r>
          </w:p>
        </w:tc>
      </w:tr>
      <w:tr w14:paraId="5229D71C">
        <w:trPr>
          <w:jc w:val="center"/>
        </w:trPr>
        <w:tc>
          <w:tcPr>
            <w:tcW w:w="2016" w:type="dxa"/>
            <w:tcBorders>
              <w:top w:val="single" w:color="D9D9E0" w:sz="6" w:space="0"/>
              <w:left w:val="single" w:color="D9D9E0" w:sz="6" w:space="0"/>
              <w:bottom w:val="single" w:color="D9D9E0" w:sz="6" w:space="0"/>
              <w:right w:val="single" w:color="D9D9E0" w:sz="6" w:space="0"/>
            </w:tcBorders>
          </w:tcPr>
          <w:p w14:paraId="18C3CD12">
            <w:r>
              <w:t>Security incidents</w:t>
            </w:r>
          </w:p>
        </w:tc>
        <w:tc>
          <w:tcPr>
            <w:tcW w:w="1440" w:type="dxa"/>
            <w:tcBorders>
              <w:top w:val="single" w:color="D9D9E0" w:sz="6" w:space="0"/>
              <w:left w:val="single" w:color="D9D9E0" w:sz="6" w:space="0"/>
              <w:bottom w:val="single" w:color="D9D9E0" w:sz="6" w:space="0"/>
              <w:right w:val="single" w:color="D9D9E0" w:sz="6" w:space="0"/>
            </w:tcBorders>
          </w:tcPr>
          <w:p w14:paraId="49003D48">
            <w:r>
              <w:t>5.2%</w:t>
            </w:r>
          </w:p>
        </w:tc>
        <w:tc>
          <w:tcPr>
            <w:tcW w:w="1728" w:type="dxa"/>
            <w:tcBorders>
              <w:top w:val="single" w:color="D9D9E0" w:sz="6" w:space="0"/>
              <w:left w:val="single" w:color="D9D9E0" w:sz="6" w:space="0"/>
              <w:bottom w:val="single" w:color="D9D9E0" w:sz="6" w:space="0"/>
              <w:right w:val="single" w:color="D9D9E0" w:sz="6" w:space="0"/>
            </w:tcBorders>
          </w:tcPr>
          <w:p w14:paraId="7897BDCC">
            <w:r>
              <w:t>9.7%</w:t>
            </w:r>
          </w:p>
        </w:tc>
        <w:tc>
          <w:tcPr>
            <w:tcW w:w="2448" w:type="dxa"/>
            <w:tcBorders>
              <w:top w:val="single" w:color="D9D9E0" w:sz="6" w:space="0"/>
              <w:left w:val="single" w:color="D9D9E0" w:sz="6" w:space="0"/>
              <w:bottom w:val="single" w:color="D9D9E0" w:sz="6" w:space="0"/>
              <w:right w:val="single" w:color="D9D9E0" w:sz="6" w:space="0"/>
            </w:tcBorders>
          </w:tcPr>
          <w:p w14:paraId="26E8E2DB">
            <w:r>
              <w:t>100% escalate by policy AND genuinely long to resolve (avg 786 min, the longest of any category)</w:t>
            </w:r>
          </w:p>
        </w:tc>
        <w:tc>
          <w:tcPr>
            <w:tcW w:w="2016" w:type="dxa"/>
            <w:tcBorders>
              <w:top w:val="single" w:color="D9D9E0" w:sz="6" w:space="0"/>
              <w:left w:val="single" w:color="D9D9E0" w:sz="6" w:space="0"/>
              <w:bottom w:val="single" w:color="D9D9E0" w:sz="6" w:space="0"/>
              <w:right w:val="single" w:color="D9D9E0" w:sz="6" w:space="0"/>
            </w:tcBorders>
          </w:tcPr>
          <w:p w14:paraId="4115E4CC">
            <w:r>
              <w:t>Per-intent escalation rate + avg resolution_time_minutes, computed from development_tickets.json</w:t>
            </w:r>
          </w:p>
        </w:tc>
      </w:tr>
      <w:tr w14:paraId="683EA7D5">
        <w:trPr>
          <w:jc w:val="center"/>
        </w:trPr>
        <w:tc>
          <w:tcPr>
            <w:tcW w:w="2016" w:type="dxa"/>
            <w:tcBorders>
              <w:top w:val="single" w:color="D9D9E0" w:sz="6" w:space="0"/>
              <w:left w:val="single" w:color="D9D9E0" w:sz="6" w:space="0"/>
              <w:bottom w:val="single" w:color="D9D9E0" w:sz="6" w:space="0"/>
              <w:right w:val="single" w:color="D9D9E0" w:sz="6" w:space="0"/>
            </w:tcBorders>
            <w:shd w:val="clear" w:color="auto" w:fill="F4F4F7"/>
          </w:tcPr>
          <w:p w14:paraId="1B1886C8">
            <w:r>
              <w:t>Compliance requests</w:t>
            </w:r>
          </w:p>
        </w:tc>
        <w:tc>
          <w:tcPr>
            <w:tcW w:w="1440" w:type="dxa"/>
            <w:tcBorders>
              <w:top w:val="single" w:color="D9D9E0" w:sz="6" w:space="0"/>
              <w:left w:val="single" w:color="D9D9E0" w:sz="6" w:space="0"/>
              <w:bottom w:val="single" w:color="D9D9E0" w:sz="6" w:space="0"/>
              <w:right w:val="single" w:color="D9D9E0" w:sz="6" w:space="0"/>
            </w:tcBorders>
            <w:shd w:val="clear" w:color="auto" w:fill="F4F4F7"/>
          </w:tcPr>
          <w:p w14:paraId="7DAF816C">
            <w:r>
              <w:t>5.2%</w:t>
            </w:r>
          </w:p>
        </w:tc>
        <w:tc>
          <w:tcPr>
            <w:tcW w:w="1728" w:type="dxa"/>
            <w:tcBorders>
              <w:top w:val="single" w:color="D9D9E0" w:sz="6" w:space="0"/>
              <w:left w:val="single" w:color="D9D9E0" w:sz="6" w:space="0"/>
              <w:bottom w:val="single" w:color="D9D9E0" w:sz="6" w:space="0"/>
              <w:right w:val="single" w:color="D9D9E0" w:sz="6" w:space="0"/>
            </w:tcBorders>
            <w:shd w:val="clear" w:color="auto" w:fill="F4F4F7"/>
          </w:tcPr>
          <w:p w14:paraId="64AD1150">
            <w:r>
              <w:t>8.4%</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4C763D06">
            <w:r>
              <w:t>100% escalate; avg 679 min -- these consume outsized time despite being a small share of volume</w:t>
            </w:r>
          </w:p>
        </w:tc>
        <w:tc>
          <w:tcPr>
            <w:tcW w:w="2016" w:type="dxa"/>
            <w:tcBorders>
              <w:top w:val="single" w:color="D9D9E0" w:sz="6" w:space="0"/>
              <w:left w:val="single" w:color="D9D9E0" w:sz="6" w:space="0"/>
              <w:bottom w:val="single" w:color="D9D9E0" w:sz="6" w:space="0"/>
              <w:right w:val="single" w:color="D9D9E0" w:sz="6" w:space="0"/>
            </w:tcBorders>
            <w:shd w:val="clear" w:color="auto" w:fill="F4F4F7"/>
          </w:tcPr>
          <w:p w14:paraId="7D35292F">
            <w:r>
              <w:t>Same per-intent analysis</w:t>
            </w:r>
          </w:p>
        </w:tc>
      </w:tr>
      <w:tr w14:paraId="56EACB09">
        <w:trPr>
          <w:jc w:val="center"/>
        </w:trPr>
        <w:tc>
          <w:tcPr>
            <w:tcW w:w="2016" w:type="dxa"/>
            <w:tcBorders>
              <w:top w:val="single" w:color="D9D9E0" w:sz="6" w:space="0"/>
              <w:left w:val="single" w:color="D9D9E0" w:sz="6" w:space="0"/>
              <w:bottom w:val="single" w:color="D9D9E0" w:sz="6" w:space="0"/>
              <w:right w:val="single" w:color="D9D9E0" w:sz="6" w:space="0"/>
            </w:tcBorders>
          </w:tcPr>
          <w:p w14:paraId="34367505">
            <w:r>
              <w:t>Feature requests</w:t>
            </w:r>
          </w:p>
        </w:tc>
        <w:tc>
          <w:tcPr>
            <w:tcW w:w="1440" w:type="dxa"/>
            <w:tcBorders>
              <w:top w:val="single" w:color="D9D9E0" w:sz="6" w:space="0"/>
              <w:left w:val="single" w:color="D9D9E0" w:sz="6" w:space="0"/>
              <w:bottom w:val="single" w:color="D9D9E0" w:sz="6" w:space="0"/>
              <w:right w:val="single" w:color="D9D9E0" w:sz="6" w:space="0"/>
            </w:tcBorders>
          </w:tcPr>
          <w:p w14:paraId="32FEF76F">
            <w:r>
              <w:t>4.0%</w:t>
            </w:r>
          </w:p>
        </w:tc>
        <w:tc>
          <w:tcPr>
            <w:tcW w:w="1728" w:type="dxa"/>
            <w:tcBorders>
              <w:top w:val="single" w:color="D9D9E0" w:sz="6" w:space="0"/>
              <w:left w:val="single" w:color="D9D9E0" w:sz="6" w:space="0"/>
              <w:bottom w:val="single" w:color="D9D9E0" w:sz="6" w:space="0"/>
              <w:right w:val="single" w:color="D9D9E0" w:sz="6" w:space="0"/>
            </w:tcBorders>
          </w:tcPr>
          <w:p w14:paraId="63FEFC18">
            <w:r>
              <w:t>6.9%</w:t>
            </w:r>
          </w:p>
        </w:tc>
        <w:tc>
          <w:tcPr>
            <w:tcW w:w="2448" w:type="dxa"/>
            <w:tcBorders>
              <w:top w:val="single" w:color="D9D9E0" w:sz="6" w:space="0"/>
              <w:left w:val="single" w:color="D9D9E0" w:sz="6" w:space="0"/>
              <w:bottom w:val="single" w:color="D9D9E0" w:sz="6" w:space="0"/>
              <w:right w:val="single" w:color="D9D9E0" w:sz="6" w:space="0"/>
            </w:tcBorders>
          </w:tcPr>
          <w:p w14:paraId="231595C4">
            <w:r>
              <w:t>100% escalate and 0% answerable_from_docs (no article can exist) -- agents spend time explaining there's no immediate fix rather than resolving anything</w:t>
            </w:r>
          </w:p>
        </w:tc>
        <w:tc>
          <w:tcPr>
            <w:tcW w:w="2016" w:type="dxa"/>
            <w:tcBorders>
              <w:top w:val="single" w:color="D9D9E0" w:sz="6" w:space="0"/>
              <w:left w:val="single" w:color="D9D9E0" w:sz="6" w:space="0"/>
              <w:bottom w:val="single" w:color="D9D9E0" w:sz="6" w:space="0"/>
              <w:right w:val="single" w:color="D9D9E0" w:sz="6" w:space="0"/>
            </w:tcBorders>
          </w:tcPr>
          <w:p w14:paraId="03A70C89">
            <w:r>
              <w:t>Same per-intent analysis; cross-checked against documentation.json category coverage</w:t>
            </w:r>
          </w:p>
        </w:tc>
      </w:tr>
      <w:tr w14:paraId="595541B3">
        <w:trPr>
          <w:jc w:val="center"/>
        </w:trPr>
        <w:tc>
          <w:tcPr>
            <w:tcW w:w="2016" w:type="dxa"/>
            <w:tcBorders>
              <w:top w:val="single" w:color="D9D9E0" w:sz="6" w:space="0"/>
              <w:left w:val="single" w:color="D9D9E0" w:sz="6" w:space="0"/>
              <w:bottom w:val="single" w:color="D9D9E0" w:sz="6" w:space="0"/>
              <w:right w:val="single" w:color="D9D9E0" w:sz="6" w:space="0"/>
            </w:tcBorders>
            <w:shd w:val="clear" w:color="auto" w:fill="F4F4F7"/>
          </w:tcPr>
          <w:p w14:paraId="6A1B706A">
            <w:r>
              <w:t>Data residency questions</w:t>
            </w:r>
          </w:p>
        </w:tc>
        <w:tc>
          <w:tcPr>
            <w:tcW w:w="1440" w:type="dxa"/>
            <w:tcBorders>
              <w:top w:val="single" w:color="D9D9E0" w:sz="6" w:space="0"/>
              <w:left w:val="single" w:color="D9D9E0" w:sz="6" w:space="0"/>
              <w:bottom w:val="single" w:color="D9D9E0" w:sz="6" w:space="0"/>
              <w:right w:val="single" w:color="D9D9E0" w:sz="6" w:space="0"/>
            </w:tcBorders>
            <w:shd w:val="clear" w:color="auto" w:fill="F4F4F7"/>
          </w:tcPr>
          <w:p w14:paraId="356A85D3">
            <w:r>
              <w:t>5.8% (largest single class)</w:t>
            </w:r>
          </w:p>
        </w:tc>
        <w:tc>
          <w:tcPr>
            <w:tcW w:w="1728" w:type="dxa"/>
            <w:tcBorders>
              <w:top w:val="single" w:color="D9D9E0" w:sz="6" w:space="0"/>
              <w:left w:val="single" w:color="D9D9E0" w:sz="6" w:space="0"/>
              <w:bottom w:val="single" w:color="D9D9E0" w:sz="6" w:space="0"/>
              <w:right w:val="single" w:color="D9D9E0" w:sz="6" w:space="0"/>
            </w:tcBorders>
            <w:shd w:val="clear" w:color="auto" w:fill="F4F4F7"/>
          </w:tcPr>
          <w:p w14:paraId="0941B254">
            <w:r>
              <w:t>7.1%</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006C59E5">
            <w:r>
              <w:t>69% escalate despite 21/29 being answerable_from_docs -- compliance sensitivity likely drives escalation even when an answer exists</w:t>
            </w:r>
          </w:p>
        </w:tc>
        <w:tc>
          <w:tcPr>
            <w:tcW w:w="2016" w:type="dxa"/>
            <w:tcBorders>
              <w:top w:val="single" w:color="D9D9E0" w:sz="6" w:space="0"/>
              <w:left w:val="single" w:color="D9D9E0" w:sz="6" w:space="0"/>
              <w:bottom w:val="single" w:color="D9D9E0" w:sz="6" w:space="0"/>
              <w:right w:val="single" w:color="D9D9E0" w:sz="6" w:space="0"/>
            </w:tcBorders>
            <w:shd w:val="clear" w:color="auto" w:fill="F4F4F7"/>
          </w:tcPr>
          <w:p w14:paraId="4CF345F3">
            <w:r>
              <w:t>Same per-intent analysis</w:t>
            </w:r>
          </w:p>
        </w:tc>
      </w:tr>
      <w:tr w14:paraId="34EB6870">
        <w:trPr>
          <w:jc w:val="center"/>
        </w:trPr>
        <w:tc>
          <w:tcPr>
            <w:tcW w:w="2016" w:type="dxa"/>
            <w:tcBorders>
              <w:top w:val="single" w:color="D9D9E0" w:sz="6" w:space="0"/>
              <w:left w:val="single" w:color="D9D9E0" w:sz="6" w:space="0"/>
              <w:bottom w:val="single" w:color="D9D9E0" w:sz="6" w:space="0"/>
              <w:right w:val="single" w:color="D9D9E0" w:sz="6" w:space="0"/>
            </w:tcBorders>
          </w:tcPr>
          <w:p w14:paraId="71BADB39">
            <w:r>
              <w:t>Deployment failures</w:t>
            </w:r>
          </w:p>
        </w:tc>
        <w:tc>
          <w:tcPr>
            <w:tcW w:w="1440" w:type="dxa"/>
            <w:tcBorders>
              <w:top w:val="single" w:color="D9D9E0" w:sz="6" w:space="0"/>
              <w:left w:val="single" w:color="D9D9E0" w:sz="6" w:space="0"/>
              <w:bottom w:val="single" w:color="D9D9E0" w:sz="6" w:space="0"/>
              <w:right w:val="single" w:color="D9D9E0" w:sz="6" w:space="0"/>
            </w:tcBorders>
          </w:tcPr>
          <w:p w14:paraId="7CCD2843">
            <w:r>
              <w:t>5.4%</w:t>
            </w:r>
          </w:p>
        </w:tc>
        <w:tc>
          <w:tcPr>
            <w:tcW w:w="1728" w:type="dxa"/>
            <w:tcBorders>
              <w:top w:val="single" w:color="D9D9E0" w:sz="6" w:space="0"/>
              <w:left w:val="single" w:color="D9D9E0" w:sz="6" w:space="0"/>
              <w:bottom w:val="single" w:color="D9D9E0" w:sz="6" w:space="0"/>
              <w:right w:val="single" w:color="D9D9E0" w:sz="6" w:space="0"/>
            </w:tcBorders>
          </w:tcPr>
          <w:p w14:paraId="35292739">
            <w:r>
              <w:t>6.2%</w:t>
            </w:r>
          </w:p>
        </w:tc>
        <w:tc>
          <w:tcPr>
            <w:tcW w:w="2448" w:type="dxa"/>
            <w:tcBorders>
              <w:top w:val="single" w:color="D9D9E0" w:sz="6" w:space="0"/>
              <w:left w:val="single" w:color="D9D9E0" w:sz="6" w:space="0"/>
              <w:bottom w:val="single" w:color="D9D9E0" w:sz="6" w:space="0"/>
              <w:right w:val="single" w:color="D9D9E0" w:sz="6" w:space="0"/>
            </w:tcBorders>
          </w:tcPr>
          <w:p w14:paraId="26F6C39A">
            <w:r>
              <w:t>59.3% escalate, avg 483 min -- genuinely complex troubleshooting, not a findability problem</w:t>
            </w:r>
          </w:p>
        </w:tc>
        <w:tc>
          <w:tcPr>
            <w:tcW w:w="2016" w:type="dxa"/>
            <w:tcBorders>
              <w:top w:val="single" w:color="D9D9E0" w:sz="6" w:space="0"/>
              <w:left w:val="single" w:color="D9D9E0" w:sz="6" w:space="0"/>
              <w:bottom w:val="single" w:color="D9D9E0" w:sz="6" w:space="0"/>
              <w:right w:val="single" w:color="D9D9E0" w:sz="6" w:space="0"/>
            </w:tcBorders>
          </w:tcPr>
          <w:p w14:paraId="62A83FE7">
            <w:r>
              <w:t>Same per-intent analysis</w:t>
            </w:r>
          </w:p>
        </w:tc>
      </w:tr>
      <w:tr w14:paraId="1D2E9FA6">
        <w:trPr>
          <w:jc w:val="center"/>
        </w:trPr>
        <w:tc>
          <w:tcPr>
            <w:tcW w:w="2016" w:type="dxa"/>
            <w:tcBorders>
              <w:top w:val="single" w:color="D9D9E0" w:sz="6" w:space="0"/>
              <w:left w:val="single" w:color="D9D9E0" w:sz="6" w:space="0"/>
              <w:bottom w:val="single" w:color="D9D9E0" w:sz="6" w:space="0"/>
              <w:right w:val="single" w:color="D9D9E0" w:sz="6" w:space="0"/>
            </w:tcBorders>
            <w:shd w:val="clear" w:color="auto" w:fill="F4F4F7"/>
          </w:tcPr>
          <w:p w14:paraId="7E43B119">
            <w:r>
              <w:t>The always-escalate cluster as a whole (security + compliance + feature_request + unclear_request)</w:t>
            </w:r>
          </w:p>
        </w:tc>
        <w:tc>
          <w:tcPr>
            <w:tcW w:w="1440" w:type="dxa"/>
            <w:tcBorders>
              <w:top w:val="single" w:color="D9D9E0" w:sz="6" w:space="0"/>
              <w:left w:val="single" w:color="D9D9E0" w:sz="6" w:space="0"/>
              <w:bottom w:val="single" w:color="D9D9E0" w:sz="6" w:space="0"/>
              <w:right w:val="single" w:color="D9D9E0" w:sz="6" w:space="0"/>
            </w:tcBorders>
            <w:shd w:val="clear" w:color="auto" w:fill="F4F4F7"/>
          </w:tcPr>
          <w:p w14:paraId="59B62E15">
            <w:r>
              <w:t>17.4%</w:t>
            </w:r>
          </w:p>
        </w:tc>
        <w:tc>
          <w:tcPr>
            <w:tcW w:w="1728" w:type="dxa"/>
            <w:tcBorders>
              <w:top w:val="single" w:color="D9D9E0" w:sz="6" w:space="0"/>
              <w:left w:val="single" w:color="D9D9E0" w:sz="6" w:space="0"/>
              <w:bottom w:val="single" w:color="D9D9E0" w:sz="6" w:space="0"/>
              <w:right w:val="single" w:color="D9D9E0" w:sz="6" w:space="0"/>
            </w:tcBorders>
            <w:shd w:val="clear" w:color="auto" w:fill="F4F4F7"/>
          </w:tcPr>
          <w:p w14:paraId="139A46FA">
            <w:r>
              <w:t>~28.7%</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10F74224">
            <w:r>
              <w:t>4 categories consume nearly 30% of total historical agent-minutes on under a fifth of ticket volume, entirely because none of them ever gets the 'answer and close in 5 minutes' path</w:t>
            </w:r>
          </w:p>
        </w:tc>
        <w:tc>
          <w:tcPr>
            <w:tcW w:w="2016" w:type="dxa"/>
            <w:tcBorders>
              <w:top w:val="single" w:color="D9D9E0" w:sz="6" w:space="0"/>
              <w:left w:val="single" w:color="D9D9E0" w:sz="6" w:space="0"/>
              <w:bottom w:val="single" w:color="D9D9E0" w:sz="6" w:space="0"/>
              <w:right w:val="single" w:color="D9D9E0" w:sz="6" w:space="0"/>
            </w:tcBorders>
            <w:shd w:val="clear" w:color="auto" w:fill="F4F4F7"/>
          </w:tcPr>
          <w:p w14:paraId="2AA8E6FF">
            <w:r>
              <w:t>Sum of the four categories' individual shares</w:t>
            </w:r>
          </w:p>
        </w:tc>
      </w:tr>
      <w:tr w14:paraId="48D5F5AD">
        <w:trPr>
          <w:jc w:val="center"/>
        </w:trPr>
        <w:tc>
          <w:tcPr>
            <w:tcW w:w="2016" w:type="dxa"/>
            <w:tcBorders>
              <w:top w:val="single" w:color="D9D9E0" w:sz="6" w:space="0"/>
              <w:left w:val="single" w:color="D9D9E0" w:sz="6" w:space="0"/>
              <w:bottom w:val="single" w:color="D9D9E0" w:sz="6" w:space="0"/>
              <w:right w:val="single" w:color="D9D9E0" w:sz="6" w:space="0"/>
            </w:tcBorders>
          </w:tcPr>
          <w:p w14:paraId="16B88F49">
            <w:r>
              <w:t>Fast, low-escalation categories (rate_limit, onboarding, sso_configuration)</w:t>
            </w:r>
          </w:p>
        </w:tc>
        <w:tc>
          <w:tcPr>
            <w:tcW w:w="1440" w:type="dxa"/>
            <w:tcBorders>
              <w:top w:val="single" w:color="D9D9E0" w:sz="6" w:space="0"/>
              <w:left w:val="single" w:color="D9D9E0" w:sz="6" w:space="0"/>
              <w:bottom w:val="single" w:color="D9D9E0" w:sz="6" w:space="0"/>
              <w:right w:val="single" w:color="D9D9E0" w:sz="6" w:space="0"/>
            </w:tcBorders>
          </w:tcPr>
          <w:p w14:paraId="055F0E38">
            <w:r>
              <w:t>12.2%</w:t>
            </w:r>
          </w:p>
        </w:tc>
        <w:tc>
          <w:tcPr>
            <w:tcW w:w="1728" w:type="dxa"/>
            <w:tcBorders>
              <w:top w:val="single" w:color="D9D9E0" w:sz="6" w:space="0"/>
              <w:left w:val="single" w:color="D9D9E0" w:sz="6" w:space="0"/>
              <w:bottom w:val="single" w:color="D9D9E0" w:sz="6" w:space="0"/>
              <w:right w:val="single" w:color="D9D9E0" w:sz="6" w:space="0"/>
            </w:tcBorders>
          </w:tcPr>
          <w:p w14:paraId="659C90FB">
            <w:r>
              <w:t>~5.3%</w:t>
            </w:r>
          </w:p>
        </w:tc>
        <w:tc>
          <w:tcPr>
            <w:tcW w:w="2448" w:type="dxa"/>
            <w:tcBorders>
              <w:top w:val="single" w:color="D9D9E0" w:sz="6" w:space="0"/>
              <w:left w:val="single" w:color="D9D9E0" w:sz="6" w:space="0"/>
              <w:bottom w:val="single" w:color="D9D9E0" w:sz="6" w:space="0"/>
              <w:right w:val="single" w:color="D9D9E0" w:sz="6" w:space="0"/>
            </w:tcBorders>
          </w:tcPr>
          <w:p w14:paraId="2B5D6E88">
            <w:r>
              <w:t>Short avg resolution (122-202 min), low escalation (23-27%) -- the 'seen it before, 4-5 minutes' tickets Sofia described</w:t>
            </w:r>
          </w:p>
        </w:tc>
        <w:tc>
          <w:tcPr>
            <w:tcW w:w="2016" w:type="dxa"/>
            <w:tcBorders>
              <w:top w:val="single" w:color="D9D9E0" w:sz="6" w:space="0"/>
              <w:left w:val="single" w:color="D9D9E0" w:sz="6" w:space="0"/>
              <w:bottom w:val="single" w:color="D9D9E0" w:sz="6" w:space="0"/>
              <w:right w:val="single" w:color="D9D9E0" w:sz="6" w:space="0"/>
            </w:tcBorders>
          </w:tcPr>
          <w:p w14:paraId="7B768754">
            <w:r>
              <w:t>Same per-intent analysis</w:t>
            </w:r>
          </w:p>
        </w:tc>
      </w:tr>
    </w:tbl>
    <w:p w14:paraId="65B45711">
      <w:pPr>
        <w:spacing w:after="80"/>
      </w:pPr>
    </w:p>
    <w:p w14:paraId="6E155517">
      <w:pPr>
        <w:spacing w:before="300" w:after="60"/>
      </w:pPr>
      <w:r>
        <w:rPr>
          <w:b/>
          <w:color w:val="1A1A2E"/>
          <w:sz w:val="25"/>
        </w:rPr>
        <w:t>The steps an agent takes on a typical ticket</w:t>
      </w:r>
    </w:p>
    <w:p w14:paraId="12B0F466">
      <w:pPr>
        <w:spacing w:after="140"/>
      </w:pPr>
      <w:r>
        <w:rPr>
          <w:i w:val="0"/>
          <w:sz w:val="21"/>
        </w:rPr>
        <w:t>Sofia describes her working process in some detail in the second transcript. Reconstruct it as a sequence of steps and record roughly where the time goes at each one. The steps that sound trivial are frequently where the minutes accumulate.</w:t>
      </w:r>
    </w:p>
    <w:tbl>
      <w:tblPr>
        <w:tblStyle w:val="12"/>
        <w:tblW w:w="0" w:type="auto"/>
        <w:jc w:val="center"/>
        <w:tblLayout w:type="fixed"/>
        <w:tblCellMar>
          <w:top w:w="0" w:type="dxa"/>
          <w:left w:w="108" w:type="dxa"/>
          <w:bottom w:w="0" w:type="dxa"/>
          <w:right w:w="108" w:type="dxa"/>
        </w:tblCellMar>
      </w:tblPr>
      <w:tblGrid>
        <w:gridCol w:w="2412"/>
        <w:gridCol w:w="2412"/>
        <w:gridCol w:w="2412"/>
        <w:gridCol w:w="2412"/>
      </w:tblGrid>
      <w:tr w14:paraId="79CA3F57">
        <w:trPr>
          <w:jc w:val="center"/>
        </w:trPr>
        <w:tc>
          <w:tcPr>
            <w:tcW w:w="720" w:type="dxa"/>
            <w:tcBorders>
              <w:top w:val="single" w:color="D9D9E0" w:sz="6" w:space="0"/>
              <w:left w:val="single" w:color="D9D9E0" w:sz="6" w:space="0"/>
              <w:bottom w:val="single" w:color="D9D9E0" w:sz="6" w:space="0"/>
              <w:right w:val="single" w:color="D9D9E0" w:sz="6" w:space="0"/>
            </w:tcBorders>
            <w:shd w:val="clear" w:color="auto" w:fill="E8660A"/>
          </w:tcPr>
          <w:p w14:paraId="5E7734A6">
            <w:pPr>
              <w:spacing w:before="60" w:after="60"/>
            </w:pPr>
            <w:r>
              <w:rPr>
                <w:b/>
                <w:color w:val="FFFFFF"/>
                <w:sz w:val="17"/>
              </w:rPr>
              <w:t>Step</w:t>
            </w:r>
          </w:p>
        </w:tc>
        <w:tc>
          <w:tcPr>
            <w:tcW w:w="3168" w:type="dxa"/>
            <w:tcBorders>
              <w:top w:val="single" w:color="D9D9E0" w:sz="6" w:space="0"/>
              <w:left w:val="single" w:color="D9D9E0" w:sz="6" w:space="0"/>
              <w:bottom w:val="single" w:color="D9D9E0" w:sz="6" w:space="0"/>
              <w:right w:val="single" w:color="D9D9E0" w:sz="6" w:space="0"/>
            </w:tcBorders>
            <w:shd w:val="clear" w:color="auto" w:fill="E8660A"/>
          </w:tcPr>
          <w:p w14:paraId="423A2CFE">
            <w:pPr>
              <w:spacing w:before="60" w:after="60"/>
            </w:pPr>
            <w:r>
              <w:rPr>
                <w:b/>
                <w:color w:val="FFFFFF"/>
                <w:sz w:val="17"/>
              </w:rPr>
              <w:t>What the agent does</w:t>
            </w:r>
          </w:p>
        </w:tc>
        <w:tc>
          <w:tcPr>
            <w:tcW w:w="1584" w:type="dxa"/>
            <w:tcBorders>
              <w:top w:val="single" w:color="D9D9E0" w:sz="6" w:space="0"/>
              <w:left w:val="single" w:color="D9D9E0" w:sz="6" w:space="0"/>
              <w:bottom w:val="single" w:color="D9D9E0" w:sz="6" w:space="0"/>
              <w:right w:val="single" w:color="D9D9E0" w:sz="6" w:space="0"/>
            </w:tcBorders>
            <w:shd w:val="clear" w:color="auto" w:fill="E8660A"/>
          </w:tcPr>
          <w:p w14:paraId="55646016">
            <w:pPr>
              <w:spacing w:before="60" w:after="60"/>
            </w:pPr>
            <w:r>
              <w:rPr>
                <w:b/>
                <w:color w:val="FFFFFF"/>
                <w:sz w:val="17"/>
              </w:rPr>
              <w:t>Roughly how long</w:t>
            </w:r>
          </w:p>
        </w:tc>
        <w:tc>
          <w:tcPr>
            <w:tcW w:w="4176" w:type="dxa"/>
            <w:tcBorders>
              <w:top w:val="single" w:color="D9D9E0" w:sz="6" w:space="0"/>
              <w:left w:val="single" w:color="D9D9E0" w:sz="6" w:space="0"/>
              <w:bottom w:val="single" w:color="D9D9E0" w:sz="6" w:space="0"/>
              <w:right w:val="single" w:color="D9D9E0" w:sz="6" w:space="0"/>
            </w:tcBorders>
            <w:shd w:val="clear" w:color="auto" w:fill="E8660A"/>
          </w:tcPr>
          <w:p w14:paraId="610F0C0D">
            <w:pPr>
              <w:spacing w:before="60" w:after="60"/>
            </w:pPr>
            <w:r>
              <w:rPr>
                <w:b/>
                <w:color w:val="FFFFFF"/>
                <w:sz w:val="17"/>
              </w:rPr>
              <w:t>Could this be automated? Say why or why not</w:t>
            </w:r>
          </w:p>
        </w:tc>
      </w:tr>
      <w:tr w14:paraId="56D6E8D3">
        <w:trPr>
          <w:jc w:val="center"/>
        </w:trPr>
        <w:tc>
          <w:tcPr>
            <w:tcW w:w="720" w:type="dxa"/>
            <w:tcBorders>
              <w:top w:val="single" w:color="D9D9E0" w:sz="6" w:space="0"/>
              <w:left w:val="single" w:color="D9D9E0" w:sz="6" w:space="0"/>
              <w:bottom w:val="single" w:color="D9D9E0" w:sz="6" w:space="0"/>
              <w:right w:val="single" w:color="D9D9E0" w:sz="6" w:space="0"/>
            </w:tcBorders>
          </w:tcPr>
          <w:p w14:paraId="6F41641C">
            <w:pPr>
              <w:spacing w:before="50" w:after="50"/>
            </w:pPr>
            <w:r>
              <w:rPr>
                <w:sz w:val="16"/>
              </w:rPr>
              <w:t>1</w:t>
            </w:r>
          </w:p>
        </w:tc>
        <w:tc>
          <w:tcPr>
            <w:tcW w:w="3168" w:type="dxa"/>
            <w:tcBorders>
              <w:top w:val="single" w:color="D9D9E0" w:sz="6" w:space="0"/>
              <w:left w:val="single" w:color="D9D9E0" w:sz="6" w:space="0"/>
              <w:bottom w:val="single" w:color="D9D9E0" w:sz="6" w:space="0"/>
              <w:right w:val="single" w:color="D9D9E0" w:sz="6" w:space="0"/>
            </w:tcBorders>
          </w:tcPr>
          <w:p w14:paraId="0C67F2C0">
            <w:r>
              <w:t>Opens the queue (40-70 tickets), sorts by age -- oldest/closest to SLA breach first</w:t>
            </w:r>
          </w:p>
        </w:tc>
        <w:tc>
          <w:tcPr>
            <w:tcW w:w="1584" w:type="dxa"/>
            <w:tcBorders>
              <w:top w:val="single" w:color="D9D9E0" w:sz="6" w:space="0"/>
              <w:left w:val="single" w:color="D9D9E0" w:sz="6" w:space="0"/>
              <w:bottom w:val="single" w:color="D9D9E0" w:sz="6" w:space="0"/>
              <w:right w:val="single" w:color="D9D9E0" w:sz="6" w:space="0"/>
            </w:tcBorders>
          </w:tcPr>
          <w:p w14:paraId="044E5689">
            <w:r>
              <w:t>~2 min</w:t>
            </w:r>
          </w:p>
        </w:tc>
        <w:tc>
          <w:tcPr>
            <w:tcW w:w="4176" w:type="dxa"/>
            <w:tcBorders>
              <w:top w:val="single" w:color="D9D9E0" w:sz="6" w:space="0"/>
              <w:left w:val="single" w:color="D9D9E0" w:sz="6" w:space="0"/>
              <w:bottom w:val="single" w:color="D9D9E0" w:sz="6" w:space="0"/>
              <w:right w:val="single" w:color="D9D9E0" w:sz="6" w:space="0"/>
            </w:tcBorders>
          </w:tcPr>
          <w:p w14:paraId="58460E79">
            <w:r>
              <w:t>Yes -- pure triage/prioritisation, no judgement call about content</w:t>
            </w:r>
          </w:p>
        </w:tc>
      </w:tr>
      <w:tr w14:paraId="198CDCD6">
        <w:trPr>
          <w:jc w:val="center"/>
        </w:trPr>
        <w:tc>
          <w:tcPr>
            <w:tcW w:w="720" w:type="dxa"/>
            <w:tcBorders>
              <w:top w:val="single" w:color="D9D9E0" w:sz="6" w:space="0"/>
              <w:left w:val="single" w:color="D9D9E0" w:sz="6" w:space="0"/>
              <w:bottom w:val="single" w:color="D9D9E0" w:sz="6" w:space="0"/>
              <w:right w:val="single" w:color="D9D9E0" w:sz="6" w:space="0"/>
            </w:tcBorders>
            <w:shd w:val="clear" w:color="auto" w:fill="F4F4F7"/>
          </w:tcPr>
          <w:p w14:paraId="68F4302D">
            <w:pPr>
              <w:spacing w:before="50" w:after="50"/>
            </w:pPr>
            <w:r>
              <w:rPr>
                <w:sz w:val="16"/>
              </w:rPr>
              <w:t>2</w:t>
            </w:r>
          </w:p>
        </w:tc>
        <w:tc>
          <w:tcPr>
            <w:tcW w:w="3168" w:type="dxa"/>
            <w:tcBorders>
              <w:top w:val="single" w:color="D9D9E0" w:sz="6" w:space="0"/>
              <w:left w:val="single" w:color="D9D9E0" w:sz="6" w:space="0"/>
              <w:bottom w:val="single" w:color="D9D9E0" w:sz="6" w:space="0"/>
              <w:right w:val="single" w:color="D9D9E0" w:sz="6" w:space="0"/>
            </w:tcBorders>
            <w:shd w:val="clear" w:color="auto" w:fill="F4F4F7"/>
          </w:tcPr>
          <w:p w14:paraId="584A1108">
            <w:r>
              <w:t>Reads the ticket, judges whether it's a 'seen this before' type or something unusual</w:t>
            </w:r>
          </w:p>
        </w:tc>
        <w:tc>
          <w:tcPr>
            <w:tcW w:w="1584" w:type="dxa"/>
            <w:tcBorders>
              <w:top w:val="single" w:color="D9D9E0" w:sz="6" w:space="0"/>
              <w:left w:val="single" w:color="D9D9E0" w:sz="6" w:space="0"/>
              <w:bottom w:val="single" w:color="D9D9E0" w:sz="6" w:space="0"/>
              <w:right w:val="single" w:color="D9D9E0" w:sz="6" w:space="0"/>
            </w:tcBorders>
            <w:shd w:val="clear" w:color="auto" w:fill="F4F4F7"/>
          </w:tcPr>
          <w:p w14:paraId="1D1BE3BA">
            <w:r>
              <w:t>1-2 min</w:t>
            </w:r>
          </w:p>
        </w:tc>
        <w:tc>
          <w:tcPr>
            <w:tcW w:w="4176" w:type="dxa"/>
            <w:tcBorders>
              <w:top w:val="single" w:color="D9D9E0" w:sz="6" w:space="0"/>
              <w:left w:val="single" w:color="D9D9E0" w:sz="6" w:space="0"/>
              <w:bottom w:val="single" w:color="D9D9E0" w:sz="6" w:space="0"/>
              <w:right w:val="single" w:color="D9D9E0" w:sz="6" w:space="0"/>
            </w:tcBorders>
            <w:shd w:val="clear" w:color="auto" w:fill="F4F4F7"/>
          </w:tcPr>
          <w:p w14:paraId="50B3B09D">
            <w:r>
              <w:t>Yes -- this is exactly the classify step</w:t>
            </w:r>
          </w:p>
        </w:tc>
      </w:tr>
      <w:tr w14:paraId="6AC97F31">
        <w:trPr>
          <w:jc w:val="center"/>
        </w:trPr>
        <w:tc>
          <w:tcPr>
            <w:tcW w:w="720" w:type="dxa"/>
            <w:tcBorders>
              <w:top w:val="single" w:color="D9D9E0" w:sz="6" w:space="0"/>
              <w:left w:val="single" w:color="D9D9E0" w:sz="6" w:space="0"/>
              <w:bottom w:val="single" w:color="D9D9E0" w:sz="6" w:space="0"/>
              <w:right w:val="single" w:color="D9D9E0" w:sz="6" w:space="0"/>
            </w:tcBorders>
          </w:tcPr>
          <w:p w14:paraId="07A90F0A">
            <w:pPr>
              <w:spacing w:before="50" w:after="50"/>
            </w:pPr>
            <w:r>
              <w:rPr>
                <w:sz w:val="16"/>
              </w:rPr>
              <w:t>3</w:t>
            </w:r>
          </w:p>
        </w:tc>
        <w:tc>
          <w:tcPr>
            <w:tcW w:w="3168" w:type="dxa"/>
            <w:tcBorders>
              <w:top w:val="single" w:color="D9D9E0" w:sz="6" w:space="0"/>
              <w:left w:val="single" w:color="D9D9E0" w:sz="6" w:space="0"/>
              <w:bottom w:val="single" w:color="D9D9E0" w:sz="6" w:space="0"/>
              <w:right w:val="single" w:color="D9D9E0" w:sz="6" w:space="0"/>
            </w:tcBorders>
          </w:tcPr>
          <w:p w14:paraId="46B75D47">
            <w:r>
              <w:t>If seen before: searches her own personal answer file for a matching prior answer (not the KB -- internal search doesn't work)</w:t>
            </w:r>
          </w:p>
        </w:tc>
        <w:tc>
          <w:tcPr>
            <w:tcW w:w="1584" w:type="dxa"/>
            <w:tcBorders>
              <w:top w:val="single" w:color="D9D9E0" w:sz="6" w:space="0"/>
              <w:left w:val="single" w:color="D9D9E0" w:sz="6" w:space="0"/>
              <w:bottom w:val="single" w:color="D9D9E0" w:sz="6" w:space="0"/>
              <w:right w:val="single" w:color="D9D9E0" w:sz="6" w:space="0"/>
            </w:tcBorders>
          </w:tcPr>
          <w:p w14:paraId="019B6ADA">
            <w:r>
              <w:t>2-3 min</w:t>
            </w:r>
          </w:p>
        </w:tc>
        <w:tc>
          <w:tcPr>
            <w:tcW w:w="4176" w:type="dxa"/>
            <w:tcBorders>
              <w:top w:val="single" w:color="D9D9E0" w:sz="6" w:space="0"/>
              <w:left w:val="single" w:color="D9D9E0" w:sz="6" w:space="0"/>
              <w:bottom w:val="single" w:color="D9D9E0" w:sz="6" w:space="0"/>
              <w:right w:val="single" w:color="D9D9E0" w:sz="6" w:space="0"/>
            </w:tcBorders>
          </w:tcPr>
          <w:p w14:paraId="41ABB52A">
            <w:r>
              <w:t>Yes, and better: replace the unreviewed personal file with grounded retrieval against the reviewed 29-article KB</w:t>
            </w:r>
          </w:p>
        </w:tc>
      </w:tr>
      <w:tr w14:paraId="20E27536">
        <w:trPr>
          <w:jc w:val="center"/>
        </w:trPr>
        <w:tc>
          <w:tcPr>
            <w:tcW w:w="720" w:type="dxa"/>
            <w:tcBorders>
              <w:top w:val="single" w:color="D9D9E0" w:sz="6" w:space="0"/>
              <w:left w:val="single" w:color="D9D9E0" w:sz="6" w:space="0"/>
              <w:bottom w:val="single" w:color="D9D9E0" w:sz="6" w:space="0"/>
              <w:right w:val="single" w:color="D9D9E0" w:sz="6" w:space="0"/>
            </w:tcBorders>
            <w:shd w:val="clear" w:color="auto" w:fill="F4F4F7"/>
          </w:tcPr>
          <w:p w14:paraId="435FA706">
            <w:pPr>
              <w:spacing w:before="50" w:after="50"/>
            </w:pPr>
            <w:r>
              <w:rPr>
                <w:sz w:val="16"/>
              </w:rPr>
              <w:t>4</w:t>
            </w:r>
          </w:p>
        </w:tc>
        <w:tc>
          <w:tcPr>
            <w:tcW w:w="3168" w:type="dxa"/>
            <w:tcBorders>
              <w:top w:val="single" w:color="D9D9E0" w:sz="6" w:space="0"/>
              <w:left w:val="single" w:color="D9D9E0" w:sz="6" w:space="0"/>
              <w:bottom w:val="single" w:color="D9D9E0" w:sz="6" w:space="0"/>
              <w:right w:val="single" w:color="D9D9E0" w:sz="6" w:space="0"/>
            </w:tcBorders>
            <w:shd w:val="clear" w:color="auto" w:fill="F4F4F7"/>
          </w:tcPr>
          <w:p w14:paraId="24F82F23">
            <w:r>
              <w:t>Writes or adapts the answer for the specific ticket; if unusual, researches from scratch (up to ~40 min) before often escalating anyway</w:t>
            </w:r>
          </w:p>
        </w:tc>
        <w:tc>
          <w:tcPr>
            <w:tcW w:w="1584" w:type="dxa"/>
            <w:tcBorders>
              <w:top w:val="single" w:color="D9D9E0" w:sz="6" w:space="0"/>
              <w:left w:val="single" w:color="D9D9E0" w:sz="6" w:space="0"/>
              <w:bottom w:val="single" w:color="D9D9E0" w:sz="6" w:space="0"/>
              <w:right w:val="single" w:color="D9D9E0" w:sz="6" w:space="0"/>
            </w:tcBorders>
            <w:shd w:val="clear" w:color="auto" w:fill="F4F4F7"/>
          </w:tcPr>
          <w:p w14:paraId="4E34E1BA">
            <w:r>
              <w:t>2-40 min depending on familiarity</w:t>
            </w:r>
          </w:p>
        </w:tc>
        <w:tc>
          <w:tcPr>
            <w:tcW w:w="4176" w:type="dxa"/>
            <w:tcBorders>
              <w:top w:val="single" w:color="D9D9E0" w:sz="6" w:space="0"/>
              <w:left w:val="single" w:color="D9D9E0" w:sz="6" w:space="0"/>
              <w:bottom w:val="single" w:color="D9D9E0" w:sz="6" w:space="0"/>
              <w:right w:val="single" w:color="D9D9E0" w:sz="6" w:space="0"/>
            </w:tcBorders>
            <w:shd w:val="clear" w:color="auto" w:fill="F4F4F7"/>
          </w:tcPr>
          <w:p w14:paraId="6769C5B0">
            <w:r>
              <w:t>Partially -- generation drafts it, but only auto-sent above the confidence threshold; below it, still escalates</w:t>
            </w:r>
          </w:p>
        </w:tc>
      </w:tr>
      <w:tr w14:paraId="1524752B">
        <w:trPr>
          <w:jc w:val="center"/>
        </w:trPr>
        <w:tc>
          <w:tcPr>
            <w:tcW w:w="720" w:type="dxa"/>
            <w:tcBorders>
              <w:top w:val="single" w:color="D9D9E0" w:sz="6" w:space="0"/>
              <w:left w:val="single" w:color="D9D9E0" w:sz="6" w:space="0"/>
              <w:bottom w:val="single" w:color="D9D9E0" w:sz="6" w:space="0"/>
              <w:right w:val="single" w:color="D9D9E0" w:sz="6" w:space="0"/>
            </w:tcBorders>
          </w:tcPr>
          <w:p w14:paraId="5530F801">
            <w:pPr>
              <w:spacing w:before="50" w:after="50"/>
            </w:pPr>
            <w:r>
              <w:rPr>
                <w:sz w:val="16"/>
              </w:rPr>
              <w:t>5</w:t>
            </w:r>
          </w:p>
        </w:tc>
        <w:tc>
          <w:tcPr>
            <w:tcW w:w="3168" w:type="dxa"/>
            <w:tcBorders>
              <w:top w:val="single" w:color="D9D9E0" w:sz="6" w:space="0"/>
              <w:left w:val="single" w:color="D9D9E0" w:sz="6" w:space="0"/>
              <w:bottom w:val="single" w:color="D9D9E0" w:sz="6" w:space="0"/>
              <w:right w:val="single" w:color="D9D9E0" w:sz="6" w:space="0"/>
            </w:tcBorders>
          </w:tcPr>
          <w:p w14:paraId="094D0631">
            <w:r>
              <w:t>If not confident, or it's a security topic: escalates by forwarding the raw ticket with no summary of what was tried</w:t>
            </w:r>
          </w:p>
        </w:tc>
        <w:tc>
          <w:tcPr>
            <w:tcW w:w="1584" w:type="dxa"/>
            <w:tcBorders>
              <w:top w:val="single" w:color="D9D9E0" w:sz="6" w:space="0"/>
              <w:left w:val="single" w:color="D9D9E0" w:sz="6" w:space="0"/>
              <w:bottom w:val="single" w:color="D9D9E0" w:sz="6" w:space="0"/>
              <w:right w:val="single" w:color="D9D9E0" w:sz="6" w:space="0"/>
            </w:tcBorders>
          </w:tcPr>
          <w:p w14:paraId="4FB8D596">
            <w:r>
              <w:t>~1 min</w:t>
            </w:r>
          </w:p>
        </w:tc>
        <w:tc>
          <w:tcPr>
            <w:tcW w:w="4176" w:type="dxa"/>
            <w:tcBorders>
              <w:top w:val="single" w:color="D9D9E0" w:sz="6" w:space="0"/>
              <w:left w:val="single" w:color="D9D9E0" w:sz="6" w:space="0"/>
              <w:bottom w:val="single" w:color="D9D9E0" w:sz="6" w:space="0"/>
              <w:right w:val="single" w:color="D9D9E0" w:sz="6" w:space="0"/>
            </w:tcBorders>
          </w:tcPr>
          <w:p w14:paraId="265AF097">
            <w:r>
              <w:t>Yes, and this is the highest-value automation target: FR-11 replaces the bare forward with a summary, retrieved sources, and the specific point of low confidence</w:t>
            </w:r>
          </w:p>
        </w:tc>
      </w:tr>
      <w:tr w14:paraId="2414A5FE">
        <w:trPr>
          <w:jc w:val="center"/>
        </w:trPr>
        <w:tc>
          <w:tcPr>
            <w:tcW w:w="720" w:type="dxa"/>
            <w:tcBorders>
              <w:top w:val="single" w:color="D9D9E0" w:sz="6" w:space="0"/>
              <w:left w:val="single" w:color="D9D9E0" w:sz="6" w:space="0"/>
              <w:bottom w:val="single" w:color="D9D9E0" w:sz="6" w:space="0"/>
              <w:right w:val="single" w:color="D9D9E0" w:sz="6" w:space="0"/>
            </w:tcBorders>
            <w:shd w:val="clear" w:color="auto" w:fill="F4F4F7"/>
          </w:tcPr>
          <w:p w14:paraId="7A2D36C4">
            <w:pPr>
              <w:spacing w:before="50" w:after="50"/>
            </w:pPr>
          </w:p>
        </w:tc>
        <w:tc>
          <w:tcPr>
            <w:tcW w:w="3168" w:type="dxa"/>
            <w:tcBorders>
              <w:top w:val="single" w:color="D9D9E0" w:sz="6" w:space="0"/>
              <w:left w:val="single" w:color="D9D9E0" w:sz="6" w:space="0"/>
              <w:bottom w:val="single" w:color="D9D9E0" w:sz="6" w:space="0"/>
              <w:right w:val="single" w:color="D9D9E0" w:sz="6" w:space="0"/>
            </w:tcBorders>
            <w:shd w:val="clear" w:color="auto" w:fill="F4F4F7"/>
          </w:tcPr>
          <w:p w14:paraId="04BCEC3E">
            <w:pPr>
              <w:spacing w:before="50" w:after="50"/>
            </w:pPr>
          </w:p>
        </w:tc>
        <w:tc>
          <w:tcPr>
            <w:tcW w:w="1584" w:type="dxa"/>
            <w:tcBorders>
              <w:top w:val="single" w:color="D9D9E0" w:sz="6" w:space="0"/>
              <w:left w:val="single" w:color="D9D9E0" w:sz="6" w:space="0"/>
              <w:bottom w:val="single" w:color="D9D9E0" w:sz="6" w:space="0"/>
              <w:right w:val="single" w:color="D9D9E0" w:sz="6" w:space="0"/>
            </w:tcBorders>
            <w:shd w:val="clear" w:color="auto" w:fill="F4F4F7"/>
          </w:tcPr>
          <w:p w14:paraId="000573B4">
            <w:pPr>
              <w:spacing w:before="50" w:after="50"/>
            </w:pPr>
          </w:p>
        </w:tc>
        <w:tc>
          <w:tcPr>
            <w:tcW w:w="4176" w:type="dxa"/>
            <w:tcBorders>
              <w:top w:val="single" w:color="D9D9E0" w:sz="6" w:space="0"/>
              <w:left w:val="single" w:color="D9D9E0" w:sz="6" w:space="0"/>
              <w:bottom w:val="single" w:color="D9D9E0" w:sz="6" w:space="0"/>
              <w:right w:val="single" w:color="D9D9E0" w:sz="6" w:space="0"/>
            </w:tcBorders>
            <w:shd w:val="clear" w:color="auto" w:fill="F4F4F7"/>
          </w:tcPr>
          <w:p w14:paraId="15C0876B">
            <w:pPr>
              <w:spacing w:before="50" w:after="50"/>
            </w:pPr>
          </w:p>
        </w:tc>
      </w:tr>
      <w:tr w14:paraId="1D1D8821">
        <w:trPr>
          <w:jc w:val="center"/>
        </w:trPr>
        <w:tc>
          <w:tcPr>
            <w:tcW w:w="720" w:type="dxa"/>
            <w:tcBorders>
              <w:top w:val="single" w:color="D9D9E0" w:sz="6" w:space="0"/>
              <w:left w:val="single" w:color="D9D9E0" w:sz="6" w:space="0"/>
              <w:bottom w:val="single" w:color="D9D9E0" w:sz="6" w:space="0"/>
              <w:right w:val="single" w:color="D9D9E0" w:sz="6" w:space="0"/>
            </w:tcBorders>
          </w:tcPr>
          <w:p w14:paraId="5CD0BD4B">
            <w:pPr>
              <w:spacing w:before="50" w:after="50"/>
            </w:pPr>
          </w:p>
        </w:tc>
        <w:tc>
          <w:tcPr>
            <w:tcW w:w="3168" w:type="dxa"/>
            <w:tcBorders>
              <w:top w:val="single" w:color="D9D9E0" w:sz="6" w:space="0"/>
              <w:left w:val="single" w:color="D9D9E0" w:sz="6" w:space="0"/>
              <w:bottom w:val="single" w:color="D9D9E0" w:sz="6" w:space="0"/>
              <w:right w:val="single" w:color="D9D9E0" w:sz="6" w:space="0"/>
            </w:tcBorders>
          </w:tcPr>
          <w:p w14:paraId="10FC044F">
            <w:pPr>
              <w:spacing w:before="50" w:after="50"/>
            </w:pPr>
          </w:p>
        </w:tc>
        <w:tc>
          <w:tcPr>
            <w:tcW w:w="1584" w:type="dxa"/>
            <w:tcBorders>
              <w:top w:val="single" w:color="D9D9E0" w:sz="6" w:space="0"/>
              <w:left w:val="single" w:color="D9D9E0" w:sz="6" w:space="0"/>
              <w:bottom w:val="single" w:color="D9D9E0" w:sz="6" w:space="0"/>
              <w:right w:val="single" w:color="D9D9E0" w:sz="6" w:space="0"/>
            </w:tcBorders>
          </w:tcPr>
          <w:p w14:paraId="5DCBAE47">
            <w:pPr>
              <w:spacing w:before="50" w:after="50"/>
            </w:pPr>
          </w:p>
        </w:tc>
        <w:tc>
          <w:tcPr>
            <w:tcW w:w="4176" w:type="dxa"/>
            <w:tcBorders>
              <w:top w:val="single" w:color="D9D9E0" w:sz="6" w:space="0"/>
              <w:left w:val="single" w:color="D9D9E0" w:sz="6" w:space="0"/>
              <w:bottom w:val="single" w:color="D9D9E0" w:sz="6" w:space="0"/>
              <w:right w:val="single" w:color="D9D9E0" w:sz="6" w:space="0"/>
            </w:tcBorders>
          </w:tcPr>
          <w:p w14:paraId="67ABA89C">
            <w:pPr>
              <w:spacing w:before="50" w:after="50"/>
            </w:pPr>
          </w:p>
        </w:tc>
      </w:tr>
      <w:tr w14:paraId="33011E5E">
        <w:trPr>
          <w:jc w:val="center"/>
        </w:trPr>
        <w:tc>
          <w:tcPr>
            <w:tcW w:w="720" w:type="dxa"/>
            <w:tcBorders>
              <w:top w:val="single" w:color="D9D9E0" w:sz="6" w:space="0"/>
              <w:left w:val="single" w:color="D9D9E0" w:sz="6" w:space="0"/>
              <w:bottom w:val="single" w:color="D9D9E0" w:sz="6" w:space="0"/>
              <w:right w:val="single" w:color="D9D9E0" w:sz="6" w:space="0"/>
            </w:tcBorders>
            <w:shd w:val="clear" w:color="auto" w:fill="F4F4F7"/>
          </w:tcPr>
          <w:p w14:paraId="26E498FA">
            <w:pPr>
              <w:spacing w:before="50" w:after="50"/>
            </w:pPr>
          </w:p>
        </w:tc>
        <w:tc>
          <w:tcPr>
            <w:tcW w:w="3168" w:type="dxa"/>
            <w:tcBorders>
              <w:top w:val="single" w:color="D9D9E0" w:sz="6" w:space="0"/>
              <w:left w:val="single" w:color="D9D9E0" w:sz="6" w:space="0"/>
              <w:bottom w:val="single" w:color="D9D9E0" w:sz="6" w:space="0"/>
              <w:right w:val="single" w:color="D9D9E0" w:sz="6" w:space="0"/>
            </w:tcBorders>
            <w:shd w:val="clear" w:color="auto" w:fill="F4F4F7"/>
          </w:tcPr>
          <w:p w14:paraId="4BEF42E3">
            <w:pPr>
              <w:spacing w:before="50" w:after="50"/>
            </w:pPr>
          </w:p>
        </w:tc>
        <w:tc>
          <w:tcPr>
            <w:tcW w:w="1584" w:type="dxa"/>
            <w:tcBorders>
              <w:top w:val="single" w:color="D9D9E0" w:sz="6" w:space="0"/>
              <w:left w:val="single" w:color="D9D9E0" w:sz="6" w:space="0"/>
              <w:bottom w:val="single" w:color="D9D9E0" w:sz="6" w:space="0"/>
              <w:right w:val="single" w:color="D9D9E0" w:sz="6" w:space="0"/>
            </w:tcBorders>
            <w:shd w:val="clear" w:color="auto" w:fill="F4F4F7"/>
          </w:tcPr>
          <w:p w14:paraId="7F4F9882">
            <w:pPr>
              <w:spacing w:before="50" w:after="50"/>
            </w:pPr>
          </w:p>
        </w:tc>
        <w:tc>
          <w:tcPr>
            <w:tcW w:w="4176" w:type="dxa"/>
            <w:tcBorders>
              <w:top w:val="single" w:color="D9D9E0" w:sz="6" w:space="0"/>
              <w:left w:val="single" w:color="D9D9E0" w:sz="6" w:space="0"/>
              <w:bottom w:val="single" w:color="D9D9E0" w:sz="6" w:space="0"/>
              <w:right w:val="single" w:color="D9D9E0" w:sz="6" w:space="0"/>
            </w:tcBorders>
            <w:shd w:val="clear" w:color="auto" w:fill="F4F4F7"/>
          </w:tcPr>
          <w:p w14:paraId="78D07BE6">
            <w:pPr>
              <w:spacing w:before="50" w:after="50"/>
            </w:pPr>
          </w:p>
        </w:tc>
      </w:tr>
    </w:tbl>
    <w:p w14:paraId="0999FFE4">
      <w:pPr>
        <w:spacing w:after="80"/>
      </w:pPr>
    </w:p>
    <w:p w14:paraId="4192BF43">
      <w:r>
        <w:br w:type="page"/>
      </w:r>
    </w:p>
    <w:p w14:paraId="5DE6E264">
      <w:pPr>
        <w:pBdr>
          <w:bottom w:val="single" w:color="E8660A" w:sz="8" w:space="6"/>
        </w:pBdr>
        <w:spacing w:before="440" w:after="60"/>
      </w:pPr>
      <w:r>
        <w:rPr>
          <w:b/>
          <w:color w:val="E8660A"/>
          <w:sz w:val="34"/>
        </w:rPr>
        <w:t xml:space="preserve">4   </w:t>
      </w:r>
      <w:r>
        <w:rPr>
          <w:b/>
          <w:color w:val="1A1A2E"/>
          <w:sz w:val="34"/>
        </w:rPr>
        <w:t>Section four: what the client counts as success</w:t>
      </w:r>
    </w:p>
    <w:p w14:paraId="390579E5">
      <w:pPr>
        <w:spacing w:after="140"/>
      </w:pPr>
      <w:r>
        <w:rPr>
          <w:i w:val="0"/>
          <w:sz w:val="21"/>
        </w:rPr>
        <w:t>You cannot improve a number nobody is watching. Marcus names the figures he reports and is explicit about which one he actually cares about, and they are not the same. Record what CloudServe measure, who watches each measure, and what would have to change for this project to be considered worthwhile.</w:t>
      </w:r>
    </w:p>
    <w:tbl>
      <w:tblPr>
        <w:tblStyle w:val="12"/>
        <w:tblW w:w="0" w:type="auto"/>
        <w:jc w:val="center"/>
        <w:tblLayout w:type="fixed"/>
        <w:tblCellMar>
          <w:top w:w="0" w:type="dxa"/>
          <w:left w:w="108" w:type="dxa"/>
          <w:bottom w:w="0" w:type="dxa"/>
          <w:right w:w="108" w:type="dxa"/>
        </w:tblCellMar>
      </w:tblPr>
      <w:tblGrid>
        <w:gridCol w:w="1930"/>
        <w:gridCol w:w="1930"/>
        <w:gridCol w:w="1930"/>
        <w:gridCol w:w="1930"/>
        <w:gridCol w:w="1930"/>
      </w:tblGrid>
      <w:tr w14:paraId="29FC8890">
        <w:trPr>
          <w:jc w:val="center"/>
        </w:trPr>
        <w:tc>
          <w:tcPr>
            <w:tcW w:w="2016" w:type="dxa"/>
            <w:tcBorders>
              <w:top w:val="single" w:color="D9D9E0" w:sz="6" w:space="0"/>
              <w:left w:val="single" w:color="D9D9E0" w:sz="6" w:space="0"/>
              <w:bottom w:val="single" w:color="D9D9E0" w:sz="6" w:space="0"/>
              <w:right w:val="single" w:color="D9D9E0" w:sz="6" w:space="0"/>
            </w:tcBorders>
            <w:shd w:val="clear" w:color="auto" w:fill="E8660A"/>
          </w:tcPr>
          <w:p w14:paraId="38379C00">
            <w:pPr>
              <w:spacing w:before="60" w:after="60"/>
            </w:pPr>
            <w:r>
              <w:rPr>
                <w:b/>
                <w:color w:val="FFFFFF"/>
                <w:sz w:val="17"/>
              </w:rPr>
              <w:t>Measure</w:t>
            </w:r>
          </w:p>
        </w:tc>
        <w:tc>
          <w:tcPr>
            <w:tcW w:w="1728" w:type="dxa"/>
            <w:tcBorders>
              <w:top w:val="single" w:color="D9D9E0" w:sz="6" w:space="0"/>
              <w:left w:val="single" w:color="D9D9E0" w:sz="6" w:space="0"/>
              <w:bottom w:val="single" w:color="D9D9E0" w:sz="6" w:space="0"/>
              <w:right w:val="single" w:color="D9D9E0" w:sz="6" w:space="0"/>
            </w:tcBorders>
            <w:shd w:val="clear" w:color="auto" w:fill="E8660A"/>
          </w:tcPr>
          <w:p w14:paraId="1CDD37E8">
            <w:pPr>
              <w:spacing w:before="60" w:after="60"/>
            </w:pPr>
            <w:r>
              <w:rPr>
                <w:b/>
                <w:color w:val="FFFFFF"/>
                <w:sz w:val="17"/>
              </w:rPr>
              <w:t>Who watches it</w:t>
            </w:r>
          </w:p>
        </w:tc>
        <w:tc>
          <w:tcPr>
            <w:tcW w:w="1440" w:type="dxa"/>
            <w:tcBorders>
              <w:top w:val="single" w:color="D9D9E0" w:sz="6" w:space="0"/>
              <w:left w:val="single" w:color="D9D9E0" w:sz="6" w:space="0"/>
              <w:bottom w:val="single" w:color="D9D9E0" w:sz="6" w:space="0"/>
              <w:right w:val="single" w:color="D9D9E0" w:sz="6" w:space="0"/>
            </w:tcBorders>
            <w:shd w:val="clear" w:color="auto" w:fill="E8660A"/>
          </w:tcPr>
          <w:p w14:paraId="75C1CF1A">
            <w:pPr>
              <w:spacing w:before="60" w:after="60"/>
            </w:pPr>
            <w:r>
              <w:rPr>
                <w:b/>
                <w:color w:val="FFFFFF"/>
                <w:sz w:val="17"/>
              </w:rPr>
              <w:t>Current value</w:t>
            </w:r>
          </w:p>
        </w:tc>
        <w:tc>
          <w:tcPr>
            <w:tcW w:w="2448" w:type="dxa"/>
            <w:tcBorders>
              <w:top w:val="single" w:color="D9D9E0" w:sz="6" w:space="0"/>
              <w:left w:val="single" w:color="D9D9E0" w:sz="6" w:space="0"/>
              <w:bottom w:val="single" w:color="D9D9E0" w:sz="6" w:space="0"/>
              <w:right w:val="single" w:color="D9D9E0" w:sz="6" w:space="0"/>
            </w:tcBorders>
            <w:shd w:val="clear" w:color="auto" w:fill="E8660A"/>
          </w:tcPr>
          <w:p w14:paraId="67249D95">
            <w:pPr>
              <w:spacing w:before="60" w:after="60"/>
            </w:pPr>
            <w:r>
              <w:rPr>
                <w:b/>
                <w:color w:val="FFFFFF"/>
                <w:sz w:val="17"/>
              </w:rPr>
              <w:t>What they would call success</w:t>
            </w:r>
          </w:p>
        </w:tc>
        <w:tc>
          <w:tcPr>
            <w:tcW w:w="2016" w:type="dxa"/>
            <w:tcBorders>
              <w:top w:val="single" w:color="D9D9E0" w:sz="6" w:space="0"/>
              <w:left w:val="single" w:color="D9D9E0" w:sz="6" w:space="0"/>
              <w:bottom w:val="single" w:color="D9D9E0" w:sz="6" w:space="0"/>
              <w:right w:val="single" w:color="D9D9E0" w:sz="6" w:space="0"/>
            </w:tcBorders>
            <w:shd w:val="clear" w:color="auto" w:fill="E8660A"/>
          </w:tcPr>
          <w:p w14:paraId="59EB0C76">
            <w:pPr>
              <w:spacing w:before="60" w:after="60"/>
            </w:pPr>
            <w:r>
              <w:rPr>
                <w:b/>
                <w:color w:val="FFFFFF"/>
                <w:sz w:val="17"/>
              </w:rPr>
              <w:t>How confident are you in this?</w:t>
            </w:r>
          </w:p>
        </w:tc>
      </w:tr>
      <w:tr w14:paraId="3D5FEF36">
        <w:trPr>
          <w:jc w:val="center"/>
        </w:trPr>
        <w:tc>
          <w:tcPr>
            <w:tcW w:w="2016" w:type="dxa"/>
            <w:tcBorders>
              <w:top w:val="single" w:color="D9D9E0" w:sz="6" w:space="0"/>
              <w:left w:val="single" w:color="D9D9E0" w:sz="6" w:space="0"/>
              <w:bottom w:val="single" w:color="D9D9E0" w:sz="6" w:space="0"/>
              <w:right w:val="single" w:color="D9D9E0" w:sz="6" w:space="0"/>
            </w:tcBorders>
          </w:tcPr>
          <w:p w14:paraId="7CB07F15">
            <w:r>
              <w:t>First contact resolution</w:t>
            </w:r>
          </w:p>
        </w:tc>
        <w:tc>
          <w:tcPr>
            <w:tcW w:w="1728" w:type="dxa"/>
            <w:tcBorders>
              <w:top w:val="single" w:color="D9D9E0" w:sz="6" w:space="0"/>
              <w:left w:val="single" w:color="D9D9E0" w:sz="6" w:space="0"/>
              <w:bottom w:val="single" w:color="D9D9E0" w:sz="6" w:space="0"/>
              <w:right w:val="single" w:color="D9D9E0" w:sz="6" w:space="0"/>
            </w:tcBorders>
          </w:tcPr>
          <w:p w14:paraId="7293D4E5">
            <w:r>
              <w:t>Marcus (states directly this is the one he cares most about)</w:t>
            </w:r>
          </w:p>
        </w:tc>
        <w:tc>
          <w:tcPr>
            <w:tcW w:w="1440" w:type="dxa"/>
            <w:tcBorders>
              <w:top w:val="single" w:color="D9D9E0" w:sz="6" w:space="0"/>
              <w:left w:val="single" w:color="D9D9E0" w:sz="6" w:space="0"/>
              <w:bottom w:val="single" w:color="D9D9E0" w:sz="6" w:space="0"/>
              <w:right w:val="single" w:color="D9D9E0" w:sz="6" w:space="0"/>
            </w:tcBorders>
          </w:tcPr>
          <w:p w14:paraId="5DD3F435">
            <w:r>
              <w:t>42%</w:t>
            </w:r>
          </w:p>
        </w:tc>
        <w:tc>
          <w:tcPr>
            <w:tcW w:w="2448" w:type="dxa"/>
            <w:tcBorders>
              <w:top w:val="single" w:color="D9D9E0" w:sz="6" w:space="0"/>
              <w:left w:val="single" w:color="D9D9E0" w:sz="6" w:space="0"/>
              <w:bottom w:val="single" w:color="D9D9E0" w:sz="6" w:space="0"/>
              <w:right w:val="single" w:color="D9D9E0" w:sz="6" w:space="0"/>
            </w:tcBorders>
          </w:tcPr>
          <w:p w14:paraId="39878366">
            <w:r>
              <w:t>The 60%+ target set against the 65% industry benchmark he's been quoted</w:t>
            </w:r>
          </w:p>
        </w:tc>
        <w:tc>
          <w:tcPr>
            <w:tcW w:w="2016" w:type="dxa"/>
            <w:tcBorders>
              <w:top w:val="single" w:color="D9D9E0" w:sz="6" w:space="0"/>
              <w:left w:val="single" w:color="D9D9E0" w:sz="6" w:space="0"/>
              <w:bottom w:val="single" w:color="D9D9E0" w:sz="6" w:space="0"/>
              <w:right w:val="single" w:color="D9D9E0" w:sz="6" w:space="0"/>
            </w:tcBorders>
          </w:tcPr>
          <w:p w14:paraId="31F4EE5D">
            <w:r>
              <w:t>High -- stated directly, unprompted</w:t>
            </w:r>
          </w:p>
        </w:tc>
      </w:tr>
      <w:tr w14:paraId="40476936">
        <w:trPr>
          <w:jc w:val="center"/>
        </w:trPr>
        <w:tc>
          <w:tcPr>
            <w:tcW w:w="2016" w:type="dxa"/>
            <w:tcBorders>
              <w:top w:val="single" w:color="D9D9E0" w:sz="6" w:space="0"/>
              <w:left w:val="single" w:color="D9D9E0" w:sz="6" w:space="0"/>
              <w:bottom w:val="single" w:color="D9D9E0" w:sz="6" w:space="0"/>
              <w:right w:val="single" w:color="D9D9E0" w:sz="6" w:space="0"/>
            </w:tcBorders>
            <w:shd w:val="clear" w:color="auto" w:fill="F4F4F7"/>
          </w:tcPr>
          <w:p w14:paraId="41F6582E">
            <w:r>
              <w:t>Average time to first reply</w:t>
            </w:r>
          </w:p>
        </w:tc>
        <w:tc>
          <w:tcPr>
            <w:tcW w:w="1728" w:type="dxa"/>
            <w:tcBorders>
              <w:top w:val="single" w:color="D9D9E0" w:sz="6" w:space="0"/>
              <w:left w:val="single" w:color="D9D9E0" w:sz="6" w:space="0"/>
              <w:bottom w:val="single" w:color="D9D9E0" w:sz="6" w:space="0"/>
              <w:right w:val="single" w:color="D9D9E0" w:sz="6" w:space="0"/>
            </w:tcBorders>
            <w:shd w:val="clear" w:color="auto" w:fill="F4F4F7"/>
          </w:tcPr>
          <w:p w14:paraId="139E50C8">
            <w:r>
              <w:t>Marcus, reported to the executive team quarterly</w:t>
            </w:r>
          </w:p>
        </w:tc>
        <w:tc>
          <w:tcPr>
            <w:tcW w:w="1440" w:type="dxa"/>
            <w:tcBorders>
              <w:top w:val="single" w:color="D9D9E0" w:sz="6" w:space="0"/>
              <w:left w:val="single" w:color="D9D9E0" w:sz="6" w:space="0"/>
              <w:bottom w:val="single" w:color="D9D9E0" w:sz="6" w:space="0"/>
              <w:right w:val="single" w:color="D9D9E0" w:sz="6" w:space="0"/>
            </w:tcBorders>
            <w:shd w:val="clear" w:color="auto" w:fill="F4F4F7"/>
          </w:tcPr>
          <w:p w14:paraId="611FE50B">
            <w:r>
              <w:t>8-12 hours</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2A196724">
            <w:r>
              <w:t>Under the 2-hour SLA in the service agreement</w:t>
            </w:r>
          </w:p>
        </w:tc>
        <w:tc>
          <w:tcPr>
            <w:tcW w:w="2016" w:type="dxa"/>
            <w:tcBorders>
              <w:top w:val="single" w:color="D9D9E0" w:sz="6" w:space="0"/>
              <w:left w:val="single" w:color="D9D9E0" w:sz="6" w:space="0"/>
              <w:bottom w:val="single" w:color="D9D9E0" w:sz="6" w:space="0"/>
              <w:right w:val="single" w:color="D9D9E0" w:sz="6" w:space="0"/>
            </w:tcBorders>
            <w:shd w:val="clear" w:color="auto" w:fill="F4F4F7"/>
          </w:tcPr>
          <w:p w14:paraId="665A7269">
            <w:r>
              <w:t>High -- this is the contractual number</w:t>
            </w:r>
          </w:p>
        </w:tc>
      </w:tr>
      <w:tr w14:paraId="2A4C285F">
        <w:trPr>
          <w:jc w:val="center"/>
        </w:trPr>
        <w:tc>
          <w:tcPr>
            <w:tcW w:w="2016" w:type="dxa"/>
            <w:tcBorders>
              <w:top w:val="single" w:color="D9D9E0" w:sz="6" w:space="0"/>
              <w:left w:val="single" w:color="D9D9E0" w:sz="6" w:space="0"/>
              <w:bottom w:val="single" w:color="D9D9E0" w:sz="6" w:space="0"/>
              <w:right w:val="single" w:color="D9D9E0" w:sz="6" w:space="0"/>
            </w:tcBorders>
          </w:tcPr>
          <w:p w14:paraId="7219C826">
            <w:r>
              <w:t>Escalation rate / tier-2 load</w:t>
            </w:r>
          </w:p>
        </w:tc>
        <w:tc>
          <w:tcPr>
            <w:tcW w:w="1728" w:type="dxa"/>
            <w:tcBorders>
              <w:top w:val="single" w:color="D9D9E0" w:sz="6" w:space="0"/>
              <w:left w:val="single" w:color="D9D9E0" w:sz="6" w:space="0"/>
              <w:bottom w:val="single" w:color="D9D9E0" w:sz="6" w:space="0"/>
              <w:right w:val="single" w:color="D9D9E0" w:sz="6" w:space="0"/>
            </w:tcBorders>
          </w:tcPr>
          <w:p w14:paraId="6DC5271A">
            <w:r>
              <w:t>Marcus sees the rate; Daniel lives inside it</w:t>
            </w:r>
          </w:p>
        </w:tc>
        <w:tc>
          <w:tcPr>
            <w:tcW w:w="1440" w:type="dxa"/>
            <w:tcBorders>
              <w:top w:val="single" w:color="D9D9E0" w:sz="6" w:space="0"/>
              <w:left w:val="single" w:color="D9D9E0" w:sz="6" w:space="0"/>
              <w:bottom w:val="single" w:color="D9D9E0" w:sz="6" w:space="0"/>
              <w:right w:val="single" w:color="D9D9E0" w:sz="6" w:space="0"/>
            </w:tcBorders>
          </w:tcPr>
          <w:p w14:paraId="1A1FCC4A">
            <w:r>
              <w:t>58% (56.2% in the data)</w:t>
            </w:r>
          </w:p>
        </w:tc>
        <w:tc>
          <w:tcPr>
            <w:tcW w:w="2448" w:type="dxa"/>
            <w:tcBorders>
              <w:top w:val="single" w:color="D9D9E0" w:sz="6" w:space="0"/>
              <w:left w:val="single" w:color="D9D9E0" w:sz="6" w:space="0"/>
              <w:bottom w:val="single" w:color="D9D9E0" w:sz="6" w:space="0"/>
              <w:right w:val="single" w:color="D9D9E0" w:sz="6" w:space="0"/>
            </w:tcBorders>
          </w:tcPr>
          <w:p w14:paraId="29230215">
            <w:r>
              <w:t>Meaningfully lower, with remaining escalations being genuinely necessary rather than confidence/findability failures</w:t>
            </w:r>
          </w:p>
        </w:tc>
        <w:tc>
          <w:tcPr>
            <w:tcW w:w="2016" w:type="dxa"/>
            <w:tcBorders>
              <w:top w:val="single" w:color="D9D9E0" w:sz="6" w:space="0"/>
              <w:left w:val="single" w:color="D9D9E0" w:sz="6" w:space="0"/>
              <w:bottom w:val="single" w:color="D9D9E0" w:sz="6" w:space="0"/>
              <w:right w:val="single" w:color="D9D9E0" w:sz="6" w:space="0"/>
            </w:tcBorders>
          </w:tcPr>
          <w:p w14:paraId="614FD2E0">
            <w:r>
              <w:t>Medium -- no explicit target stated, inferred from his FCR priority</w:t>
            </w:r>
          </w:p>
        </w:tc>
      </w:tr>
      <w:tr w14:paraId="22CC40F1">
        <w:trPr>
          <w:jc w:val="center"/>
        </w:trPr>
        <w:tc>
          <w:tcPr>
            <w:tcW w:w="2016" w:type="dxa"/>
            <w:tcBorders>
              <w:top w:val="single" w:color="D9D9E0" w:sz="6" w:space="0"/>
              <w:left w:val="single" w:color="D9D9E0" w:sz="6" w:space="0"/>
              <w:bottom w:val="single" w:color="D9D9E0" w:sz="6" w:space="0"/>
              <w:right w:val="single" w:color="D9D9E0" w:sz="6" w:space="0"/>
            </w:tcBorders>
            <w:shd w:val="clear" w:color="auto" w:fill="F4F4F7"/>
          </w:tcPr>
          <w:p w14:paraId="14FFA053">
            <w:r>
              <w:t>Customer satisfaction</w:t>
            </w:r>
          </w:p>
        </w:tc>
        <w:tc>
          <w:tcPr>
            <w:tcW w:w="1728" w:type="dxa"/>
            <w:tcBorders>
              <w:top w:val="single" w:color="D9D9E0" w:sz="6" w:space="0"/>
              <w:left w:val="single" w:color="D9D9E0" w:sz="6" w:space="0"/>
              <w:bottom w:val="single" w:color="D9D9E0" w:sz="6" w:space="0"/>
              <w:right w:val="single" w:color="D9D9E0" w:sz="6" w:space="0"/>
            </w:tcBorders>
            <w:shd w:val="clear" w:color="auto" w:fill="F4F4F7"/>
          </w:tcPr>
          <w:p w14:paraId="43A298CF">
            <w:r>
              <w:t>Marcus (renewal conversations going badly)</w:t>
            </w:r>
          </w:p>
        </w:tc>
        <w:tc>
          <w:tcPr>
            <w:tcW w:w="1440" w:type="dxa"/>
            <w:tcBorders>
              <w:top w:val="single" w:color="D9D9E0" w:sz="6" w:space="0"/>
              <w:left w:val="single" w:color="D9D9E0" w:sz="6" w:space="0"/>
              <w:bottom w:val="single" w:color="D9D9E0" w:sz="6" w:space="0"/>
              <w:right w:val="single" w:color="D9D9E0" w:sz="6" w:space="0"/>
            </w:tcBorders>
            <w:shd w:val="clear" w:color="auto" w:fill="F4F4F7"/>
          </w:tcPr>
          <w:p w14:paraId="2A03E69F">
            <w:r>
              <w:t>3.2/5 company-reported (2.97/5 at ticket level)</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4708C444">
            <w:r>
              <w:t>Not explicitly numbered, but tied to renewal conversations turning positive</w:t>
            </w:r>
          </w:p>
        </w:tc>
        <w:tc>
          <w:tcPr>
            <w:tcW w:w="2016" w:type="dxa"/>
            <w:tcBorders>
              <w:top w:val="single" w:color="D9D9E0" w:sz="6" w:space="0"/>
              <w:left w:val="single" w:color="D9D9E0" w:sz="6" w:space="0"/>
              <w:bottom w:val="single" w:color="D9D9E0" w:sz="6" w:space="0"/>
              <w:right w:val="single" w:color="D9D9E0" w:sz="6" w:space="0"/>
            </w:tcBorders>
            <w:shd w:val="clear" w:color="auto" w:fill="F4F4F7"/>
          </w:tcPr>
          <w:p w14:paraId="474E24AC">
            <w:r>
              <w:t>Medium</w:t>
            </w:r>
          </w:p>
        </w:tc>
      </w:tr>
      <w:tr w14:paraId="5E5E3639">
        <w:trPr>
          <w:jc w:val="center"/>
        </w:trPr>
        <w:tc>
          <w:tcPr>
            <w:tcW w:w="2016" w:type="dxa"/>
            <w:tcBorders>
              <w:top w:val="single" w:color="D9D9E0" w:sz="6" w:space="0"/>
              <w:left w:val="single" w:color="D9D9E0" w:sz="6" w:space="0"/>
              <w:bottom w:val="single" w:color="D9D9E0" w:sz="6" w:space="0"/>
              <w:right w:val="single" w:color="D9D9E0" w:sz="6" w:space="0"/>
            </w:tcBorders>
          </w:tcPr>
          <w:p w14:paraId="04B26A8D">
            <w:r>
              <w:t>Explainability / compliance readiness</w:t>
            </w:r>
          </w:p>
        </w:tc>
        <w:tc>
          <w:tcPr>
            <w:tcW w:w="1728" w:type="dxa"/>
            <w:tcBorders>
              <w:top w:val="single" w:color="D9D9E0" w:sz="6" w:space="0"/>
              <w:left w:val="single" w:color="D9D9E0" w:sz="6" w:space="0"/>
              <w:bottom w:val="single" w:color="D9D9E0" w:sz="6" w:space="0"/>
              <w:right w:val="single" w:color="D9D9E0" w:sz="6" w:space="0"/>
            </w:tcBorders>
          </w:tcPr>
          <w:p w14:paraId="74BFCE36">
            <w:r>
              <w:t>Marcus (autumn compliance review)</w:t>
            </w:r>
          </w:p>
        </w:tc>
        <w:tc>
          <w:tcPr>
            <w:tcW w:w="1440" w:type="dxa"/>
            <w:tcBorders>
              <w:top w:val="single" w:color="D9D9E0" w:sz="6" w:space="0"/>
              <w:left w:val="single" w:color="D9D9E0" w:sz="6" w:space="0"/>
              <w:bottom w:val="single" w:color="D9D9E0" w:sz="6" w:space="0"/>
              <w:right w:val="single" w:color="D9D9E0" w:sz="6" w:space="0"/>
            </w:tcBorders>
          </w:tcPr>
          <w:p w14:paraId="3195B354">
            <w:r>
              <w:t>No formal decision logging exists today</w:t>
            </w:r>
          </w:p>
        </w:tc>
        <w:tc>
          <w:tcPr>
            <w:tcW w:w="2448" w:type="dxa"/>
            <w:tcBorders>
              <w:top w:val="single" w:color="D9D9E0" w:sz="6" w:space="0"/>
              <w:left w:val="single" w:color="D9D9E0" w:sz="6" w:space="0"/>
              <w:bottom w:val="single" w:color="D9D9E0" w:sz="6" w:space="0"/>
              <w:right w:val="single" w:color="D9D9E0" w:sz="6" w:space="0"/>
            </w:tcBorders>
          </w:tcPr>
          <w:p w14:paraId="1F562183">
            <w:r>
              <w:t>Able to say why the system did what it did, for any decision, on demand</w:t>
            </w:r>
          </w:p>
        </w:tc>
        <w:tc>
          <w:tcPr>
            <w:tcW w:w="2016" w:type="dxa"/>
            <w:tcBorders>
              <w:top w:val="single" w:color="D9D9E0" w:sz="6" w:space="0"/>
              <w:left w:val="single" w:color="D9D9E0" w:sz="6" w:space="0"/>
              <w:bottom w:val="single" w:color="D9D9E0" w:sz="6" w:space="0"/>
              <w:right w:val="single" w:color="D9D9E0" w:sz="6" w:space="0"/>
            </w:tcBorders>
          </w:tcPr>
          <w:p w14:paraId="65A176F5">
            <w:r>
              <w:t>High -- stated directly</w:t>
            </w:r>
          </w:p>
        </w:tc>
      </w:tr>
      <w:tr w14:paraId="412D27E0">
        <w:trPr>
          <w:jc w:val="center"/>
        </w:trPr>
        <w:tc>
          <w:tcPr>
            <w:tcW w:w="2016" w:type="dxa"/>
            <w:tcBorders>
              <w:top w:val="single" w:color="D9D9E0" w:sz="6" w:space="0"/>
              <w:left w:val="single" w:color="D9D9E0" w:sz="6" w:space="0"/>
              <w:bottom w:val="single" w:color="D9D9E0" w:sz="6" w:space="0"/>
              <w:right w:val="single" w:color="D9D9E0" w:sz="6" w:space="0"/>
            </w:tcBorders>
            <w:shd w:val="clear" w:color="auto" w:fill="F4F4F7"/>
          </w:tcPr>
          <w:p w14:paraId="2D37CC57">
            <w:r>
              <w:t>Enterprise-tier service parity</w:t>
            </w:r>
          </w:p>
        </w:tc>
        <w:tc>
          <w:tcPr>
            <w:tcW w:w="1728" w:type="dxa"/>
            <w:tcBorders>
              <w:top w:val="single" w:color="D9D9E0" w:sz="6" w:space="0"/>
              <w:left w:val="single" w:color="D9D9E0" w:sz="6" w:space="0"/>
              <w:bottom w:val="single" w:color="D9D9E0" w:sz="6" w:space="0"/>
              <w:right w:val="single" w:color="D9D9E0" w:sz="6" w:space="0"/>
            </w:tcBorders>
            <w:shd w:val="clear" w:color="auto" w:fill="F4F4F7"/>
          </w:tcPr>
          <w:p w14:paraId="3E3E61B9">
            <w:r>
              <w:t>Marcus (worried enterprise customers will notice)</w:t>
            </w:r>
          </w:p>
        </w:tc>
        <w:tc>
          <w:tcPr>
            <w:tcW w:w="1440" w:type="dxa"/>
            <w:tcBorders>
              <w:top w:val="single" w:color="D9D9E0" w:sz="6" w:space="0"/>
              <w:left w:val="single" w:color="D9D9E0" w:sz="6" w:space="0"/>
              <w:bottom w:val="single" w:color="D9D9E0" w:sz="6" w:space="0"/>
              <w:right w:val="single" w:color="D9D9E0" w:sz="6" w:space="0"/>
            </w:tcBorders>
            <w:shd w:val="clear" w:color="auto" w:fill="F4F4F7"/>
          </w:tcPr>
          <w:p w14:paraId="7BC4DD2B">
            <w:r>
              <w:t>Unmeasured formally; our own data shows enterprise actually has the LOWEST historical FCR (37.3%)</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2897620F">
            <w:r>
              <w:t>No visible tier gap once the system is in place</w:t>
            </w:r>
          </w:p>
        </w:tc>
        <w:tc>
          <w:tcPr>
            <w:tcW w:w="2016" w:type="dxa"/>
            <w:tcBorders>
              <w:top w:val="single" w:color="D9D9E0" w:sz="6" w:space="0"/>
              <w:left w:val="single" w:color="D9D9E0" w:sz="6" w:space="0"/>
              <w:bottom w:val="single" w:color="D9D9E0" w:sz="6" w:space="0"/>
              <w:right w:val="single" w:color="D9D9E0" w:sz="6" w:space="0"/>
            </w:tcBorders>
            <w:shd w:val="clear" w:color="auto" w:fill="F4F4F7"/>
          </w:tcPr>
          <w:p w14:paraId="1E8CD2E8">
            <w:r>
              <w:t>Medium -- his worry is forward-looking, not yet tracked</w:t>
            </w:r>
          </w:p>
        </w:tc>
      </w:tr>
      <w:tr w14:paraId="1A78B39C">
        <w:trPr>
          <w:jc w:val="center"/>
        </w:trPr>
        <w:tc>
          <w:tcPr>
            <w:tcW w:w="2016" w:type="dxa"/>
            <w:tcBorders>
              <w:top w:val="single" w:color="D9D9E0" w:sz="6" w:space="0"/>
              <w:left w:val="single" w:color="D9D9E0" w:sz="6" w:space="0"/>
              <w:bottom w:val="single" w:color="D9D9E0" w:sz="6" w:space="0"/>
              <w:right w:val="single" w:color="D9D9E0" w:sz="6" w:space="0"/>
            </w:tcBorders>
          </w:tcPr>
          <w:p w14:paraId="36F47BE9">
            <w:pPr>
              <w:spacing w:before="50" w:after="50"/>
            </w:pPr>
          </w:p>
        </w:tc>
        <w:tc>
          <w:tcPr>
            <w:tcW w:w="1728" w:type="dxa"/>
            <w:tcBorders>
              <w:top w:val="single" w:color="D9D9E0" w:sz="6" w:space="0"/>
              <w:left w:val="single" w:color="D9D9E0" w:sz="6" w:space="0"/>
              <w:bottom w:val="single" w:color="D9D9E0" w:sz="6" w:space="0"/>
              <w:right w:val="single" w:color="D9D9E0" w:sz="6" w:space="0"/>
            </w:tcBorders>
          </w:tcPr>
          <w:p w14:paraId="3CB71585">
            <w:pPr>
              <w:spacing w:before="50" w:after="50"/>
            </w:pPr>
          </w:p>
        </w:tc>
        <w:tc>
          <w:tcPr>
            <w:tcW w:w="1440" w:type="dxa"/>
            <w:tcBorders>
              <w:top w:val="single" w:color="D9D9E0" w:sz="6" w:space="0"/>
              <w:left w:val="single" w:color="D9D9E0" w:sz="6" w:space="0"/>
              <w:bottom w:val="single" w:color="D9D9E0" w:sz="6" w:space="0"/>
              <w:right w:val="single" w:color="D9D9E0" w:sz="6" w:space="0"/>
            </w:tcBorders>
          </w:tcPr>
          <w:p w14:paraId="4590095B">
            <w:pPr>
              <w:spacing w:before="50" w:after="50"/>
            </w:pPr>
          </w:p>
        </w:tc>
        <w:tc>
          <w:tcPr>
            <w:tcW w:w="2448" w:type="dxa"/>
            <w:tcBorders>
              <w:top w:val="single" w:color="D9D9E0" w:sz="6" w:space="0"/>
              <w:left w:val="single" w:color="D9D9E0" w:sz="6" w:space="0"/>
              <w:bottom w:val="single" w:color="D9D9E0" w:sz="6" w:space="0"/>
              <w:right w:val="single" w:color="D9D9E0" w:sz="6" w:space="0"/>
            </w:tcBorders>
          </w:tcPr>
          <w:p w14:paraId="62875CB0">
            <w:pPr>
              <w:spacing w:before="50" w:after="50"/>
            </w:pPr>
          </w:p>
        </w:tc>
        <w:tc>
          <w:tcPr>
            <w:tcW w:w="2016" w:type="dxa"/>
            <w:tcBorders>
              <w:top w:val="single" w:color="D9D9E0" w:sz="6" w:space="0"/>
              <w:left w:val="single" w:color="D9D9E0" w:sz="6" w:space="0"/>
              <w:bottom w:val="single" w:color="D9D9E0" w:sz="6" w:space="0"/>
              <w:right w:val="single" w:color="D9D9E0" w:sz="6" w:space="0"/>
            </w:tcBorders>
          </w:tcPr>
          <w:p w14:paraId="25D50B9C">
            <w:pPr>
              <w:spacing w:before="50" w:after="50"/>
            </w:pPr>
          </w:p>
        </w:tc>
      </w:tr>
    </w:tbl>
    <w:p w14:paraId="372F5EFE">
      <w:pPr>
        <w:spacing w:after="80"/>
      </w:pPr>
    </w:p>
    <w:p w14:paraId="3A6100F7">
      <w:pPr>
        <w:spacing w:before="300" w:after="60"/>
      </w:pPr>
      <w:r>
        <w:rPr>
          <w:b/>
          <w:color w:val="1A1A2E"/>
          <w:sz w:val="25"/>
        </w:rPr>
        <w:t>The sentence test</w:t>
      </w:r>
    </w:p>
    <w:p w14:paraId="406C768C">
      <w:pPr>
        <w:spacing w:after="140"/>
      </w:pPr>
      <w:r>
        <w:rPr>
          <w:i w:val="0"/>
          <w:sz w:val="21"/>
        </w:rPr>
        <w:t>Complete the following sentence using only figures you recorded above. If you cannot complete it, your discovery is not finished.</w:t>
      </w:r>
    </w:p>
    <w:tbl>
      <w:tblPr>
        <w:tblStyle w:val="12"/>
        <w:tblW w:w="0" w:type="auto"/>
        <w:jc w:val="center"/>
        <w:tblLayout w:type="fixed"/>
        <w:tblCellMar>
          <w:top w:w="0" w:type="dxa"/>
          <w:left w:w="108" w:type="dxa"/>
          <w:bottom w:w="0" w:type="dxa"/>
          <w:right w:w="108" w:type="dxa"/>
        </w:tblCellMar>
      </w:tblPr>
      <w:tblGrid>
        <w:gridCol w:w="4824"/>
        <w:gridCol w:w="4824"/>
      </w:tblGrid>
      <w:tr w14:paraId="2C2E3B72">
        <w:trPr>
          <w:jc w:val="center"/>
        </w:trPr>
        <w:tc>
          <w:tcPr>
            <w:tcW w:w="3744" w:type="dxa"/>
            <w:tcBorders>
              <w:top w:val="single" w:color="D9D9E0" w:sz="6" w:space="0"/>
              <w:left w:val="single" w:color="D9D9E0" w:sz="6" w:space="0"/>
              <w:bottom w:val="single" w:color="D9D9E0" w:sz="6" w:space="0"/>
              <w:right w:val="single" w:color="D9D9E0" w:sz="6" w:space="0"/>
            </w:tcBorders>
            <w:shd w:val="clear" w:color="auto" w:fill="E8660A"/>
          </w:tcPr>
          <w:p w14:paraId="1B4ED1EB">
            <w:pPr>
              <w:spacing w:before="60" w:after="60"/>
            </w:pPr>
            <w:r>
              <w:rPr>
                <w:b/>
                <w:color w:val="FFFFFF"/>
                <w:sz w:val="18"/>
              </w:rPr>
              <w:t>Prompt</w:t>
            </w:r>
          </w:p>
        </w:tc>
        <w:tc>
          <w:tcPr>
            <w:tcW w:w="5904" w:type="dxa"/>
            <w:tcBorders>
              <w:top w:val="single" w:color="D9D9E0" w:sz="6" w:space="0"/>
              <w:left w:val="single" w:color="D9D9E0" w:sz="6" w:space="0"/>
              <w:bottom w:val="single" w:color="D9D9E0" w:sz="6" w:space="0"/>
              <w:right w:val="single" w:color="D9D9E0" w:sz="6" w:space="0"/>
            </w:tcBorders>
            <w:shd w:val="clear" w:color="auto" w:fill="E8660A"/>
          </w:tcPr>
          <w:p w14:paraId="08121FE1">
            <w:pPr>
              <w:spacing w:before="60" w:after="60"/>
            </w:pPr>
            <w:r>
              <w:rPr>
                <w:b/>
                <w:color w:val="FFFFFF"/>
                <w:sz w:val="18"/>
              </w:rPr>
              <w:t>Your answer</w:t>
            </w:r>
          </w:p>
        </w:tc>
      </w:tr>
      <w:tr w14:paraId="7F79D7CE">
        <w:trPr>
          <w:jc w:val="center"/>
        </w:trPr>
        <w:tc>
          <w:tcPr>
            <w:tcW w:w="3744" w:type="dxa"/>
            <w:tcBorders>
              <w:top w:val="single" w:color="D9D9E0" w:sz="6" w:space="0"/>
              <w:left w:val="single" w:color="D9D9E0" w:sz="6" w:space="0"/>
              <w:bottom w:val="single" w:color="D9D9E0" w:sz="6" w:space="0"/>
              <w:right w:val="single" w:color="D9D9E0" w:sz="6" w:space="0"/>
            </w:tcBorders>
          </w:tcPr>
          <w:p w14:paraId="73014F13">
            <w:pPr>
              <w:spacing w:before="50" w:after="50"/>
            </w:pPr>
            <w:r>
              <w:rPr>
                <w:sz w:val="17"/>
              </w:rPr>
              <w:t>This project will have been worth doing if, within three months of launch, ...</w:t>
            </w:r>
          </w:p>
        </w:tc>
        <w:tc>
          <w:tcPr>
            <w:tcW w:w="5904" w:type="dxa"/>
            <w:tcBorders>
              <w:top w:val="single" w:color="D9D9E0" w:sz="6" w:space="0"/>
              <w:left w:val="single" w:color="D9D9E0" w:sz="6" w:space="0"/>
              <w:bottom w:val="single" w:color="D9D9E0" w:sz="6" w:space="0"/>
              <w:right w:val="single" w:color="D9D9E0" w:sz="6" w:space="0"/>
            </w:tcBorders>
          </w:tcPr>
          <w:p w14:paraId="1BDEDF37">
            <w:r>
              <w:t>first contact resolution has moved from 42% toward the 60% target, and escalations that do still happen arrive at tier 2 with a summary, sources and a stated confidence gap -- not a bare forwarded ticket.</w:t>
            </w:r>
          </w:p>
        </w:tc>
      </w:tr>
      <w:tr w14:paraId="42EBBACC">
        <w:trPr>
          <w:jc w:val="center"/>
        </w:trPr>
        <w:tc>
          <w:tcPr>
            <w:tcW w:w="3744" w:type="dxa"/>
            <w:tcBorders>
              <w:top w:val="single" w:color="D9D9E0" w:sz="6" w:space="0"/>
              <w:left w:val="single" w:color="D9D9E0" w:sz="6" w:space="0"/>
              <w:bottom w:val="single" w:color="D9D9E0" w:sz="6" w:space="0"/>
              <w:right w:val="single" w:color="D9D9E0" w:sz="6" w:space="0"/>
            </w:tcBorders>
            <w:shd w:val="clear" w:color="auto" w:fill="F4F4F7"/>
          </w:tcPr>
          <w:p w14:paraId="0DD454A8">
            <w:pPr>
              <w:spacing w:before="50" w:after="50"/>
            </w:pPr>
            <w:r>
              <w:rPr>
                <w:sz w:val="17"/>
              </w:rPr>
              <w:t>We will know it did not work if we see ...</w:t>
            </w:r>
          </w:p>
        </w:tc>
        <w:tc>
          <w:tcPr>
            <w:tcW w:w="5904" w:type="dxa"/>
            <w:tcBorders>
              <w:top w:val="single" w:color="D9D9E0" w:sz="6" w:space="0"/>
              <w:left w:val="single" w:color="D9D9E0" w:sz="6" w:space="0"/>
              <w:bottom w:val="single" w:color="D9D9E0" w:sz="6" w:space="0"/>
              <w:right w:val="single" w:color="D9D9E0" w:sz="6" w:space="0"/>
            </w:tcBorders>
            <w:shd w:val="clear" w:color="auto" w:fill="F4F4F7"/>
          </w:tcPr>
          <w:p w14:paraId="00B3B269">
            <w:r>
              <w:t>an increasing complaint/reopen rate on auto-answered tickets, or agents quietly stop trusting escalation drafts and redo the work from scratch -- the same failure mode as the canned-response library Marcus already tried and abandoned.</w:t>
            </w:r>
          </w:p>
        </w:tc>
      </w:tr>
      <w:tr w14:paraId="3C3BE04F">
        <w:trPr>
          <w:jc w:val="center"/>
        </w:trPr>
        <w:tc>
          <w:tcPr>
            <w:tcW w:w="3744" w:type="dxa"/>
            <w:tcBorders>
              <w:top w:val="single" w:color="D9D9E0" w:sz="6" w:space="0"/>
              <w:left w:val="single" w:color="D9D9E0" w:sz="6" w:space="0"/>
              <w:bottom w:val="single" w:color="D9D9E0" w:sz="6" w:space="0"/>
              <w:right w:val="single" w:color="D9D9E0" w:sz="6" w:space="0"/>
            </w:tcBorders>
          </w:tcPr>
          <w:p w14:paraId="28B824F1">
            <w:pPr>
              <w:spacing w:before="50" w:after="50"/>
            </w:pPr>
            <w:r>
              <w:rPr>
                <w:sz w:val="17"/>
              </w:rPr>
              <w:t>The measure the client will actually be judged on internally is ...</w:t>
            </w:r>
          </w:p>
        </w:tc>
        <w:tc>
          <w:tcPr>
            <w:tcW w:w="5904" w:type="dxa"/>
            <w:tcBorders>
              <w:top w:val="single" w:color="D9D9E0" w:sz="6" w:space="0"/>
              <w:left w:val="single" w:color="D9D9E0" w:sz="6" w:space="0"/>
              <w:bottom w:val="single" w:color="D9D9E0" w:sz="6" w:space="0"/>
              <w:right w:val="single" w:color="D9D9E0" w:sz="6" w:space="0"/>
            </w:tcBorders>
          </w:tcPr>
          <w:p w14:paraId="36E93E4D">
            <w:r>
              <w:t>average time to first reply -- because it's the number in the service agreement and the one Marcus reports to the executive team each quarter, even though he told us directly that first contact resolution is the one he actually cares about.</w:t>
            </w:r>
          </w:p>
        </w:tc>
      </w:tr>
    </w:tbl>
    <w:p w14:paraId="04BEBE8B">
      <w:pPr>
        <w:spacing w:after="80"/>
      </w:pPr>
    </w:p>
    <w:p w14:paraId="45DA8D39">
      <w:r>
        <w:br w:type="page"/>
      </w:r>
    </w:p>
    <w:p w14:paraId="327569F5">
      <w:pPr>
        <w:pBdr>
          <w:bottom w:val="single" w:color="E8660A" w:sz="8" w:space="6"/>
        </w:pBdr>
        <w:spacing w:before="440" w:after="60"/>
      </w:pPr>
      <w:r>
        <w:rPr>
          <w:b/>
          <w:color w:val="E8660A"/>
          <w:sz w:val="34"/>
        </w:rPr>
        <w:t xml:space="preserve">5   </w:t>
      </w:r>
      <w:r>
        <w:rPr>
          <w:b/>
          <w:color w:val="1A1A2E"/>
          <w:sz w:val="34"/>
        </w:rPr>
        <w:t>Section five: data, constraints and risk</w:t>
      </w:r>
    </w:p>
    <w:p w14:paraId="3EB9B927">
      <w:pPr>
        <w:spacing w:after="140"/>
      </w:pPr>
      <w:r>
        <w:rPr>
          <w:i w:val="0"/>
          <w:sz w:val="21"/>
        </w:rPr>
        <w:t>Everything you build depends on data that already exists, and every piece of that data carries constraints. Record what exists, what condition it is in, and what you are not permitted to do with it. Ines and Daniel both raise concerns about data quality that belong in this table.</w:t>
      </w:r>
    </w:p>
    <w:tbl>
      <w:tblPr>
        <w:tblStyle w:val="12"/>
        <w:tblW w:w="0" w:type="auto"/>
        <w:jc w:val="center"/>
        <w:tblLayout w:type="fixed"/>
        <w:tblCellMar>
          <w:top w:w="0" w:type="dxa"/>
          <w:left w:w="108" w:type="dxa"/>
          <w:bottom w:w="0" w:type="dxa"/>
          <w:right w:w="108" w:type="dxa"/>
        </w:tblCellMar>
      </w:tblPr>
      <w:tblGrid>
        <w:gridCol w:w="1930"/>
        <w:gridCol w:w="1930"/>
        <w:gridCol w:w="1930"/>
        <w:gridCol w:w="1930"/>
        <w:gridCol w:w="1930"/>
      </w:tblGrid>
      <w:tr w14:paraId="7ABC9093">
        <w:trPr>
          <w:jc w:val="center"/>
        </w:trPr>
        <w:tc>
          <w:tcPr>
            <w:tcW w:w="1728" w:type="dxa"/>
            <w:tcBorders>
              <w:top w:val="single" w:color="D9D9E0" w:sz="6" w:space="0"/>
              <w:left w:val="single" w:color="D9D9E0" w:sz="6" w:space="0"/>
              <w:bottom w:val="single" w:color="D9D9E0" w:sz="6" w:space="0"/>
              <w:right w:val="single" w:color="D9D9E0" w:sz="6" w:space="0"/>
            </w:tcBorders>
            <w:shd w:val="clear" w:color="auto" w:fill="E8660A"/>
          </w:tcPr>
          <w:p w14:paraId="330BFC1E">
            <w:pPr>
              <w:spacing w:before="60" w:after="60"/>
            </w:pPr>
            <w:r>
              <w:rPr>
                <w:b/>
                <w:color w:val="FFFFFF"/>
                <w:sz w:val="17"/>
              </w:rPr>
              <w:t>Data source</w:t>
            </w:r>
          </w:p>
        </w:tc>
        <w:tc>
          <w:tcPr>
            <w:tcW w:w="2160" w:type="dxa"/>
            <w:tcBorders>
              <w:top w:val="single" w:color="D9D9E0" w:sz="6" w:space="0"/>
              <w:left w:val="single" w:color="D9D9E0" w:sz="6" w:space="0"/>
              <w:bottom w:val="single" w:color="D9D9E0" w:sz="6" w:space="0"/>
              <w:right w:val="single" w:color="D9D9E0" w:sz="6" w:space="0"/>
            </w:tcBorders>
            <w:shd w:val="clear" w:color="auto" w:fill="E8660A"/>
          </w:tcPr>
          <w:p w14:paraId="21B6CF8C">
            <w:pPr>
              <w:spacing w:before="60" w:after="60"/>
            </w:pPr>
            <w:r>
              <w:rPr>
                <w:b/>
                <w:color w:val="FFFFFF"/>
                <w:sz w:val="17"/>
              </w:rPr>
              <w:t>What it contains</w:t>
            </w:r>
          </w:p>
        </w:tc>
        <w:tc>
          <w:tcPr>
            <w:tcW w:w="2016" w:type="dxa"/>
            <w:tcBorders>
              <w:top w:val="single" w:color="D9D9E0" w:sz="6" w:space="0"/>
              <w:left w:val="single" w:color="D9D9E0" w:sz="6" w:space="0"/>
              <w:bottom w:val="single" w:color="D9D9E0" w:sz="6" w:space="0"/>
              <w:right w:val="single" w:color="D9D9E0" w:sz="6" w:space="0"/>
            </w:tcBorders>
            <w:shd w:val="clear" w:color="auto" w:fill="E8660A"/>
          </w:tcPr>
          <w:p w14:paraId="7CEFD50D">
            <w:pPr>
              <w:spacing w:before="60" w:after="60"/>
            </w:pPr>
            <w:r>
              <w:rPr>
                <w:b/>
                <w:color w:val="FFFFFF"/>
                <w:sz w:val="17"/>
              </w:rPr>
              <w:t>Quality and gaps</w:t>
            </w:r>
          </w:p>
        </w:tc>
        <w:tc>
          <w:tcPr>
            <w:tcW w:w="1872" w:type="dxa"/>
            <w:tcBorders>
              <w:top w:val="single" w:color="D9D9E0" w:sz="6" w:space="0"/>
              <w:left w:val="single" w:color="D9D9E0" w:sz="6" w:space="0"/>
              <w:bottom w:val="single" w:color="D9D9E0" w:sz="6" w:space="0"/>
              <w:right w:val="single" w:color="D9D9E0" w:sz="6" w:space="0"/>
            </w:tcBorders>
            <w:shd w:val="clear" w:color="auto" w:fill="E8660A"/>
          </w:tcPr>
          <w:p w14:paraId="68DC010A">
            <w:pPr>
              <w:spacing w:before="60" w:after="60"/>
            </w:pPr>
            <w:r>
              <w:rPr>
                <w:b/>
                <w:color w:val="FFFFFF"/>
                <w:sz w:val="17"/>
              </w:rPr>
              <w:t>Access constraints</w:t>
            </w:r>
          </w:p>
        </w:tc>
        <w:tc>
          <w:tcPr>
            <w:tcW w:w="1872" w:type="dxa"/>
            <w:tcBorders>
              <w:top w:val="single" w:color="D9D9E0" w:sz="6" w:space="0"/>
              <w:left w:val="single" w:color="D9D9E0" w:sz="6" w:space="0"/>
              <w:bottom w:val="single" w:color="D9D9E0" w:sz="6" w:space="0"/>
              <w:right w:val="single" w:color="D9D9E0" w:sz="6" w:space="0"/>
            </w:tcBorders>
            <w:shd w:val="clear" w:color="auto" w:fill="E8660A"/>
          </w:tcPr>
          <w:p w14:paraId="469D5B74">
            <w:pPr>
              <w:spacing w:before="60" w:after="60"/>
            </w:pPr>
            <w:r>
              <w:rPr>
                <w:b/>
                <w:color w:val="FFFFFF"/>
                <w:sz w:val="17"/>
              </w:rPr>
              <w:t>Private data present?</w:t>
            </w:r>
          </w:p>
        </w:tc>
      </w:tr>
      <w:tr w14:paraId="63FA45A5">
        <w:trPr>
          <w:jc w:val="center"/>
        </w:trPr>
        <w:tc>
          <w:tcPr>
            <w:tcW w:w="1728" w:type="dxa"/>
            <w:tcBorders>
              <w:top w:val="single" w:color="D9D9E0" w:sz="6" w:space="0"/>
              <w:left w:val="single" w:color="D9D9E0" w:sz="6" w:space="0"/>
              <w:bottom w:val="single" w:color="D9D9E0" w:sz="6" w:space="0"/>
              <w:right w:val="single" w:color="D9D9E0" w:sz="6" w:space="0"/>
            </w:tcBorders>
          </w:tcPr>
          <w:p w14:paraId="58902AC3">
            <w:pPr>
              <w:spacing w:before="50" w:after="50"/>
            </w:pPr>
            <w:r>
              <w:rPr>
                <w:sz w:val="16"/>
              </w:rPr>
              <w:t>Support tickets</w:t>
            </w:r>
          </w:p>
        </w:tc>
        <w:tc>
          <w:tcPr>
            <w:tcW w:w="2160" w:type="dxa"/>
            <w:tcBorders>
              <w:top w:val="single" w:color="D9D9E0" w:sz="6" w:space="0"/>
              <w:left w:val="single" w:color="D9D9E0" w:sz="6" w:space="0"/>
              <w:bottom w:val="single" w:color="D9D9E0" w:sz="6" w:space="0"/>
              <w:right w:val="single" w:color="D9D9E0" w:sz="6" w:space="0"/>
            </w:tcBorders>
          </w:tcPr>
          <w:p w14:paraId="3431FB38">
            <w:r>
              <w:t>500 dev + 80 validation tickets: channel, subject/body, customer tier/region/fluency, intent/urgency labels, and the human-handled history (FCR, resolution time, CSAT, escalated, repeat contact)</w:t>
            </w:r>
          </w:p>
        </w:tc>
        <w:tc>
          <w:tcPr>
            <w:tcW w:w="2016" w:type="dxa"/>
            <w:tcBorders>
              <w:top w:val="single" w:color="D9D9E0" w:sz="6" w:space="0"/>
              <w:left w:val="single" w:color="D9D9E0" w:sz="6" w:space="0"/>
              <w:bottom w:val="single" w:color="D9D9E0" w:sz="6" w:space="0"/>
              <w:right w:val="single" w:color="D9D9E0" w:sz="6" w:space="0"/>
            </w:tcBorders>
          </w:tcPr>
          <w:p w14:paraId="74AF0226">
            <w:r>
              <w:t>Labels present for dev/validation only, by design; the 120-ticket hidden set is unlabeled and never seen before grading</w:t>
            </w:r>
          </w:p>
        </w:tc>
        <w:tc>
          <w:tcPr>
            <w:tcW w:w="1872" w:type="dxa"/>
            <w:tcBorders>
              <w:top w:val="single" w:color="D9D9E0" w:sz="6" w:space="0"/>
              <w:left w:val="single" w:color="D9D9E0" w:sz="6" w:space="0"/>
              <w:bottom w:val="single" w:color="D9D9E0" w:sz="6" w:space="0"/>
              <w:right w:val="single" w:color="D9D9E0" w:sz="6" w:space="0"/>
            </w:tcBorders>
          </w:tcPr>
          <w:p w14:paraId="749D8A9E">
            <w:r>
              <w:t>Dev/validation freely usable; hidden set used once, never tuned against</w:t>
            </w:r>
          </w:p>
        </w:tc>
        <w:tc>
          <w:tcPr>
            <w:tcW w:w="1872" w:type="dxa"/>
            <w:tcBorders>
              <w:top w:val="single" w:color="D9D9E0" w:sz="6" w:space="0"/>
              <w:left w:val="single" w:color="D9D9E0" w:sz="6" w:space="0"/>
              <w:bottom w:val="single" w:color="D9D9E0" w:sz="6" w:space="0"/>
              <w:right w:val="single" w:color="D9D9E0" w:sz="6" w:space="0"/>
            </w:tcBorders>
          </w:tcPr>
          <w:p w14:paraId="7B67D33F">
            <w:r>
              <w:t>Yes -- customer_name, customer_id present; must never appear in outbound generated text (private_data guardrail)</w:t>
            </w:r>
          </w:p>
        </w:tc>
      </w:tr>
      <w:tr w14:paraId="36B20E72">
        <w:trPr>
          <w:jc w:val="center"/>
        </w:trPr>
        <w:tc>
          <w:tcPr>
            <w:tcW w:w="1728" w:type="dxa"/>
            <w:tcBorders>
              <w:top w:val="single" w:color="D9D9E0" w:sz="6" w:space="0"/>
              <w:left w:val="single" w:color="D9D9E0" w:sz="6" w:space="0"/>
              <w:bottom w:val="single" w:color="D9D9E0" w:sz="6" w:space="0"/>
              <w:right w:val="single" w:color="D9D9E0" w:sz="6" w:space="0"/>
            </w:tcBorders>
            <w:shd w:val="clear" w:color="auto" w:fill="F4F4F7"/>
          </w:tcPr>
          <w:p w14:paraId="4202907B">
            <w:pPr>
              <w:spacing w:before="50" w:after="50"/>
            </w:pPr>
            <w:r>
              <w:rPr>
                <w:sz w:val="16"/>
              </w:rPr>
              <w:t>Documentation</w:t>
            </w:r>
          </w:p>
        </w:tc>
        <w:tc>
          <w:tcPr>
            <w:tcW w:w="2160" w:type="dxa"/>
            <w:tcBorders>
              <w:top w:val="single" w:color="D9D9E0" w:sz="6" w:space="0"/>
              <w:left w:val="single" w:color="D9D9E0" w:sz="6" w:space="0"/>
              <w:bottom w:val="single" w:color="D9D9E0" w:sz="6" w:space="0"/>
              <w:right w:val="single" w:color="D9D9E0" w:sz="6" w:space="0"/>
            </w:tcBorders>
            <w:shd w:val="clear" w:color="auto" w:fill="F4F4F7"/>
          </w:tcPr>
          <w:p w14:paraId="11814A79">
            <w:r>
              <w:t>29 knowledge-base articles (markdown), each with category/applies_to/last_reviewed_days_ago metadata</w:t>
            </w:r>
          </w:p>
        </w:tc>
        <w:tc>
          <w:tcPr>
            <w:tcW w:w="2016" w:type="dxa"/>
            <w:tcBorders>
              <w:top w:val="single" w:color="D9D9E0" w:sz="6" w:space="0"/>
              <w:left w:val="single" w:color="D9D9E0" w:sz="6" w:space="0"/>
              <w:bottom w:val="single" w:color="D9D9E0" w:sz="6" w:space="0"/>
              <w:right w:val="single" w:color="D9D9E0" w:sz="6" w:space="0"/>
            </w:tcBorders>
            <w:shd w:val="clear" w:color="auto" w:fill="F4F4F7"/>
          </w:tcPr>
          <w:p w14:paraId="44B73DA0">
            <w:r>
              <w:t>Covers 8 categories; no coverage for feature_request or unclear_request by design (0/20 and 0/15 answerable in the data)</w:t>
            </w:r>
          </w:p>
        </w:tc>
        <w:tc>
          <w:tcPr>
            <w:tcW w:w="1872" w:type="dxa"/>
            <w:tcBorders>
              <w:top w:val="single" w:color="D9D9E0" w:sz="6" w:space="0"/>
              <w:left w:val="single" w:color="D9D9E0" w:sz="6" w:space="0"/>
              <w:bottom w:val="single" w:color="D9D9E0" w:sz="6" w:space="0"/>
              <w:right w:val="single" w:color="D9D9E0" w:sz="6" w:space="0"/>
            </w:tcBorders>
            <w:shd w:val="clear" w:color="auto" w:fill="F4F4F7"/>
          </w:tcPr>
          <w:p w14:paraId="215CB946">
            <w:r>
              <w:t>None -- free to index and use</w:t>
            </w:r>
          </w:p>
        </w:tc>
        <w:tc>
          <w:tcPr>
            <w:tcW w:w="1872" w:type="dxa"/>
            <w:tcBorders>
              <w:top w:val="single" w:color="D9D9E0" w:sz="6" w:space="0"/>
              <w:left w:val="single" w:color="D9D9E0" w:sz="6" w:space="0"/>
              <w:bottom w:val="single" w:color="D9D9E0" w:sz="6" w:space="0"/>
              <w:right w:val="single" w:color="D9D9E0" w:sz="6" w:space="0"/>
            </w:tcBorders>
            <w:shd w:val="clear" w:color="auto" w:fill="F4F4F7"/>
          </w:tcPr>
          <w:p w14:paraId="5466BA66">
            <w:r>
              <w:t>No</w:t>
            </w:r>
          </w:p>
        </w:tc>
      </w:tr>
      <w:tr w14:paraId="7A8F2608">
        <w:trPr>
          <w:jc w:val="center"/>
        </w:trPr>
        <w:tc>
          <w:tcPr>
            <w:tcW w:w="1728" w:type="dxa"/>
            <w:tcBorders>
              <w:top w:val="single" w:color="D9D9E0" w:sz="6" w:space="0"/>
              <w:left w:val="single" w:color="D9D9E0" w:sz="6" w:space="0"/>
              <w:bottom w:val="single" w:color="D9D9E0" w:sz="6" w:space="0"/>
              <w:right w:val="single" w:color="D9D9E0" w:sz="6" w:space="0"/>
            </w:tcBorders>
          </w:tcPr>
          <w:p w14:paraId="5FCDBB39">
            <w:pPr>
              <w:spacing w:before="50" w:after="50"/>
            </w:pPr>
            <w:r>
              <w:rPr>
                <w:sz w:val="16"/>
              </w:rPr>
              <w:t>Past resolutions</w:t>
            </w:r>
          </w:p>
        </w:tc>
        <w:tc>
          <w:tcPr>
            <w:tcW w:w="2160" w:type="dxa"/>
            <w:tcBorders>
              <w:top w:val="single" w:color="D9D9E0" w:sz="6" w:space="0"/>
              <w:left w:val="single" w:color="D9D9E0" w:sz="6" w:space="0"/>
              <w:bottom w:val="single" w:color="D9D9E0" w:sz="6" w:space="0"/>
              <w:right w:val="single" w:color="D9D9E0" w:sz="6" w:space="0"/>
            </w:tcBorders>
          </w:tcPr>
          <w:p w14:paraId="1A2A21D7">
            <w:r>
              <w:t>200 expert-written reference answers (ground_truth_responses.json) with must_mention/must_not_claim arrays, plus each ticket's own history of what a human actually did</w:t>
            </w:r>
          </w:p>
        </w:tc>
        <w:tc>
          <w:tcPr>
            <w:tcW w:w="2016" w:type="dxa"/>
            <w:tcBorders>
              <w:top w:val="single" w:color="D9D9E0" w:sz="6" w:space="0"/>
              <w:left w:val="single" w:color="D9D9E0" w:sz="6" w:space="0"/>
              <w:bottom w:val="single" w:color="D9D9E0" w:sz="6" w:space="0"/>
              <w:right w:val="single" w:color="D9D9E0" w:sz="6" w:space="0"/>
            </w:tcBorders>
          </w:tcPr>
          <w:p w14:paraId="35C6B066">
            <w:r>
              <w:t>Explicitly a comparison standard, not a training target -- Dataset_Guide warns that faithfully reproducing a historical CSAT of 3.2 means imitating a failing operation</w:t>
            </w:r>
          </w:p>
        </w:tc>
        <w:tc>
          <w:tcPr>
            <w:tcW w:w="1872" w:type="dxa"/>
            <w:tcBorders>
              <w:top w:val="single" w:color="D9D9E0" w:sz="6" w:space="0"/>
              <w:left w:val="single" w:color="D9D9E0" w:sz="6" w:space="0"/>
              <w:bottom w:val="single" w:color="D9D9E0" w:sz="6" w:space="0"/>
              <w:right w:val="single" w:color="D9D9E0" w:sz="6" w:space="0"/>
            </w:tcBorders>
          </w:tcPr>
          <w:p w14:paraId="3FA65A31">
            <w:r>
              <w:t>Usable freely; not to be confused with the hidden evaluation set</w:t>
            </w:r>
          </w:p>
        </w:tc>
        <w:tc>
          <w:tcPr>
            <w:tcW w:w="1872" w:type="dxa"/>
            <w:tcBorders>
              <w:top w:val="single" w:color="D9D9E0" w:sz="6" w:space="0"/>
              <w:left w:val="single" w:color="D9D9E0" w:sz="6" w:space="0"/>
              <w:bottom w:val="single" w:color="D9D9E0" w:sz="6" w:space="0"/>
              <w:right w:val="single" w:color="D9D9E0" w:sz="6" w:space="0"/>
            </w:tcBorders>
          </w:tcPr>
          <w:p w14:paraId="774AB7A9">
            <w:r>
              <w:t>No visible PII in the reference text itself</w:t>
            </w:r>
          </w:p>
        </w:tc>
      </w:tr>
      <w:tr w14:paraId="1E15917D">
        <w:trPr>
          <w:jc w:val="center"/>
        </w:trPr>
        <w:tc>
          <w:tcPr>
            <w:tcW w:w="1728" w:type="dxa"/>
            <w:tcBorders>
              <w:top w:val="single" w:color="D9D9E0" w:sz="6" w:space="0"/>
              <w:left w:val="single" w:color="D9D9E0" w:sz="6" w:space="0"/>
              <w:bottom w:val="single" w:color="D9D9E0" w:sz="6" w:space="0"/>
              <w:right w:val="single" w:color="D9D9E0" w:sz="6" w:space="0"/>
            </w:tcBorders>
            <w:shd w:val="clear" w:color="auto" w:fill="F4F4F7"/>
          </w:tcPr>
          <w:p w14:paraId="67F0ECEB">
            <w:pPr>
              <w:spacing w:before="50" w:after="50"/>
            </w:pPr>
            <w:r>
              <w:rPr>
                <w:sz w:val="16"/>
              </w:rPr>
              <w:t>Customer records</w:t>
            </w:r>
          </w:p>
        </w:tc>
        <w:tc>
          <w:tcPr>
            <w:tcW w:w="2160" w:type="dxa"/>
            <w:tcBorders>
              <w:top w:val="single" w:color="D9D9E0" w:sz="6" w:space="0"/>
              <w:left w:val="single" w:color="D9D9E0" w:sz="6" w:space="0"/>
              <w:bottom w:val="single" w:color="D9D9E0" w:sz="6" w:space="0"/>
              <w:right w:val="single" w:color="D9D9E0" w:sz="6" w:space="0"/>
            </w:tcBorders>
            <w:shd w:val="clear" w:color="auto" w:fill="F4F4F7"/>
          </w:tcPr>
          <w:p w14:paraId="2D85E44F">
            <w:r>
              <w:t>customer_id, customer_name, customer_tier, customer_region embedded directly in each ticket record -- there is no separate CRM</w:t>
            </w:r>
          </w:p>
        </w:tc>
        <w:tc>
          <w:tcPr>
            <w:tcW w:w="2016" w:type="dxa"/>
            <w:tcBorders>
              <w:top w:val="single" w:color="D9D9E0" w:sz="6" w:space="0"/>
              <w:left w:val="single" w:color="D9D9E0" w:sz="6" w:space="0"/>
              <w:bottom w:val="single" w:color="D9D9E0" w:sz="6" w:space="0"/>
              <w:right w:val="single" w:color="D9D9E0" w:sz="6" w:space="0"/>
            </w:tcBorders>
            <w:shd w:val="clear" w:color="auto" w:fill="F4F4F7"/>
          </w:tcPr>
          <w:p w14:paraId="75B58938">
            <w:r>
              <w:t>Everything known about a customer comes from the ticket record alone</w:t>
            </w:r>
          </w:p>
        </w:tc>
        <w:tc>
          <w:tcPr>
            <w:tcW w:w="1872" w:type="dxa"/>
            <w:tcBorders>
              <w:top w:val="single" w:color="D9D9E0" w:sz="6" w:space="0"/>
              <w:left w:val="single" w:color="D9D9E0" w:sz="6" w:space="0"/>
              <w:bottom w:val="single" w:color="D9D9E0" w:sz="6" w:space="0"/>
              <w:right w:val="single" w:color="D9D9E0" w:sz="6" w:space="0"/>
            </w:tcBorders>
            <w:shd w:val="clear" w:color="auto" w:fill="F4F4F7"/>
          </w:tcPr>
          <w:p w14:paraId="51224BFA">
            <w:r>
              <w:t>Same constraints as support tickets</w:t>
            </w:r>
          </w:p>
        </w:tc>
        <w:tc>
          <w:tcPr>
            <w:tcW w:w="1872" w:type="dxa"/>
            <w:tcBorders>
              <w:top w:val="single" w:color="D9D9E0" w:sz="6" w:space="0"/>
              <w:left w:val="single" w:color="D9D9E0" w:sz="6" w:space="0"/>
              <w:bottom w:val="single" w:color="D9D9E0" w:sz="6" w:space="0"/>
              <w:right w:val="single" w:color="D9D9E0" w:sz="6" w:space="0"/>
            </w:tcBorders>
            <w:shd w:val="clear" w:color="auto" w:fill="F4F4F7"/>
          </w:tcPr>
          <w:p w14:paraId="43AEFB2F">
            <w:r>
              <w:t>Yes -- customer_name and customer_id are the clearest PII fields in the whole pack</w:t>
            </w:r>
          </w:p>
        </w:tc>
      </w:tr>
      <w:tr w14:paraId="78748704">
        <w:trPr>
          <w:jc w:val="center"/>
        </w:trPr>
        <w:tc>
          <w:tcPr>
            <w:tcW w:w="1728" w:type="dxa"/>
            <w:tcBorders>
              <w:top w:val="single" w:color="D9D9E0" w:sz="6" w:space="0"/>
              <w:left w:val="single" w:color="D9D9E0" w:sz="6" w:space="0"/>
              <w:bottom w:val="single" w:color="D9D9E0" w:sz="6" w:space="0"/>
              <w:right w:val="single" w:color="D9D9E0" w:sz="6" w:space="0"/>
            </w:tcBorders>
          </w:tcPr>
          <w:p w14:paraId="67637B8A">
            <w:pPr>
              <w:spacing w:before="50" w:after="50"/>
            </w:pPr>
          </w:p>
        </w:tc>
        <w:tc>
          <w:tcPr>
            <w:tcW w:w="2160" w:type="dxa"/>
            <w:tcBorders>
              <w:top w:val="single" w:color="D9D9E0" w:sz="6" w:space="0"/>
              <w:left w:val="single" w:color="D9D9E0" w:sz="6" w:space="0"/>
              <w:bottom w:val="single" w:color="D9D9E0" w:sz="6" w:space="0"/>
              <w:right w:val="single" w:color="D9D9E0" w:sz="6" w:space="0"/>
            </w:tcBorders>
          </w:tcPr>
          <w:p w14:paraId="50C8BA44">
            <w:pPr>
              <w:spacing w:before="50" w:after="50"/>
            </w:pPr>
          </w:p>
        </w:tc>
        <w:tc>
          <w:tcPr>
            <w:tcW w:w="2016" w:type="dxa"/>
            <w:tcBorders>
              <w:top w:val="single" w:color="D9D9E0" w:sz="6" w:space="0"/>
              <w:left w:val="single" w:color="D9D9E0" w:sz="6" w:space="0"/>
              <w:bottom w:val="single" w:color="D9D9E0" w:sz="6" w:space="0"/>
              <w:right w:val="single" w:color="D9D9E0" w:sz="6" w:space="0"/>
            </w:tcBorders>
          </w:tcPr>
          <w:p w14:paraId="353E7B62">
            <w:pPr>
              <w:spacing w:before="50" w:after="50"/>
            </w:pPr>
          </w:p>
        </w:tc>
        <w:tc>
          <w:tcPr>
            <w:tcW w:w="1872" w:type="dxa"/>
            <w:tcBorders>
              <w:top w:val="single" w:color="D9D9E0" w:sz="6" w:space="0"/>
              <w:left w:val="single" w:color="D9D9E0" w:sz="6" w:space="0"/>
              <w:bottom w:val="single" w:color="D9D9E0" w:sz="6" w:space="0"/>
              <w:right w:val="single" w:color="D9D9E0" w:sz="6" w:space="0"/>
            </w:tcBorders>
          </w:tcPr>
          <w:p w14:paraId="57DC794C">
            <w:pPr>
              <w:spacing w:before="50" w:after="50"/>
            </w:pPr>
          </w:p>
        </w:tc>
        <w:tc>
          <w:tcPr>
            <w:tcW w:w="1872" w:type="dxa"/>
            <w:tcBorders>
              <w:top w:val="single" w:color="D9D9E0" w:sz="6" w:space="0"/>
              <w:left w:val="single" w:color="D9D9E0" w:sz="6" w:space="0"/>
              <w:bottom w:val="single" w:color="D9D9E0" w:sz="6" w:space="0"/>
              <w:right w:val="single" w:color="D9D9E0" w:sz="6" w:space="0"/>
            </w:tcBorders>
          </w:tcPr>
          <w:p w14:paraId="1C7CC613">
            <w:pPr>
              <w:spacing w:before="50" w:after="50"/>
            </w:pPr>
          </w:p>
        </w:tc>
      </w:tr>
      <w:tr w14:paraId="60E07273">
        <w:trPr>
          <w:jc w:val="center"/>
        </w:trPr>
        <w:tc>
          <w:tcPr>
            <w:tcW w:w="1728" w:type="dxa"/>
            <w:tcBorders>
              <w:top w:val="single" w:color="D9D9E0" w:sz="6" w:space="0"/>
              <w:left w:val="single" w:color="D9D9E0" w:sz="6" w:space="0"/>
              <w:bottom w:val="single" w:color="D9D9E0" w:sz="6" w:space="0"/>
              <w:right w:val="single" w:color="D9D9E0" w:sz="6" w:space="0"/>
            </w:tcBorders>
            <w:shd w:val="clear" w:color="auto" w:fill="F4F4F7"/>
          </w:tcPr>
          <w:p w14:paraId="1C917523">
            <w:pPr>
              <w:spacing w:before="50" w:after="50"/>
            </w:pPr>
          </w:p>
        </w:tc>
        <w:tc>
          <w:tcPr>
            <w:tcW w:w="2160" w:type="dxa"/>
            <w:tcBorders>
              <w:top w:val="single" w:color="D9D9E0" w:sz="6" w:space="0"/>
              <w:left w:val="single" w:color="D9D9E0" w:sz="6" w:space="0"/>
              <w:bottom w:val="single" w:color="D9D9E0" w:sz="6" w:space="0"/>
              <w:right w:val="single" w:color="D9D9E0" w:sz="6" w:space="0"/>
            </w:tcBorders>
            <w:shd w:val="clear" w:color="auto" w:fill="F4F4F7"/>
          </w:tcPr>
          <w:p w14:paraId="63B2CF8B">
            <w:pPr>
              <w:spacing w:before="50" w:after="50"/>
            </w:pPr>
          </w:p>
        </w:tc>
        <w:tc>
          <w:tcPr>
            <w:tcW w:w="2016" w:type="dxa"/>
            <w:tcBorders>
              <w:top w:val="single" w:color="D9D9E0" w:sz="6" w:space="0"/>
              <w:left w:val="single" w:color="D9D9E0" w:sz="6" w:space="0"/>
              <w:bottom w:val="single" w:color="D9D9E0" w:sz="6" w:space="0"/>
              <w:right w:val="single" w:color="D9D9E0" w:sz="6" w:space="0"/>
            </w:tcBorders>
            <w:shd w:val="clear" w:color="auto" w:fill="F4F4F7"/>
          </w:tcPr>
          <w:p w14:paraId="138EA836">
            <w:pPr>
              <w:spacing w:before="50" w:after="50"/>
            </w:pPr>
          </w:p>
        </w:tc>
        <w:tc>
          <w:tcPr>
            <w:tcW w:w="1872" w:type="dxa"/>
            <w:tcBorders>
              <w:top w:val="single" w:color="D9D9E0" w:sz="6" w:space="0"/>
              <w:left w:val="single" w:color="D9D9E0" w:sz="6" w:space="0"/>
              <w:bottom w:val="single" w:color="D9D9E0" w:sz="6" w:space="0"/>
              <w:right w:val="single" w:color="D9D9E0" w:sz="6" w:space="0"/>
            </w:tcBorders>
            <w:shd w:val="clear" w:color="auto" w:fill="F4F4F7"/>
          </w:tcPr>
          <w:p w14:paraId="197E1621">
            <w:pPr>
              <w:spacing w:before="50" w:after="50"/>
            </w:pPr>
          </w:p>
        </w:tc>
        <w:tc>
          <w:tcPr>
            <w:tcW w:w="1872" w:type="dxa"/>
            <w:tcBorders>
              <w:top w:val="single" w:color="D9D9E0" w:sz="6" w:space="0"/>
              <w:left w:val="single" w:color="D9D9E0" w:sz="6" w:space="0"/>
              <w:bottom w:val="single" w:color="D9D9E0" w:sz="6" w:space="0"/>
              <w:right w:val="single" w:color="D9D9E0" w:sz="6" w:space="0"/>
            </w:tcBorders>
            <w:shd w:val="clear" w:color="auto" w:fill="F4F4F7"/>
          </w:tcPr>
          <w:p w14:paraId="7097B3D1">
            <w:pPr>
              <w:spacing w:before="50" w:after="50"/>
            </w:pPr>
          </w:p>
        </w:tc>
      </w:tr>
      <w:tr w14:paraId="5D8CAE31">
        <w:trPr>
          <w:jc w:val="center"/>
        </w:trPr>
        <w:tc>
          <w:tcPr>
            <w:tcW w:w="1728" w:type="dxa"/>
            <w:tcBorders>
              <w:top w:val="single" w:color="D9D9E0" w:sz="6" w:space="0"/>
              <w:left w:val="single" w:color="D9D9E0" w:sz="6" w:space="0"/>
              <w:bottom w:val="single" w:color="D9D9E0" w:sz="6" w:space="0"/>
              <w:right w:val="single" w:color="D9D9E0" w:sz="6" w:space="0"/>
            </w:tcBorders>
          </w:tcPr>
          <w:p w14:paraId="6222D76A">
            <w:pPr>
              <w:spacing w:before="50" w:after="50"/>
            </w:pPr>
          </w:p>
        </w:tc>
        <w:tc>
          <w:tcPr>
            <w:tcW w:w="2160" w:type="dxa"/>
            <w:tcBorders>
              <w:top w:val="single" w:color="D9D9E0" w:sz="6" w:space="0"/>
              <w:left w:val="single" w:color="D9D9E0" w:sz="6" w:space="0"/>
              <w:bottom w:val="single" w:color="D9D9E0" w:sz="6" w:space="0"/>
              <w:right w:val="single" w:color="D9D9E0" w:sz="6" w:space="0"/>
            </w:tcBorders>
          </w:tcPr>
          <w:p w14:paraId="6576CD38">
            <w:pPr>
              <w:spacing w:before="50" w:after="50"/>
            </w:pPr>
          </w:p>
        </w:tc>
        <w:tc>
          <w:tcPr>
            <w:tcW w:w="2016" w:type="dxa"/>
            <w:tcBorders>
              <w:top w:val="single" w:color="D9D9E0" w:sz="6" w:space="0"/>
              <w:left w:val="single" w:color="D9D9E0" w:sz="6" w:space="0"/>
              <w:bottom w:val="single" w:color="D9D9E0" w:sz="6" w:space="0"/>
              <w:right w:val="single" w:color="D9D9E0" w:sz="6" w:space="0"/>
            </w:tcBorders>
          </w:tcPr>
          <w:p w14:paraId="2675ACDB">
            <w:pPr>
              <w:spacing w:before="50" w:after="50"/>
            </w:pPr>
          </w:p>
        </w:tc>
        <w:tc>
          <w:tcPr>
            <w:tcW w:w="1872" w:type="dxa"/>
            <w:tcBorders>
              <w:top w:val="single" w:color="D9D9E0" w:sz="6" w:space="0"/>
              <w:left w:val="single" w:color="D9D9E0" w:sz="6" w:space="0"/>
              <w:bottom w:val="single" w:color="D9D9E0" w:sz="6" w:space="0"/>
              <w:right w:val="single" w:color="D9D9E0" w:sz="6" w:space="0"/>
            </w:tcBorders>
          </w:tcPr>
          <w:p w14:paraId="50961338">
            <w:pPr>
              <w:spacing w:before="50" w:after="50"/>
            </w:pPr>
          </w:p>
        </w:tc>
        <w:tc>
          <w:tcPr>
            <w:tcW w:w="1872" w:type="dxa"/>
            <w:tcBorders>
              <w:top w:val="single" w:color="D9D9E0" w:sz="6" w:space="0"/>
              <w:left w:val="single" w:color="D9D9E0" w:sz="6" w:space="0"/>
              <w:bottom w:val="single" w:color="D9D9E0" w:sz="6" w:space="0"/>
              <w:right w:val="single" w:color="D9D9E0" w:sz="6" w:space="0"/>
            </w:tcBorders>
          </w:tcPr>
          <w:p w14:paraId="5C0DEA12">
            <w:pPr>
              <w:spacing w:before="50" w:after="50"/>
            </w:pPr>
          </w:p>
        </w:tc>
      </w:tr>
    </w:tbl>
    <w:p w14:paraId="4B4D08D0">
      <w:pPr>
        <w:spacing w:after="80"/>
      </w:pPr>
    </w:p>
    <w:p w14:paraId="7B64496A">
      <w:pPr>
        <w:spacing w:before="300" w:after="60"/>
      </w:pPr>
      <w:r>
        <w:rPr>
          <w:b/>
          <w:color w:val="1A1A2E"/>
          <w:sz w:val="25"/>
        </w:rPr>
        <w:t>Initial risk register</w:t>
      </w:r>
    </w:p>
    <w:p w14:paraId="1F846A76">
      <w:pPr>
        <w:spacing w:after="140"/>
      </w:pPr>
      <w:r>
        <w:rPr>
          <w:i w:val="0"/>
          <w:sz w:val="21"/>
        </w:rPr>
        <w:t>List what could go wrong once this system is speaking to customers without supervision. You will develop these further in stage five, but the first pass belongs here, while the problem is still fresh and you have not yet become attached to a particular design.</w:t>
      </w:r>
    </w:p>
    <w:tbl>
      <w:tblPr>
        <w:tblStyle w:val="12"/>
        <w:tblW w:w="0" w:type="auto"/>
        <w:jc w:val="center"/>
        <w:tblLayout w:type="fixed"/>
        <w:tblCellMar>
          <w:top w:w="0" w:type="dxa"/>
          <w:left w:w="108" w:type="dxa"/>
          <w:bottom w:w="0" w:type="dxa"/>
          <w:right w:w="108" w:type="dxa"/>
        </w:tblCellMar>
      </w:tblPr>
      <w:tblGrid>
        <w:gridCol w:w="1930"/>
        <w:gridCol w:w="1930"/>
        <w:gridCol w:w="1930"/>
        <w:gridCol w:w="1930"/>
        <w:gridCol w:w="1930"/>
      </w:tblGrid>
      <w:tr w14:paraId="33C2B520">
        <w:trPr>
          <w:jc w:val="center"/>
        </w:trPr>
        <w:tc>
          <w:tcPr>
            <w:tcW w:w="2736" w:type="dxa"/>
            <w:tcBorders>
              <w:top w:val="single" w:color="D9D9E0" w:sz="6" w:space="0"/>
              <w:left w:val="single" w:color="D9D9E0" w:sz="6" w:space="0"/>
              <w:bottom w:val="single" w:color="D9D9E0" w:sz="6" w:space="0"/>
              <w:right w:val="single" w:color="D9D9E0" w:sz="6" w:space="0"/>
            </w:tcBorders>
            <w:shd w:val="clear" w:color="auto" w:fill="E8660A"/>
          </w:tcPr>
          <w:p w14:paraId="2A6F00E6">
            <w:pPr>
              <w:spacing w:before="60" w:after="60"/>
            </w:pPr>
            <w:r>
              <w:rPr>
                <w:b/>
                <w:color w:val="FFFFFF"/>
                <w:sz w:val="17"/>
              </w:rPr>
              <w:t>What could go wrong</w:t>
            </w:r>
          </w:p>
        </w:tc>
        <w:tc>
          <w:tcPr>
            <w:tcW w:w="1152" w:type="dxa"/>
            <w:tcBorders>
              <w:top w:val="single" w:color="D9D9E0" w:sz="6" w:space="0"/>
              <w:left w:val="single" w:color="D9D9E0" w:sz="6" w:space="0"/>
              <w:bottom w:val="single" w:color="D9D9E0" w:sz="6" w:space="0"/>
              <w:right w:val="single" w:color="D9D9E0" w:sz="6" w:space="0"/>
            </w:tcBorders>
            <w:shd w:val="clear" w:color="auto" w:fill="E8660A"/>
          </w:tcPr>
          <w:p w14:paraId="6BDAE88D">
            <w:pPr>
              <w:spacing w:before="60" w:after="60"/>
            </w:pPr>
            <w:r>
              <w:rPr>
                <w:b/>
                <w:color w:val="FFFFFF"/>
                <w:sz w:val="17"/>
              </w:rPr>
              <w:t>How likely</w:t>
            </w:r>
          </w:p>
        </w:tc>
        <w:tc>
          <w:tcPr>
            <w:tcW w:w="1008" w:type="dxa"/>
            <w:tcBorders>
              <w:top w:val="single" w:color="D9D9E0" w:sz="6" w:space="0"/>
              <w:left w:val="single" w:color="D9D9E0" w:sz="6" w:space="0"/>
              <w:bottom w:val="single" w:color="D9D9E0" w:sz="6" w:space="0"/>
              <w:right w:val="single" w:color="D9D9E0" w:sz="6" w:space="0"/>
            </w:tcBorders>
            <w:shd w:val="clear" w:color="auto" w:fill="E8660A"/>
          </w:tcPr>
          <w:p w14:paraId="264C8A32">
            <w:pPr>
              <w:spacing w:before="60" w:after="60"/>
            </w:pPr>
            <w:r>
              <w:rPr>
                <w:b/>
                <w:color w:val="FFFFFF"/>
                <w:sz w:val="17"/>
              </w:rPr>
              <w:t>How bad</w:t>
            </w:r>
          </w:p>
        </w:tc>
        <w:tc>
          <w:tcPr>
            <w:tcW w:w="1728" w:type="dxa"/>
            <w:tcBorders>
              <w:top w:val="single" w:color="D9D9E0" w:sz="6" w:space="0"/>
              <w:left w:val="single" w:color="D9D9E0" w:sz="6" w:space="0"/>
              <w:bottom w:val="single" w:color="D9D9E0" w:sz="6" w:space="0"/>
              <w:right w:val="single" w:color="D9D9E0" w:sz="6" w:space="0"/>
            </w:tcBorders>
            <w:shd w:val="clear" w:color="auto" w:fill="E8660A"/>
          </w:tcPr>
          <w:p w14:paraId="4832BE70">
            <w:pPr>
              <w:spacing w:before="60" w:after="60"/>
            </w:pPr>
            <w:r>
              <w:rPr>
                <w:b/>
                <w:color w:val="FFFFFF"/>
                <w:sz w:val="17"/>
              </w:rPr>
              <w:t>Who it affects</w:t>
            </w:r>
          </w:p>
        </w:tc>
        <w:tc>
          <w:tcPr>
            <w:tcW w:w="3024" w:type="dxa"/>
            <w:tcBorders>
              <w:top w:val="single" w:color="D9D9E0" w:sz="6" w:space="0"/>
              <w:left w:val="single" w:color="D9D9E0" w:sz="6" w:space="0"/>
              <w:bottom w:val="single" w:color="D9D9E0" w:sz="6" w:space="0"/>
              <w:right w:val="single" w:color="D9D9E0" w:sz="6" w:space="0"/>
            </w:tcBorders>
            <w:shd w:val="clear" w:color="auto" w:fill="E8660A"/>
          </w:tcPr>
          <w:p w14:paraId="719FD1ED">
            <w:pPr>
              <w:spacing w:before="60" w:after="60"/>
            </w:pPr>
            <w:r>
              <w:rPr>
                <w:b/>
                <w:color w:val="FFFFFF"/>
                <w:sz w:val="17"/>
              </w:rPr>
              <w:t>First thought on preventing it</w:t>
            </w:r>
          </w:p>
        </w:tc>
      </w:tr>
      <w:tr w14:paraId="2B8BCAAA">
        <w:trPr>
          <w:jc w:val="center"/>
        </w:trPr>
        <w:tc>
          <w:tcPr>
            <w:tcW w:w="2736" w:type="dxa"/>
            <w:tcBorders>
              <w:top w:val="single" w:color="D9D9E0" w:sz="6" w:space="0"/>
              <w:left w:val="single" w:color="D9D9E0" w:sz="6" w:space="0"/>
              <w:bottom w:val="single" w:color="D9D9E0" w:sz="6" w:space="0"/>
              <w:right w:val="single" w:color="D9D9E0" w:sz="6" w:space="0"/>
            </w:tcBorders>
          </w:tcPr>
          <w:p w14:paraId="2F43A4E9">
            <w:pPr>
              <w:spacing w:before="50" w:after="50"/>
            </w:pPr>
            <w:r>
              <w:rPr>
                <w:sz w:val="16"/>
              </w:rPr>
              <w:t>The system answers confidently and incorrectly</w:t>
            </w:r>
          </w:p>
        </w:tc>
        <w:tc>
          <w:tcPr>
            <w:tcW w:w="1152" w:type="dxa"/>
            <w:tcBorders>
              <w:top w:val="single" w:color="D9D9E0" w:sz="6" w:space="0"/>
              <w:left w:val="single" w:color="D9D9E0" w:sz="6" w:space="0"/>
              <w:bottom w:val="single" w:color="D9D9E0" w:sz="6" w:space="0"/>
              <w:right w:val="single" w:color="D9D9E0" w:sz="6" w:space="0"/>
            </w:tcBorders>
          </w:tcPr>
          <w:p w14:paraId="75859B21">
            <w:r>
              <w:t>Medium</w:t>
            </w:r>
          </w:p>
        </w:tc>
        <w:tc>
          <w:tcPr>
            <w:tcW w:w="1008" w:type="dxa"/>
            <w:tcBorders>
              <w:top w:val="single" w:color="D9D9E0" w:sz="6" w:space="0"/>
              <w:left w:val="single" w:color="D9D9E0" w:sz="6" w:space="0"/>
              <w:bottom w:val="single" w:color="D9D9E0" w:sz="6" w:space="0"/>
              <w:right w:val="single" w:color="D9D9E0" w:sz="6" w:space="0"/>
            </w:tcBorders>
          </w:tcPr>
          <w:p w14:paraId="15D3F3B2">
            <w:r>
              <w:t>High</w:t>
            </w:r>
          </w:p>
        </w:tc>
        <w:tc>
          <w:tcPr>
            <w:tcW w:w="1728" w:type="dxa"/>
            <w:tcBorders>
              <w:top w:val="single" w:color="D9D9E0" w:sz="6" w:space="0"/>
              <w:left w:val="single" w:color="D9D9E0" w:sz="6" w:space="0"/>
              <w:bottom w:val="single" w:color="D9D9E0" w:sz="6" w:space="0"/>
              <w:right w:val="single" w:color="D9D9E0" w:sz="6" w:space="0"/>
            </w:tcBorders>
          </w:tcPr>
          <w:p w14:paraId="11DF3BE5">
            <w:r>
              <w:t>Customers directly (Ravi's exact stated fear) and Marcus's compliance standing</w:t>
            </w:r>
          </w:p>
        </w:tc>
        <w:tc>
          <w:tcPr>
            <w:tcW w:w="3024" w:type="dxa"/>
            <w:tcBorders>
              <w:top w:val="single" w:color="D9D9E0" w:sz="6" w:space="0"/>
              <w:left w:val="single" w:color="D9D9E0" w:sz="6" w:space="0"/>
              <w:bottom w:val="single" w:color="D9D9E0" w:sz="6" w:space="0"/>
              <w:right w:val="single" w:color="D9D9E0" w:sz="6" w:space="0"/>
            </w:tcBorders>
          </w:tcPr>
          <w:p w14:paraId="727EC3A8">
            <w:r>
              <w:t>Confidence threshold + a grounding guardrail that blocks any citation that doesn't resolve to a retrieved passage</w:t>
            </w:r>
          </w:p>
        </w:tc>
      </w:tr>
      <w:tr w14:paraId="615590E6">
        <w:trPr>
          <w:jc w:val="center"/>
        </w:trPr>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6F9C0A8A">
            <w:pPr>
              <w:spacing w:before="50" w:after="50"/>
            </w:pPr>
            <w:r>
              <w:rPr>
                <w:sz w:val="16"/>
              </w:rPr>
              <w:t>Private information appears in a reply</w:t>
            </w:r>
          </w:p>
        </w:tc>
        <w:tc>
          <w:tcPr>
            <w:tcW w:w="1152" w:type="dxa"/>
            <w:tcBorders>
              <w:top w:val="single" w:color="D9D9E0" w:sz="6" w:space="0"/>
              <w:left w:val="single" w:color="D9D9E0" w:sz="6" w:space="0"/>
              <w:bottom w:val="single" w:color="D9D9E0" w:sz="6" w:space="0"/>
              <w:right w:val="single" w:color="D9D9E0" w:sz="6" w:space="0"/>
            </w:tcBorders>
            <w:shd w:val="clear" w:color="auto" w:fill="F4F4F7"/>
          </w:tcPr>
          <w:p w14:paraId="4CAF781E">
            <w:r>
              <w:t>Low-Medium</w:t>
            </w:r>
          </w:p>
        </w:tc>
        <w:tc>
          <w:tcPr>
            <w:tcW w:w="1008" w:type="dxa"/>
            <w:tcBorders>
              <w:top w:val="single" w:color="D9D9E0" w:sz="6" w:space="0"/>
              <w:left w:val="single" w:color="D9D9E0" w:sz="6" w:space="0"/>
              <w:bottom w:val="single" w:color="D9D9E0" w:sz="6" w:space="0"/>
              <w:right w:val="single" w:color="D9D9E0" w:sz="6" w:space="0"/>
            </w:tcBorders>
            <w:shd w:val="clear" w:color="auto" w:fill="F4F4F7"/>
          </w:tcPr>
          <w:p w14:paraId="1DD453BE">
            <w:r>
              <w:t>High</w:t>
            </w:r>
          </w:p>
        </w:tc>
        <w:tc>
          <w:tcPr>
            <w:tcW w:w="1728" w:type="dxa"/>
            <w:tcBorders>
              <w:top w:val="single" w:color="D9D9E0" w:sz="6" w:space="0"/>
              <w:left w:val="single" w:color="D9D9E0" w:sz="6" w:space="0"/>
              <w:bottom w:val="single" w:color="D9D9E0" w:sz="6" w:space="0"/>
              <w:right w:val="single" w:color="D9D9E0" w:sz="6" w:space="0"/>
            </w:tcBorders>
            <w:shd w:val="clear" w:color="auto" w:fill="F4F4F7"/>
          </w:tcPr>
          <w:p w14:paraId="3A8A9BF1">
            <w:r>
              <w:t>The customer whose data leaks, and anyone else mentioned in the response</w:t>
            </w:r>
          </w:p>
        </w:tc>
        <w:tc>
          <w:tcPr>
            <w:tcW w:w="3024" w:type="dxa"/>
            <w:tcBorders>
              <w:top w:val="single" w:color="D9D9E0" w:sz="6" w:space="0"/>
              <w:left w:val="single" w:color="D9D9E0" w:sz="6" w:space="0"/>
              <w:bottom w:val="single" w:color="D9D9E0" w:sz="6" w:space="0"/>
              <w:right w:val="single" w:color="D9D9E0" w:sz="6" w:space="0"/>
            </w:tcBorders>
            <w:shd w:val="clear" w:color="auto" w:fill="F4F4F7"/>
          </w:tcPr>
          <w:p w14:paraId="6DDF8EB0">
            <w:r>
              <w:t>A deterministic private-data guardrail that blocks-and-escalates -- never redacts-and-sends</w:t>
            </w:r>
          </w:p>
        </w:tc>
      </w:tr>
      <w:tr w14:paraId="2F5556DC">
        <w:trPr>
          <w:jc w:val="center"/>
        </w:trPr>
        <w:tc>
          <w:tcPr>
            <w:tcW w:w="2736" w:type="dxa"/>
            <w:tcBorders>
              <w:top w:val="single" w:color="D9D9E0" w:sz="6" w:space="0"/>
              <w:left w:val="single" w:color="D9D9E0" w:sz="6" w:space="0"/>
              <w:bottom w:val="single" w:color="D9D9E0" w:sz="6" w:space="0"/>
              <w:right w:val="single" w:color="D9D9E0" w:sz="6" w:space="0"/>
            </w:tcBorders>
          </w:tcPr>
          <w:p w14:paraId="5ABA9CA7">
            <w:pPr>
              <w:spacing w:before="50" w:after="50"/>
            </w:pPr>
            <w:r>
              <w:rPr>
                <w:sz w:val="16"/>
              </w:rPr>
              <w:t>Some customers get consistently worse answers</w:t>
            </w:r>
          </w:p>
        </w:tc>
        <w:tc>
          <w:tcPr>
            <w:tcW w:w="1152" w:type="dxa"/>
            <w:tcBorders>
              <w:top w:val="single" w:color="D9D9E0" w:sz="6" w:space="0"/>
              <w:left w:val="single" w:color="D9D9E0" w:sz="6" w:space="0"/>
              <w:bottom w:val="single" w:color="D9D9E0" w:sz="6" w:space="0"/>
              <w:right w:val="single" w:color="D9D9E0" w:sz="6" w:space="0"/>
            </w:tcBorders>
          </w:tcPr>
          <w:p w14:paraId="66D74128">
            <w:r>
              <w:t>Medium</w:t>
            </w:r>
          </w:p>
        </w:tc>
        <w:tc>
          <w:tcPr>
            <w:tcW w:w="1008" w:type="dxa"/>
            <w:tcBorders>
              <w:top w:val="single" w:color="D9D9E0" w:sz="6" w:space="0"/>
              <w:left w:val="single" w:color="D9D9E0" w:sz="6" w:space="0"/>
              <w:bottom w:val="single" w:color="D9D9E0" w:sz="6" w:space="0"/>
              <w:right w:val="single" w:color="D9D9E0" w:sz="6" w:space="0"/>
            </w:tcBorders>
          </w:tcPr>
          <w:p w14:paraId="078281B2">
            <w:r>
              <w:t>Medium-High</w:t>
            </w:r>
          </w:p>
        </w:tc>
        <w:tc>
          <w:tcPr>
            <w:tcW w:w="1728" w:type="dxa"/>
            <w:tcBorders>
              <w:top w:val="single" w:color="D9D9E0" w:sz="6" w:space="0"/>
              <w:left w:val="single" w:color="D9D9E0" w:sz="6" w:space="0"/>
              <w:bottom w:val="single" w:color="D9D9E0" w:sz="6" w:space="0"/>
              <w:right w:val="single" w:color="D9D9E0" w:sz="6" w:space="0"/>
            </w:tcBorders>
          </w:tcPr>
          <w:p w14:paraId="384DBD04">
            <w:r>
              <w:t>Non-fluent-English customers, per Sofia's account and the governance framework's named retrieval-on-phrasing risk</w:t>
            </w:r>
          </w:p>
        </w:tc>
        <w:tc>
          <w:tcPr>
            <w:tcW w:w="3024" w:type="dxa"/>
            <w:tcBorders>
              <w:top w:val="single" w:color="D9D9E0" w:sz="6" w:space="0"/>
              <w:left w:val="single" w:color="D9D9E0" w:sz="6" w:space="0"/>
              <w:bottom w:val="single" w:color="D9D9E0" w:sz="6" w:space="0"/>
              <w:right w:val="single" w:color="D9D9E0" w:sz="6" w:space="0"/>
            </w:tcBorders>
          </w:tcPr>
          <w:p w14:paraId="1C1AEDB0">
            <w:r>
              <w:t>A fairness audit that segments by tier/fluency on every evaluation run, not a one-off check</w:t>
            </w:r>
          </w:p>
        </w:tc>
      </w:tr>
      <w:tr w14:paraId="57092806">
        <w:trPr>
          <w:jc w:val="center"/>
        </w:trPr>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03C9C931">
            <w:pPr>
              <w:spacing w:before="50" w:after="50"/>
            </w:pPr>
            <w:r>
              <w:rPr>
                <w:sz w:val="16"/>
              </w:rPr>
              <w:t>The documentation the system relies on goes out of date</w:t>
            </w:r>
          </w:p>
        </w:tc>
        <w:tc>
          <w:tcPr>
            <w:tcW w:w="1152" w:type="dxa"/>
            <w:tcBorders>
              <w:top w:val="single" w:color="D9D9E0" w:sz="6" w:space="0"/>
              <w:left w:val="single" w:color="D9D9E0" w:sz="6" w:space="0"/>
              <w:bottom w:val="single" w:color="D9D9E0" w:sz="6" w:space="0"/>
              <w:right w:val="single" w:color="D9D9E0" w:sz="6" w:space="0"/>
            </w:tcBorders>
            <w:shd w:val="clear" w:color="auto" w:fill="F4F4F7"/>
          </w:tcPr>
          <w:p w14:paraId="2888133E">
            <w:r>
              <w:t>Low within a 3-week project horizon</w:t>
            </w:r>
          </w:p>
        </w:tc>
        <w:tc>
          <w:tcPr>
            <w:tcW w:w="1008" w:type="dxa"/>
            <w:tcBorders>
              <w:top w:val="single" w:color="D9D9E0" w:sz="6" w:space="0"/>
              <w:left w:val="single" w:color="D9D9E0" w:sz="6" w:space="0"/>
              <w:bottom w:val="single" w:color="D9D9E0" w:sz="6" w:space="0"/>
              <w:right w:val="single" w:color="D9D9E0" w:sz="6" w:space="0"/>
            </w:tcBorders>
            <w:shd w:val="clear" w:color="auto" w:fill="F4F4F7"/>
          </w:tcPr>
          <w:p w14:paraId="3F67694B">
            <w:r>
              <w:t>Medium</w:t>
            </w:r>
          </w:p>
        </w:tc>
        <w:tc>
          <w:tcPr>
            <w:tcW w:w="1728" w:type="dxa"/>
            <w:tcBorders>
              <w:top w:val="single" w:color="D9D9E0" w:sz="6" w:space="0"/>
              <w:left w:val="single" w:color="D9D9E0" w:sz="6" w:space="0"/>
              <w:bottom w:val="single" w:color="D9D9E0" w:sz="6" w:space="0"/>
              <w:right w:val="single" w:color="D9D9E0" w:sz="6" w:space="0"/>
            </w:tcBorders>
            <w:shd w:val="clear" w:color="auto" w:fill="F4F4F7"/>
          </w:tcPr>
          <w:p w14:paraId="43AEB80C">
            <w:r>
              <w:t>Any customer receiving an answer from a stale article</w:t>
            </w:r>
          </w:p>
        </w:tc>
        <w:tc>
          <w:tcPr>
            <w:tcW w:w="3024" w:type="dxa"/>
            <w:tcBorders>
              <w:top w:val="single" w:color="D9D9E0" w:sz="6" w:space="0"/>
              <w:left w:val="single" w:color="D9D9E0" w:sz="6" w:space="0"/>
              <w:bottom w:val="single" w:color="D9D9E0" w:sz="6" w:space="0"/>
              <w:right w:val="single" w:color="D9D9E0" w:sz="6" w:space="0"/>
            </w:tcBorders>
            <w:shd w:val="clear" w:color="auto" w:fill="F4F4F7"/>
          </w:tcPr>
          <w:p w14:paraId="30516DDC">
            <w:r>
              <w:t>last_reviewed_days_ago already exists in the schema; auto-refresh is out of scope for v1 and stated as a limitation, not hidden</w:t>
            </w:r>
          </w:p>
        </w:tc>
      </w:tr>
      <w:tr w14:paraId="740BB161">
        <w:trPr>
          <w:jc w:val="center"/>
        </w:trPr>
        <w:tc>
          <w:tcPr>
            <w:tcW w:w="2736" w:type="dxa"/>
            <w:tcBorders>
              <w:top w:val="single" w:color="D9D9E0" w:sz="6" w:space="0"/>
              <w:left w:val="single" w:color="D9D9E0" w:sz="6" w:space="0"/>
              <w:bottom w:val="single" w:color="D9D9E0" w:sz="6" w:space="0"/>
              <w:right w:val="single" w:color="D9D9E0" w:sz="6" w:space="0"/>
            </w:tcBorders>
          </w:tcPr>
          <w:p w14:paraId="3F0BDA90">
            <w:r>
              <w:t>An escalation still arrives without enough context to be useful -- replicating today's problem instead of fixing it</w:t>
            </w:r>
          </w:p>
        </w:tc>
        <w:tc>
          <w:tcPr>
            <w:tcW w:w="1152" w:type="dxa"/>
            <w:tcBorders>
              <w:top w:val="single" w:color="D9D9E0" w:sz="6" w:space="0"/>
              <w:left w:val="single" w:color="D9D9E0" w:sz="6" w:space="0"/>
              <w:bottom w:val="single" w:color="D9D9E0" w:sz="6" w:space="0"/>
              <w:right w:val="single" w:color="D9D9E0" w:sz="6" w:space="0"/>
            </w:tcBorders>
          </w:tcPr>
          <w:p w14:paraId="0EC1CB53">
            <w:r>
              <w:t>Low</w:t>
            </w:r>
          </w:p>
        </w:tc>
        <w:tc>
          <w:tcPr>
            <w:tcW w:w="1008" w:type="dxa"/>
            <w:tcBorders>
              <w:top w:val="single" w:color="D9D9E0" w:sz="6" w:space="0"/>
              <w:left w:val="single" w:color="D9D9E0" w:sz="6" w:space="0"/>
              <w:bottom w:val="single" w:color="D9D9E0" w:sz="6" w:space="0"/>
              <w:right w:val="single" w:color="D9D9E0" w:sz="6" w:space="0"/>
            </w:tcBorders>
          </w:tcPr>
          <w:p w14:paraId="63702E5A">
            <w:r>
              <w:t>Medium</w:t>
            </w:r>
          </w:p>
        </w:tc>
        <w:tc>
          <w:tcPr>
            <w:tcW w:w="1728" w:type="dxa"/>
            <w:tcBorders>
              <w:top w:val="single" w:color="D9D9E0" w:sz="6" w:space="0"/>
              <w:left w:val="single" w:color="D9D9E0" w:sz="6" w:space="0"/>
              <w:bottom w:val="single" w:color="D9D9E0" w:sz="6" w:space="0"/>
              <w:right w:val="single" w:color="D9D9E0" w:sz="6" w:space="0"/>
            </w:tcBorders>
          </w:tcPr>
          <w:p w14:paraId="133B92BE">
            <w:r>
              <w:t>Tier-2 agents (Daniel specifically)</w:t>
            </w:r>
          </w:p>
        </w:tc>
        <w:tc>
          <w:tcPr>
            <w:tcW w:w="3024" w:type="dxa"/>
            <w:tcBorders>
              <w:top w:val="single" w:color="D9D9E0" w:sz="6" w:space="0"/>
              <w:left w:val="single" w:color="D9D9E0" w:sz="6" w:space="0"/>
              <w:bottom w:val="single" w:color="D9D9E0" w:sz="6" w:space="0"/>
              <w:right w:val="single" w:color="D9D9E0" w:sz="6" w:space="0"/>
            </w:tcBorders>
          </w:tcPr>
          <w:p w14:paraId="550D5F32">
            <w:r>
              <w:t>escalation_summary explicitly carries the draft, sources and confidence gap (FR-11); covered directly in tests/test_pipeline.py</w:t>
            </w:r>
          </w:p>
        </w:tc>
      </w:tr>
      <w:tr w14:paraId="696BDADF">
        <w:trPr>
          <w:jc w:val="center"/>
        </w:trPr>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792A991B">
            <w:r>
              <w:t>Free-tier rate limits stall or fail the unattended evaluation run partway through</w:t>
            </w:r>
          </w:p>
        </w:tc>
        <w:tc>
          <w:tcPr>
            <w:tcW w:w="1152" w:type="dxa"/>
            <w:tcBorders>
              <w:top w:val="single" w:color="D9D9E0" w:sz="6" w:space="0"/>
              <w:left w:val="single" w:color="D9D9E0" w:sz="6" w:space="0"/>
              <w:bottom w:val="single" w:color="D9D9E0" w:sz="6" w:space="0"/>
              <w:right w:val="single" w:color="D9D9E0" w:sz="6" w:space="0"/>
            </w:tcBorders>
            <w:shd w:val="clear" w:color="auto" w:fill="F4F4F7"/>
          </w:tcPr>
          <w:p w14:paraId="323BCCCB">
            <w:r>
              <w:t>Medium</w:t>
            </w:r>
          </w:p>
        </w:tc>
        <w:tc>
          <w:tcPr>
            <w:tcW w:w="1008" w:type="dxa"/>
            <w:tcBorders>
              <w:top w:val="single" w:color="D9D9E0" w:sz="6" w:space="0"/>
              <w:left w:val="single" w:color="D9D9E0" w:sz="6" w:space="0"/>
              <w:bottom w:val="single" w:color="D9D9E0" w:sz="6" w:space="0"/>
              <w:right w:val="single" w:color="D9D9E0" w:sz="6" w:space="0"/>
            </w:tcBorders>
            <w:shd w:val="clear" w:color="auto" w:fill="F4F4F7"/>
          </w:tcPr>
          <w:p w14:paraId="54C67720">
            <w:r>
              <w:t>Medium</w:t>
            </w:r>
          </w:p>
        </w:tc>
        <w:tc>
          <w:tcPr>
            <w:tcW w:w="1728" w:type="dxa"/>
            <w:tcBorders>
              <w:top w:val="single" w:color="D9D9E0" w:sz="6" w:space="0"/>
              <w:left w:val="single" w:color="D9D9E0" w:sz="6" w:space="0"/>
              <w:bottom w:val="single" w:color="D9D9E0" w:sz="6" w:space="0"/>
              <w:right w:val="single" w:color="D9D9E0" w:sz="6" w:space="0"/>
            </w:tcBorders>
            <w:shd w:val="clear" w:color="auto" w:fill="F4F4F7"/>
          </w:tcPr>
          <w:p w14:paraId="0579DE43">
            <w:r>
              <w:t>The grading run itself (acceptance criterion A9)</w:t>
            </w:r>
          </w:p>
        </w:tc>
        <w:tc>
          <w:tcPr>
            <w:tcW w:w="3024" w:type="dxa"/>
            <w:tcBorders>
              <w:top w:val="single" w:color="D9D9E0" w:sz="6" w:space="0"/>
              <w:left w:val="single" w:color="D9D9E0" w:sz="6" w:space="0"/>
              <w:bottom w:val="single" w:color="D9D9E0" w:sz="6" w:space="0"/>
              <w:right w:val="single" w:color="D9D9E0" w:sz="6" w:space="0"/>
            </w:tcBorders>
            <w:shd w:val="clear" w:color="auto" w:fill="F4F4F7"/>
          </w:tcPr>
          <w:p w14:paraId="25C4718F">
            <w:r>
              <w:t>Retry/backoff on every model call, plus graceful degradation to forced-escalate rather than a crash if the provider is genuinely unavailable</w:t>
            </w:r>
          </w:p>
        </w:tc>
      </w:tr>
      <w:tr w14:paraId="1689AC97">
        <w:trPr>
          <w:jc w:val="center"/>
        </w:trPr>
        <w:tc>
          <w:tcPr>
            <w:tcW w:w="2736" w:type="dxa"/>
            <w:tcBorders>
              <w:top w:val="single" w:color="D9D9E0" w:sz="6" w:space="0"/>
              <w:left w:val="single" w:color="D9D9E0" w:sz="6" w:space="0"/>
              <w:bottom w:val="single" w:color="D9D9E0" w:sz="6" w:space="0"/>
              <w:right w:val="single" w:color="D9D9E0" w:sz="6" w:space="0"/>
            </w:tcBorders>
          </w:tcPr>
          <w:p w14:paraId="2B224442">
            <w:pPr>
              <w:spacing w:before="50" w:after="50"/>
            </w:pPr>
          </w:p>
        </w:tc>
        <w:tc>
          <w:tcPr>
            <w:tcW w:w="1152" w:type="dxa"/>
            <w:tcBorders>
              <w:top w:val="single" w:color="D9D9E0" w:sz="6" w:space="0"/>
              <w:left w:val="single" w:color="D9D9E0" w:sz="6" w:space="0"/>
              <w:bottom w:val="single" w:color="D9D9E0" w:sz="6" w:space="0"/>
              <w:right w:val="single" w:color="D9D9E0" w:sz="6" w:space="0"/>
            </w:tcBorders>
          </w:tcPr>
          <w:p w14:paraId="7A080F9D">
            <w:pPr>
              <w:spacing w:before="50" w:after="50"/>
            </w:pPr>
          </w:p>
        </w:tc>
        <w:tc>
          <w:tcPr>
            <w:tcW w:w="1008" w:type="dxa"/>
            <w:tcBorders>
              <w:top w:val="single" w:color="D9D9E0" w:sz="6" w:space="0"/>
              <w:left w:val="single" w:color="D9D9E0" w:sz="6" w:space="0"/>
              <w:bottom w:val="single" w:color="D9D9E0" w:sz="6" w:space="0"/>
              <w:right w:val="single" w:color="D9D9E0" w:sz="6" w:space="0"/>
            </w:tcBorders>
          </w:tcPr>
          <w:p w14:paraId="2511DBA9">
            <w:pPr>
              <w:spacing w:before="50" w:after="50"/>
            </w:pPr>
          </w:p>
        </w:tc>
        <w:tc>
          <w:tcPr>
            <w:tcW w:w="1728" w:type="dxa"/>
            <w:tcBorders>
              <w:top w:val="single" w:color="D9D9E0" w:sz="6" w:space="0"/>
              <w:left w:val="single" w:color="D9D9E0" w:sz="6" w:space="0"/>
              <w:bottom w:val="single" w:color="D9D9E0" w:sz="6" w:space="0"/>
              <w:right w:val="single" w:color="D9D9E0" w:sz="6" w:space="0"/>
            </w:tcBorders>
          </w:tcPr>
          <w:p w14:paraId="08038952">
            <w:pPr>
              <w:spacing w:before="50" w:after="50"/>
            </w:pPr>
          </w:p>
        </w:tc>
        <w:tc>
          <w:tcPr>
            <w:tcW w:w="3024" w:type="dxa"/>
            <w:tcBorders>
              <w:top w:val="single" w:color="D9D9E0" w:sz="6" w:space="0"/>
              <w:left w:val="single" w:color="D9D9E0" w:sz="6" w:space="0"/>
              <w:bottom w:val="single" w:color="D9D9E0" w:sz="6" w:space="0"/>
              <w:right w:val="single" w:color="D9D9E0" w:sz="6" w:space="0"/>
            </w:tcBorders>
          </w:tcPr>
          <w:p w14:paraId="237989E0">
            <w:pPr>
              <w:spacing w:before="50" w:after="50"/>
            </w:pPr>
          </w:p>
        </w:tc>
      </w:tr>
      <w:tr w14:paraId="24A4FBB1">
        <w:trPr>
          <w:jc w:val="center"/>
        </w:trPr>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3C2E22EB">
            <w:pPr>
              <w:spacing w:before="50" w:after="50"/>
            </w:pPr>
          </w:p>
        </w:tc>
        <w:tc>
          <w:tcPr>
            <w:tcW w:w="1152" w:type="dxa"/>
            <w:tcBorders>
              <w:top w:val="single" w:color="D9D9E0" w:sz="6" w:space="0"/>
              <w:left w:val="single" w:color="D9D9E0" w:sz="6" w:space="0"/>
              <w:bottom w:val="single" w:color="D9D9E0" w:sz="6" w:space="0"/>
              <w:right w:val="single" w:color="D9D9E0" w:sz="6" w:space="0"/>
            </w:tcBorders>
            <w:shd w:val="clear" w:color="auto" w:fill="F4F4F7"/>
          </w:tcPr>
          <w:p w14:paraId="539CEBA0">
            <w:pPr>
              <w:spacing w:before="50" w:after="50"/>
            </w:pPr>
          </w:p>
        </w:tc>
        <w:tc>
          <w:tcPr>
            <w:tcW w:w="1008" w:type="dxa"/>
            <w:tcBorders>
              <w:top w:val="single" w:color="D9D9E0" w:sz="6" w:space="0"/>
              <w:left w:val="single" w:color="D9D9E0" w:sz="6" w:space="0"/>
              <w:bottom w:val="single" w:color="D9D9E0" w:sz="6" w:space="0"/>
              <w:right w:val="single" w:color="D9D9E0" w:sz="6" w:space="0"/>
            </w:tcBorders>
            <w:shd w:val="clear" w:color="auto" w:fill="F4F4F7"/>
          </w:tcPr>
          <w:p w14:paraId="44CAB15D">
            <w:pPr>
              <w:spacing w:before="50" w:after="50"/>
            </w:pPr>
          </w:p>
        </w:tc>
        <w:tc>
          <w:tcPr>
            <w:tcW w:w="1728" w:type="dxa"/>
            <w:tcBorders>
              <w:top w:val="single" w:color="D9D9E0" w:sz="6" w:space="0"/>
              <w:left w:val="single" w:color="D9D9E0" w:sz="6" w:space="0"/>
              <w:bottom w:val="single" w:color="D9D9E0" w:sz="6" w:space="0"/>
              <w:right w:val="single" w:color="D9D9E0" w:sz="6" w:space="0"/>
            </w:tcBorders>
            <w:shd w:val="clear" w:color="auto" w:fill="F4F4F7"/>
          </w:tcPr>
          <w:p w14:paraId="7AA1BF72">
            <w:pPr>
              <w:spacing w:before="50" w:after="50"/>
            </w:pPr>
          </w:p>
        </w:tc>
        <w:tc>
          <w:tcPr>
            <w:tcW w:w="3024" w:type="dxa"/>
            <w:tcBorders>
              <w:top w:val="single" w:color="D9D9E0" w:sz="6" w:space="0"/>
              <w:left w:val="single" w:color="D9D9E0" w:sz="6" w:space="0"/>
              <w:bottom w:val="single" w:color="D9D9E0" w:sz="6" w:space="0"/>
              <w:right w:val="single" w:color="D9D9E0" w:sz="6" w:space="0"/>
            </w:tcBorders>
            <w:shd w:val="clear" w:color="auto" w:fill="F4F4F7"/>
          </w:tcPr>
          <w:p w14:paraId="219ABE06">
            <w:pPr>
              <w:spacing w:before="50" w:after="50"/>
            </w:pPr>
          </w:p>
        </w:tc>
      </w:tr>
    </w:tbl>
    <w:p w14:paraId="228F15FF">
      <w:pPr>
        <w:spacing w:after="80"/>
      </w:pPr>
    </w:p>
    <w:p w14:paraId="311548D4">
      <w:r>
        <w:br w:type="page"/>
      </w:r>
    </w:p>
    <w:p w14:paraId="26F6C63E">
      <w:pPr>
        <w:pBdr>
          <w:bottom w:val="single" w:color="E8660A" w:sz="8" w:space="6"/>
        </w:pBdr>
        <w:spacing w:before="440" w:after="60"/>
      </w:pPr>
      <w:r>
        <w:rPr>
          <w:b/>
          <w:color w:val="E8660A"/>
          <w:sz w:val="34"/>
        </w:rPr>
        <w:t xml:space="preserve">6   </w:t>
      </w:r>
      <w:r>
        <w:rPr>
          <w:b/>
          <w:color w:val="1A1A2E"/>
          <w:sz w:val="34"/>
        </w:rPr>
        <w:t>Section six: the problem statement</w:t>
      </w:r>
    </w:p>
    <w:p w14:paraId="228C8A92">
      <w:pPr>
        <w:spacing w:after="140"/>
      </w:pPr>
      <w:r>
        <w:rPr>
          <w:i w:val="0"/>
          <w:sz w:val="21"/>
        </w:rPr>
        <w:t>Now, and only now, write down what the problem actually is. Every clause of what you write must be supported by a row you have already filled in, and you are asked to cite those rows explicitly. This is the paragraph your entire project rests on.</w:t>
      </w:r>
    </w:p>
    <w:tbl>
      <w:tblPr>
        <w:tblStyle w:val="12"/>
        <w:tblW w:w="0" w:type="auto"/>
        <w:jc w:val="center"/>
        <w:tblLayout w:type="fixed"/>
        <w:tblCellMar>
          <w:top w:w="0" w:type="dxa"/>
          <w:left w:w="108" w:type="dxa"/>
          <w:bottom w:w="0" w:type="dxa"/>
          <w:right w:w="108" w:type="dxa"/>
        </w:tblCellMar>
      </w:tblPr>
      <w:tblGrid>
        <w:gridCol w:w="3216"/>
        <w:gridCol w:w="3216"/>
        <w:gridCol w:w="3216"/>
      </w:tblGrid>
      <w:tr w14:paraId="404EA5B0">
        <w:trPr>
          <w:jc w:val="center"/>
        </w:trPr>
        <w:tc>
          <w:tcPr>
            <w:tcW w:w="2736" w:type="dxa"/>
            <w:tcBorders>
              <w:top w:val="single" w:color="D9D9E0" w:sz="6" w:space="0"/>
              <w:left w:val="single" w:color="D9D9E0" w:sz="6" w:space="0"/>
              <w:bottom w:val="single" w:color="D9D9E0" w:sz="6" w:space="0"/>
              <w:right w:val="single" w:color="D9D9E0" w:sz="6" w:space="0"/>
            </w:tcBorders>
            <w:shd w:val="clear" w:color="auto" w:fill="E8660A"/>
          </w:tcPr>
          <w:p w14:paraId="647E14F7">
            <w:pPr>
              <w:spacing w:before="60" w:after="60"/>
            </w:pPr>
            <w:r>
              <w:rPr>
                <w:b/>
                <w:color w:val="FFFFFF"/>
                <w:sz w:val="18"/>
              </w:rPr>
              <w:t>Element</w:t>
            </w:r>
          </w:p>
        </w:tc>
        <w:tc>
          <w:tcPr>
            <w:tcW w:w="4320" w:type="dxa"/>
            <w:tcBorders>
              <w:top w:val="single" w:color="D9D9E0" w:sz="6" w:space="0"/>
              <w:left w:val="single" w:color="D9D9E0" w:sz="6" w:space="0"/>
              <w:bottom w:val="single" w:color="D9D9E0" w:sz="6" w:space="0"/>
              <w:right w:val="single" w:color="D9D9E0" w:sz="6" w:space="0"/>
            </w:tcBorders>
            <w:shd w:val="clear" w:color="auto" w:fill="E8660A"/>
          </w:tcPr>
          <w:p w14:paraId="3652EF6A">
            <w:pPr>
              <w:spacing w:before="60" w:after="60"/>
            </w:pPr>
            <w:r>
              <w:rPr>
                <w:b/>
                <w:color w:val="FFFFFF"/>
                <w:sz w:val="18"/>
              </w:rPr>
              <w:t>Your statement</w:t>
            </w:r>
          </w:p>
        </w:tc>
        <w:tc>
          <w:tcPr>
            <w:tcW w:w="2592" w:type="dxa"/>
            <w:tcBorders>
              <w:top w:val="single" w:color="D9D9E0" w:sz="6" w:space="0"/>
              <w:left w:val="single" w:color="D9D9E0" w:sz="6" w:space="0"/>
              <w:bottom w:val="single" w:color="D9D9E0" w:sz="6" w:space="0"/>
              <w:right w:val="single" w:color="D9D9E0" w:sz="6" w:space="0"/>
            </w:tcBorders>
            <w:shd w:val="clear" w:color="auto" w:fill="E8660A"/>
          </w:tcPr>
          <w:p w14:paraId="39FB8E12">
            <w:pPr>
              <w:spacing w:before="60" w:after="60"/>
            </w:pPr>
            <w:r>
              <w:rPr>
                <w:b/>
                <w:color w:val="FFFFFF"/>
                <w:sz w:val="18"/>
              </w:rPr>
              <w:t>Which section and row supports it</w:t>
            </w:r>
          </w:p>
        </w:tc>
      </w:tr>
      <w:tr w14:paraId="1990E028">
        <w:trPr>
          <w:jc w:val="center"/>
        </w:trPr>
        <w:tc>
          <w:tcPr>
            <w:tcW w:w="2736" w:type="dxa"/>
            <w:tcBorders>
              <w:top w:val="single" w:color="D9D9E0" w:sz="6" w:space="0"/>
              <w:left w:val="single" w:color="D9D9E0" w:sz="6" w:space="0"/>
              <w:bottom w:val="single" w:color="D9D9E0" w:sz="6" w:space="0"/>
              <w:right w:val="single" w:color="D9D9E0" w:sz="6" w:space="0"/>
            </w:tcBorders>
          </w:tcPr>
          <w:p w14:paraId="4AEE1007">
            <w:pPr>
              <w:spacing w:before="50" w:after="50"/>
            </w:pPr>
            <w:r>
              <w:rPr>
                <w:sz w:val="17"/>
              </w:rPr>
              <w:t>What the client asked for</w:t>
            </w:r>
          </w:p>
        </w:tc>
        <w:tc>
          <w:tcPr>
            <w:tcW w:w="4320" w:type="dxa"/>
            <w:tcBorders>
              <w:top w:val="single" w:color="D9D9E0" w:sz="6" w:space="0"/>
              <w:left w:val="single" w:color="D9D9E0" w:sz="6" w:space="0"/>
              <w:bottom w:val="single" w:color="D9D9E0" w:sz="6" w:space="0"/>
              <w:right w:val="single" w:color="D9D9E0" w:sz="6" w:space="0"/>
            </w:tcBorders>
          </w:tcPr>
          <w:p w14:paraId="7B9A24DC">
            <w:r>
              <w:t>A chatbot that answers customer support tickets automatically.</w:t>
            </w:r>
          </w:p>
        </w:tc>
        <w:tc>
          <w:tcPr>
            <w:tcW w:w="2592" w:type="dxa"/>
            <w:tcBorders>
              <w:top w:val="single" w:color="D9D9E0" w:sz="6" w:space="0"/>
              <w:left w:val="single" w:color="D9D9E0" w:sz="6" w:space="0"/>
              <w:bottom w:val="single" w:color="D9D9E0" w:sz="6" w:space="0"/>
              <w:right w:val="single" w:color="D9D9E0" w:sz="6" w:space="0"/>
            </w:tcBorders>
          </w:tcPr>
          <w:p w14:paraId="6F93348C">
            <w:r>
              <w:t>Section 1 (Marcus), and the project brief directly</w:t>
            </w:r>
          </w:p>
        </w:tc>
      </w:tr>
      <w:tr w14:paraId="380397B1">
        <w:trPr>
          <w:jc w:val="center"/>
        </w:trPr>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7F43CF1A">
            <w:pPr>
              <w:spacing w:before="50" w:after="50"/>
            </w:pPr>
            <w:r>
              <w:rPr>
                <w:sz w:val="17"/>
              </w:rPr>
              <w:t>What the evidence suggests they actually need</w:t>
            </w:r>
          </w:p>
        </w:tc>
        <w:tc>
          <w:tcPr>
            <w:tcW w:w="4320" w:type="dxa"/>
            <w:tcBorders>
              <w:top w:val="single" w:color="D9D9E0" w:sz="6" w:space="0"/>
              <w:left w:val="single" w:color="D9D9E0" w:sz="6" w:space="0"/>
              <w:bottom w:val="single" w:color="D9D9E0" w:sz="6" w:space="0"/>
              <w:right w:val="single" w:color="D9D9E0" w:sz="6" w:space="0"/>
            </w:tcBorders>
            <w:shd w:val="clear" w:color="auto" w:fill="F4F4F7"/>
          </w:tcPr>
          <w:p w14:paraId="37F691D7">
            <w:r>
              <w:t>A system that finds and grounds answers in documentation agents already have but can't search effectively, and gives tier-2 agents real context on the escalations that remain.</w:t>
            </w:r>
          </w:p>
        </w:tc>
        <w:tc>
          <w:tcPr>
            <w:tcW w:w="2592" w:type="dxa"/>
            <w:tcBorders>
              <w:top w:val="single" w:color="D9D9E0" w:sz="6" w:space="0"/>
              <w:left w:val="single" w:color="D9D9E0" w:sz="6" w:space="0"/>
              <w:bottom w:val="single" w:color="D9D9E0" w:sz="6" w:space="0"/>
              <w:right w:val="single" w:color="D9D9E0" w:sz="6" w:space="0"/>
            </w:tcBorders>
            <w:shd w:val="clear" w:color="auto" w:fill="F4F4F7"/>
          </w:tcPr>
          <w:p w14:paraId="3B8F115D">
            <w:r>
              <w:t>Section 1 (Sofia, Ines, Daniel); Section 2 (71.4% answerable_from_docs; 49% of historical escalations were themselves answerable)</w:t>
            </w:r>
          </w:p>
        </w:tc>
      </w:tr>
      <w:tr w14:paraId="2DF0BB03">
        <w:trPr>
          <w:jc w:val="center"/>
        </w:trPr>
        <w:tc>
          <w:tcPr>
            <w:tcW w:w="2736" w:type="dxa"/>
            <w:tcBorders>
              <w:top w:val="single" w:color="D9D9E0" w:sz="6" w:space="0"/>
              <w:left w:val="single" w:color="D9D9E0" w:sz="6" w:space="0"/>
              <w:bottom w:val="single" w:color="D9D9E0" w:sz="6" w:space="0"/>
              <w:right w:val="single" w:color="D9D9E0" w:sz="6" w:space="0"/>
            </w:tcBorders>
          </w:tcPr>
          <w:p w14:paraId="78886389">
            <w:pPr>
              <w:spacing w:before="50" w:after="50"/>
            </w:pPr>
            <w:r>
              <w:rPr>
                <w:sz w:val="17"/>
              </w:rPr>
              <w:t>The gap between those two</w:t>
            </w:r>
          </w:p>
        </w:tc>
        <w:tc>
          <w:tcPr>
            <w:tcW w:w="4320" w:type="dxa"/>
            <w:tcBorders>
              <w:top w:val="single" w:color="D9D9E0" w:sz="6" w:space="0"/>
              <w:left w:val="single" w:color="D9D9E0" w:sz="6" w:space="0"/>
              <w:bottom w:val="single" w:color="D9D9E0" w:sz="6" w:space="0"/>
              <w:right w:val="single" w:color="D9D9E0" w:sz="6" w:space="0"/>
            </w:tcBorders>
          </w:tcPr>
          <w:p w14:paraId="5D9035AF">
            <w:r>
              <w:t>A chatbot only changes who delivers an answer. It does nothing about whether the answer is findable, whether it's grounded, or whether the 49% of 'necessary' escalations that weren't actually necessary keep happening.</w:t>
            </w:r>
          </w:p>
        </w:tc>
        <w:tc>
          <w:tcPr>
            <w:tcW w:w="2592" w:type="dxa"/>
            <w:tcBorders>
              <w:top w:val="single" w:color="D9D9E0" w:sz="6" w:space="0"/>
              <w:left w:val="single" w:color="D9D9E0" w:sz="6" w:space="0"/>
              <w:bottom w:val="single" w:color="D9D9E0" w:sz="6" w:space="0"/>
              <w:right w:val="single" w:color="D9D9E0" w:sz="6" w:space="0"/>
            </w:tcBorders>
          </w:tcPr>
          <w:p w14:paraId="2015895B">
            <w:r>
              <w:t>Section 1, disagreement #1; Section 2</w:t>
            </w:r>
          </w:p>
        </w:tc>
      </w:tr>
      <w:tr w14:paraId="00A4A905">
        <w:trPr>
          <w:jc w:val="center"/>
        </w:trPr>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6992F954">
            <w:pPr>
              <w:spacing w:before="50" w:after="50"/>
            </w:pPr>
            <w:r>
              <w:rPr>
                <w:sz w:val="17"/>
              </w:rPr>
              <w:t>Who is affected and how</w:t>
            </w:r>
          </w:p>
        </w:tc>
        <w:tc>
          <w:tcPr>
            <w:tcW w:w="4320" w:type="dxa"/>
            <w:tcBorders>
              <w:top w:val="single" w:color="D9D9E0" w:sz="6" w:space="0"/>
              <w:left w:val="single" w:color="D9D9E0" w:sz="6" w:space="0"/>
              <w:bottom w:val="single" w:color="D9D9E0" w:sz="6" w:space="0"/>
              <w:right w:val="single" w:color="D9D9E0" w:sz="6" w:space="0"/>
            </w:tcBorders>
            <w:shd w:val="clear" w:color="auto" w:fill="F4F4F7"/>
          </w:tcPr>
          <w:p w14:paraId="602062E2">
            <w:r>
              <w:t>Customers wait 8-12h for answers that often already existed (Ravi); tier 1 agents burn time searching instead of deciding (Sofia); tier 2 agents redo work because escalations arrive with no context (Daniel); Marcus can't explain the system's decisions ahead of his compliance review.</w:t>
            </w:r>
          </w:p>
        </w:tc>
        <w:tc>
          <w:tcPr>
            <w:tcW w:w="2592" w:type="dxa"/>
            <w:tcBorders>
              <w:top w:val="single" w:color="D9D9E0" w:sz="6" w:space="0"/>
              <w:left w:val="single" w:color="D9D9E0" w:sz="6" w:space="0"/>
              <w:bottom w:val="single" w:color="D9D9E0" w:sz="6" w:space="0"/>
              <w:right w:val="single" w:color="D9D9E0" w:sz="6" w:space="0"/>
            </w:tcBorders>
            <w:shd w:val="clear" w:color="auto" w:fill="F4F4F7"/>
          </w:tcPr>
          <w:p w14:paraId="4065591E">
            <w:r>
              <w:t>Section 1, all five interviews</w:t>
            </w:r>
          </w:p>
        </w:tc>
      </w:tr>
      <w:tr w14:paraId="5C33C0F1">
        <w:trPr>
          <w:jc w:val="center"/>
        </w:trPr>
        <w:tc>
          <w:tcPr>
            <w:tcW w:w="2736" w:type="dxa"/>
            <w:tcBorders>
              <w:top w:val="single" w:color="D9D9E0" w:sz="6" w:space="0"/>
              <w:left w:val="single" w:color="D9D9E0" w:sz="6" w:space="0"/>
              <w:bottom w:val="single" w:color="D9D9E0" w:sz="6" w:space="0"/>
              <w:right w:val="single" w:color="D9D9E0" w:sz="6" w:space="0"/>
            </w:tcBorders>
          </w:tcPr>
          <w:p w14:paraId="3B958316">
            <w:pPr>
              <w:spacing w:before="50" w:after="50"/>
            </w:pPr>
            <w:r>
              <w:rPr>
                <w:sz w:val="17"/>
              </w:rPr>
              <w:t>What will change if this is solved</w:t>
            </w:r>
          </w:p>
        </w:tc>
        <w:tc>
          <w:tcPr>
            <w:tcW w:w="4320" w:type="dxa"/>
            <w:tcBorders>
              <w:top w:val="single" w:color="D9D9E0" w:sz="6" w:space="0"/>
              <w:left w:val="single" w:color="D9D9E0" w:sz="6" w:space="0"/>
              <w:bottom w:val="single" w:color="D9D9E0" w:sz="6" w:space="0"/>
              <w:right w:val="single" w:color="D9D9E0" w:sz="6" w:space="0"/>
            </w:tcBorders>
          </w:tcPr>
          <w:p w14:paraId="2477F443">
            <w:r>
              <w:t>First contact resolution moves toward 60%+, escalations arrive with a summary/sources/confidence gap attached instead of a bare forward, and every automated decision is reconstructable for the compliance review.</w:t>
            </w:r>
          </w:p>
        </w:tc>
        <w:tc>
          <w:tcPr>
            <w:tcW w:w="2592" w:type="dxa"/>
            <w:tcBorders>
              <w:top w:val="single" w:color="D9D9E0" w:sz="6" w:space="0"/>
              <w:left w:val="single" w:color="D9D9E0" w:sz="6" w:space="0"/>
              <w:bottom w:val="single" w:color="D9D9E0" w:sz="6" w:space="0"/>
              <w:right w:val="single" w:color="D9D9E0" w:sz="6" w:space="0"/>
            </w:tcBorders>
          </w:tcPr>
          <w:p w14:paraId="3305E19D">
            <w:r>
              <w:t>Section 4 (what the client counts as success)</w:t>
            </w:r>
          </w:p>
        </w:tc>
      </w:tr>
      <w:tr w14:paraId="579D28D9">
        <w:trPr>
          <w:jc w:val="center"/>
        </w:trPr>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5F69355F">
            <w:pPr>
              <w:spacing w:before="50" w:after="50"/>
            </w:pPr>
            <w:r>
              <w:rPr>
                <w:sz w:val="17"/>
              </w:rPr>
              <w:t>What is explicitly not in scope</w:t>
            </w:r>
          </w:p>
        </w:tc>
        <w:tc>
          <w:tcPr>
            <w:tcW w:w="4320" w:type="dxa"/>
            <w:tcBorders>
              <w:top w:val="single" w:color="D9D9E0" w:sz="6" w:space="0"/>
              <w:left w:val="single" w:color="D9D9E0" w:sz="6" w:space="0"/>
              <w:bottom w:val="single" w:color="D9D9E0" w:sz="6" w:space="0"/>
              <w:right w:val="single" w:color="D9D9E0" w:sz="6" w:space="0"/>
            </w:tcBorders>
            <w:shd w:val="clear" w:color="auto" w:fill="F4F4F7"/>
          </w:tcPr>
          <w:p w14:paraId="3EBE50C8">
            <w:r>
              <w:t>Non-English generation, a full agent review UI, auto-refreshing documentation, proactive/outbound outreach, and any commitment about refunds or contractual timelines.</w:t>
            </w:r>
          </w:p>
        </w:tc>
        <w:tc>
          <w:tcPr>
            <w:tcW w:w="2592" w:type="dxa"/>
            <w:tcBorders>
              <w:top w:val="single" w:color="D9D9E0" w:sz="6" w:space="0"/>
              <w:left w:val="single" w:color="D9D9E0" w:sz="6" w:space="0"/>
              <w:bottom w:val="single" w:color="D9D9E0" w:sz="6" w:space="0"/>
              <w:right w:val="single" w:color="D9D9E0" w:sz="6" w:space="0"/>
            </w:tcBorders>
            <w:shd w:val="clear" w:color="auto" w:fill="F4F4F7"/>
          </w:tcPr>
          <w:p w14:paraId="0E3ED34A">
            <w:r>
              <w:t>See PRD.md §6 for the full list and reasoning</w:t>
            </w:r>
          </w:p>
        </w:tc>
      </w:tr>
    </w:tbl>
    <w:p w14:paraId="3454DEED">
      <w:pPr>
        <w:spacing w:after="80"/>
      </w:pPr>
    </w:p>
    <w:p w14:paraId="40514049">
      <w:pPr>
        <w:spacing w:before="300" w:after="60"/>
      </w:pPr>
      <w:r>
        <w:rPr>
          <w:b/>
          <w:color w:val="1A1A2E"/>
          <w:sz w:val="25"/>
        </w:rPr>
        <w:t>The one paragraph version</w:t>
      </w:r>
    </w:p>
    <w:p w14:paraId="4554C3AE">
      <w:pPr>
        <w:spacing w:after="140"/>
      </w:pPr>
      <w:r>
        <w:rPr>
          <w:i w:val="0"/>
          <w:sz w:val="21"/>
        </w:rPr>
        <w:t>Write the problem in a single paragraph, in language the head of support would recognise and agree with. No technical vocabulary. If you cannot express it without mentioning retrieval or embeddings, you are describing your solution rather than their problem.</w:t>
      </w:r>
    </w:p>
    <w:tbl>
      <w:tblPr>
        <w:tblStyle w:val="12"/>
        <w:tblW w:w="0" w:type="auto"/>
        <w:jc w:val="center"/>
        <w:tblLayout w:type="fixed"/>
        <w:tblCellMar>
          <w:top w:w="0" w:type="dxa"/>
          <w:left w:w="108" w:type="dxa"/>
          <w:bottom w:w="0" w:type="dxa"/>
          <w:right w:w="108" w:type="dxa"/>
        </w:tblCellMar>
      </w:tblPr>
      <w:tblGrid>
        <w:gridCol w:w="9648"/>
      </w:tblGrid>
      <w:tr w14:paraId="17B18803">
        <w:trPr>
          <w:jc w:val="center"/>
        </w:trPr>
        <w:tc>
          <w:tcPr>
            <w:tcW w:w="9648" w:type="dxa"/>
            <w:tcBorders>
              <w:top w:val="single" w:color="D9D9E0" w:sz="6" w:space="0"/>
              <w:left w:val="single" w:color="D9D9E0" w:sz="6" w:space="0"/>
              <w:bottom w:val="single" w:color="D9D9E0" w:sz="6" w:space="0"/>
              <w:right w:val="single" w:color="D9D9E0" w:sz="6" w:space="0"/>
            </w:tcBorders>
            <w:shd w:val="clear" w:color="auto" w:fill="E8660A"/>
          </w:tcPr>
          <w:p w14:paraId="788F4447">
            <w:pPr>
              <w:spacing w:before="60" w:after="60"/>
            </w:pPr>
            <w:r>
              <w:rPr>
                <w:b/>
                <w:color w:val="FFFFFF"/>
                <w:sz w:val="19"/>
              </w:rPr>
              <w:t>Problem statement</w:t>
            </w:r>
          </w:p>
        </w:tc>
      </w:tr>
      <w:tr w14:paraId="5EEB23F2">
        <w:trPr>
          <w:jc w:val="center"/>
        </w:trPr>
        <w:tc>
          <w:tcPr>
            <w:tcW w:w="9648" w:type="dxa"/>
            <w:tcBorders>
              <w:top w:val="single" w:color="D9D9E0" w:sz="6" w:space="0"/>
              <w:left w:val="single" w:color="D9D9E0" w:sz="6" w:space="0"/>
              <w:bottom w:val="single" w:color="D9D9E0" w:sz="6" w:space="0"/>
              <w:right w:val="single" w:color="D9D9E0" w:sz="6" w:space="0"/>
            </w:tcBorders>
          </w:tcPr>
          <w:p w14:paraId="2091FE70">
            <w:r>
              <w:t>CloudServe's support failure isn't a shortage of answers or of agents</w:t>
            </w:r>
            <w:r>
              <w:rPr>
                <w:rFonts w:hint="default"/>
                <w:lang w:val="en-US"/>
              </w:rPr>
              <w:t>,</w:t>
            </w:r>
            <w:r>
              <w:t xml:space="preserve"> it's that agents can't reliably find answers that already exist, and escalations arrive as raw forwards with no indication of what was already tried or how confident anyone was. A chatbot that answers customers directly doesn't fix either of those. A system that retrieves and grounds answers against the real documentation with calibrated confidence, auto-resolves what it can defend, and escalates the rest with a draft, sources, and an explicit statement of uncertainty attached</w:t>
            </w:r>
            <w:r>
              <w:rPr>
                <w:rFonts w:hint="default"/>
                <w:lang w:val="en-US"/>
              </w:rPr>
              <w:t xml:space="preserve">, </w:t>
            </w:r>
            <w:r>
              <w:t>is what would actually have helped the people who do this job today, not just the response-time number on Marcus's dashboard.</w:t>
            </w:r>
            <w:bookmarkStart w:id="0" w:name="_GoBack"/>
            <w:bookmarkEnd w:id="0"/>
          </w:p>
        </w:tc>
      </w:tr>
      <w:tr w14:paraId="0F84DBE1">
        <w:trPr>
          <w:jc w:val="center"/>
        </w:trPr>
        <w:tc>
          <w:tcPr>
            <w:tcW w:w="9648" w:type="dxa"/>
            <w:tcBorders>
              <w:top w:val="single" w:color="D9D9E0" w:sz="6" w:space="0"/>
              <w:left w:val="single" w:color="D9D9E0" w:sz="6" w:space="0"/>
              <w:bottom w:val="single" w:color="D9D9E0" w:sz="6" w:space="0"/>
              <w:right w:val="single" w:color="D9D9E0" w:sz="6" w:space="0"/>
            </w:tcBorders>
            <w:shd w:val="clear" w:color="auto" w:fill="F4F4F7"/>
          </w:tcPr>
          <w:p w14:paraId="6B80539B">
            <w:pPr>
              <w:spacing w:before="50" w:after="50"/>
            </w:pPr>
          </w:p>
        </w:tc>
      </w:tr>
      <w:tr w14:paraId="1E4CFD5A">
        <w:trPr>
          <w:jc w:val="center"/>
        </w:trPr>
        <w:tc>
          <w:tcPr>
            <w:tcW w:w="9648" w:type="dxa"/>
            <w:tcBorders>
              <w:top w:val="single" w:color="D9D9E0" w:sz="6" w:space="0"/>
              <w:left w:val="single" w:color="D9D9E0" w:sz="6" w:space="0"/>
              <w:bottom w:val="single" w:color="D9D9E0" w:sz="6" w:space="0"/>
              <w:right w:val="single" w:color="D9D9E0" w:sz="6" w:space="0"/>
            </w:tcBorders>
          </w:tcPr>
          <w:p w14:paraId="54532E10">
            <w:pPr>
              <w:spacing w:before="50" w:after="50"/>
            </w:pPr>
          </w:p>
        </w:tc>
      </w:tr>
    </w:tbl>
    <w:p w14:paraId="7C1C0E65">
      <w:pPr>
        <w:spacing w:after="80"/>
      </w:pPr>
    </w:p>
    <w:tbl>
      <w:tblPr>
        <w:tblStyle w:val="12"/>
        <w:tblW w:w="0" w:type="auto"/>
        <w:tblInd w:w="0" w:type="dxa"/>
        <w:tblLayout w:type="autofit"/>
        <w:tblCellMar>
          <w:top w:w="0" w:type="dxa"/>
          <w:left w:w="108" w:type="dxa"/>
          <w:bottom w:w="0" w:type="dxa"/>
          <w:right w:w="108" w:type="dxa"/>
        </w:tblCellMar>
      </w:tblPr>
      <w:tblGrid>
        <w:gridCol w:w="9648"/>
      </w:tblGrid>
      <w:tr w14:paraId="5CB4627C">
        <w:tc>
          <w:tcPr>
            <w:tcW w:w="9648" w:type="dxa"/>
            <w:tcBorders>
              <w:top w:val="nil"/>
              <w:left w:val="nil"/>
              <w:bottom w:val="nil"/>
              <w:right w:val="nil"/>
            </w:tcBorders>
            <w:shd w:val="clear" w:color="auto" w:fill="FDEDE1"/>
          </w:tcPr>
          <w:p w14:paraId="10F1C178">
            <w:pPr>
              <w:spacing w:before="140" w:after="60"/>
            </w:pPr>
            <w:r>
              <w:rPr>
                <w:b/>
                <w:color w:val="E8660A"/>
                <w:sz w:val="21"/>
              </w:rPr>
              <w:t>Before you move to stage two</w:t>
            </w:r>
          </w:p>
          <w:p w14:paraId="63CC99E7">
            <w:pPr>
              <w:spacing w:after="160"/>
            </w:pPr>
            <w:r>
              <w:rPr>
                <w:color w:val="333344"/>
                <w:sz w:val="20"/>
              </w:rPr>
              <w:t>Read your problem statement back against each of the five transcripts in turn and ask whether that person would recognise it as a description of their situation. If any of the five would object, either your framing is off or you have found something they cannot see, and you should be able to say which. A statement that all five would simply agree with is usually one that has not gone far enough.</w:t>
            </w:r>
          </w:p>
        </w:tc>
      </w:tr>
    </w:tbl>
    <w:p w14:paraId="1B77797C">
      <w:pPr>
        <w:spacing w:after="40"/>
      </w:pPr>
    </w:p>
    <w:sectPr>
      <w:footerReference r:id="rId5" w:type="default"/>
      <w:pgSz w:w="12240" w:h="15840"/>
      <w:pgMar w:top="1296" w:right="1296" w:bottom="1296"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51B1C">
    <w:pPr>
      <w:pStyle w:val="18"/>
      <w:jc w:val="center"/>
    </w:pPr>
    <w:r>
      <w:rPr>
        <w:color w:val="4A4A63"/>
        <w:sz w:val="15"/>
      </w:rPr>
      <w:t>Forward Deployed AI Engineering  ·  Stage One  ·  Discovery Workbook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F2E854"/>
    <w:rsid w:val="DF5D3F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93" w:lineRule="auto"/>
    </w:pPr>
    <w:rPr>
      <w:rFonts w:ascii="Calibri" w:hAnsi="Calibri" w:eastAsiaTheme="minorEastAsia" w:cstheme="minorBidi"/>
      <w:color w:val="222233"/>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46</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Dhanush Varanasi</cp:lastModifiedBy>
  <dcterms:modified xsi:type="dcterms:W3CDTF">2026-09-19T11:40:47Z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D9B55546A06379BC2427AE6A63B2D77B_42</vt:lpwstr>
  </property>
</Properties>
</file>