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44FCC6"/>
    <w:p w14:paraId="725F1DB3"/>
    <w:p w14:paraId="4344EBDF">
      <w:pPr>
        <w:spacing w:after="40"/>
        <w:jc w:val="center"/>
      </w:pPr>
      <w:r>
        <w:rPr>
          <w:b/>
          <w:color w:val="E8660A"/>
          <w:sz w:val="26"/>
        </w:rPr>
        <w:t>FORWARD DEPLOYED AI ENGINEERING</w:t>
      </w:r>
    </w:p>
    <w:p w14:paraId="70B292A3">
      <w:pPr>
        <w:spacing w:after="520"/>
        <w:jc w:val="center"/>
      </w:pPr>
      <w:r>
        <w:rPr>
          <w:color w:val="4A4A63"/>
          <w:sz w:val="19"/>
        </w:rPr>
        <w:t>Capstone Project</w:t>
      </w:r>
    </w:p>
    <w:p w14:paraId="3C82A371">
      <w:pPr>
        <w:spacing w:after="120"/>
        <w:jc w:val="center"/>
      </w:pPr>
      <w:r>
        <w:rPr>
          <w:b/>
          <w:color w:val="1A1A2E"/>
          <w:sz w:val="60"/>
        </w:rPr>
        <w:t>Stage Two: Requirements</w:t>
      </w:r>
    </w:p>
    <w:p w14:paraId="4E584B1B">
      <w:pPr>
        <w:pBdr>
          <w:bottom w:val="single" w:color="E8660A" w:sz="10" w:space="6"/>
        </w:pBdr>
        <w:spacing w:after="280"/>
        <w:jc w:val="center"/>
      </w:pPr>
      <w:r>
        <w:rPr>
          <w:color w:val="E8660A"/>
          <w:sz w:val="26"/>
        </w:rPr>
        <w:t>The product requirements document you write from your findings</w:t>
      </w:r>
    </w:p>
    <w:p w14:paraId="6281D93B">
      <w:pPr>
        <w:spacing w:after="400"/>
        <w:jc w:val="center"/>
      </w:pPr>
      <w:r>
        <w:rPr>
          <w:i/>
          <w:color w:val="4A4A63"/>
          <w:sz w:val="21"/>
        </w:rPr>
        <w:t>Everything here must trace back to your discovery workbook. A requirement that</w:t>
      </w:r>
      <w:r>
        <w:rPr>
          <w:i/>
          <w:color w:val="4A4A63"/>
          <w:sz w:val="21"/>
        </w:rPr>
        <w:br w:type="textWrapping"/>
      </w:r>
      <w:r>
        <w:rPr>
          <w:i/>
          <w:color w:val="4A4A63"/>
          <w:sz w:val="21"/>
        </w:rPr>
        <w:t>cannot be traced is a preference, and preferences do not belong in a PRD.</w:t>
      </w:r>
    </w:p>
    <w:tbl>
      <w:tblPr>
        <w:tblStyle w:val="12"/>
        <w:tblW w:w="0" w:type="auto"/>
        <w:jc w:val="center"/>
        <w:tblLayout w:type="autofit"/>
        <w:tblCellMar>
          <w:top w:w="0" w:type="dxa"/>
          <w:left w:w="108" w:type="dxa"/>
          <w:bottom w:w="0" w:type="dxa"/>
          <w:right w:w="108" w:type="dxa"/>
        </w:tblCellMar>
      </w:tblPr>
      <w:tblGrid>
        <w:gridCol w:w="6624"/>
      </w:tblGrid>
      <w:tr w14:paraId="368CEEAB">
        <w:trPr>
          <w:jc w:val="center"/>
        </w:trPr>
        <w:tc>
          <w:tcPr>
            <w:tcW w:w="6624" w:type="dxa"/>
            <w:tcBorders>
              <w:top w:val="nil"/>
              <w:left w:val="nil"/>
              <w:bottom w:val="nil"/>
              <w:right w:val="nil"/>
            </w:tcBorders>
            <w:shd w:val="clear" w:color="auto" w:fill="1A1A2E"/>
          </w:tcPr>
          <w:p w14:paraId="473771BB">
            <w:pPr>
              <w:jc w:val="center"/>
            </w:pPr>
            <w:r>
              <w:rPr>
                <w:b/>
                <w:color w:val="FFFFFF"/>
                <w:sz w:val="20"/>
              </w:rPr>
              <w:t>WEEK ONE  ·  DAYS FOUR AND FIVE</w:t>
            </w:r>
          </w:p>
        </w:tc>
      </w:tr>
    </w:tbl>
    <w:p w14:paraId="1960652A">
      <w:r>
        <w:br w:type="page"/>
      </w:r>
    </w:p>
    <w:p w14:paraId="61F18BD0">
      <w:pPr>
        <w:pBdr>
          <w:bottom w:val="single" w:color="E8660A" w:sz="8" w:space="6"/>
        </w:pBdr>
        <w:spacing w:before="440" w:after="60"/>
      </w:pPr>
      <w:r>
        <w:rPr>
          <w:b/>
          <w:color w:val="1A1A2E"/>
          <w:sz w:val="34"/>
        </w:rPr>
        <w:t>What this document is and why it matters</w:t>
      </w:r>
    </w:p>
    <w:p w14:paraId="16FD356C">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14:paraId="6BDD709E">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14:paraId="3F7074CF">
      <w:pPr>
        <w:spacing w:before="200" w:after="60"/>
        <w:jc w:val="center"/>
      </w:pPr>
      <w:r>
        <w:drawing>
          <wp:inline distT="0" distB="0" distL="114300" distR="114300">
            <wp:extent cx="6035040" cy="2517140"/>
            <wp:effectExtent l="0" t="0" r="1016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17289"/>
                    </a:xfrm>
                    <a:prstGeom prst="rect">
                      <a:avLst/>
                    </a:prstGeom>
                  </pic:spPr>
                </pic:pic>
              </a:graphicData>
            </a:graphic>
          </wp:inline>
        </w:drawing>
      </w:r>
    </w:p>
    <w:p w14:paraId="48FE0BBE">
      <w:pPr>
        <w:spacing w:after="240"/>
        <w:jc w:val="center"/>
      </w:pPr>
      <w:r>
        <w:rPr>
          <w:i/>
          <w:color w:val="4A4A63"/>
          <w:sz w:val="17"/>
        </w:rPr>
        <w:t>Figure 1. The requirements document is expected to change once building starts.</w:t>
      </w:r>
    </w:p>
    <w:p w14:paraId="15A7C8C2">
      <w:r>
        <w:br w:type="page"/>
      </w:r>
    </w:p>
    <w:p w14:paraId="00DF3020">
      <w:pPr>
        <w:pBdr>
          <w:bottom w:val="single" w:color="E8660A" w:sz="8" w:space="6"/>
        </w:pBdr>
        <w:spacing w:before="440" w:after="60"/>
      </w:pPr>
      <w:r>
        <w:rPr>
          <w:b/>
          <w:color w:val="E8660A"/>
          <w:sz w:val="34"/>
        </w:rPr>
        <w:t xml:space="preserve">1   </w:t>
      </w:r>
      <w:r>
        <w:rPr>
          <w:b/>
          <w:color w:val="1A1A2E"/>
          <w:sz w:val="34"/>
        </w:rPr>
        <w:t>Document control</w:t>
      </w:r>
    </w:p>
    <w:tbl>
      <w:tblPr>
        <w:tblStyle w:val="12"/>
        <w:tblW w:w="0" w:type="auto"/>
        <w:jc w:val="center"/>
        <w:tblLayout w:type="fixed"/>
        <w:tblCellMar>
          <w:top w:w="0" w:type="dxa"/>
          <w:left w:w="108" w:type="dxa"/>
          <w:bottom w:w="0" w:type="dxa"/>
          <w:right w:w="108" w:type="dxa"/>
        </w:tblCellMar>
      </w:tblPr>
      <w:tblGrid>
        <w:gridCol w:w="4824"/>
        <w:gridCol w:w="4824"/>
      </w:tblGrid>
      <w:tr w14:paraId="5603CBF2">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E8660A"/>
          </w:tcPr>
          <w:p w14:paraId="1A630250">
            <w:pPr>
              <w:spacing w:before="60" w:after="60"/>
            </w:pPr>
            <w:r>
              <w:rPr>
                <w:b/>
                <w:color w:val="FFFFFF"/>
                <w:sz w:val="19"/>
              </w:rPr>
              <w:t>Field</w:t>
            </w:r>
          </w:p>
        </w:tc>
        <w:tc>
          <w:tcPr>
            <w:tcW w:w="6768" w:type="dxa"/>
            <w:tcBorders>
              <w:top w:val="single" w:color="D9D9E0" w:sz="6" w:space="0"/>
              <w:left w:val="single" w:color="D9D9E0" w:sz="6" w:space="0"/>
              <w:bottom w:val="single" w:color="D9D9E0" w:sz="6" w:space="0"/>
              <w:right w:val="single" w:color="D9D9E0" w:sz="6" w:space="0"/>
            </w:tcBorders>
            <w:shd w:val="clear" w:color="auto" w:fill="E8660A"/>
          </w:tcPr>
          <w:p w14:paraId="59FA855C">
            <w:pPr>
              <w:spacing w:before="60" w:after="60"/>
            </w:pPr>
            <w:r>
              <w:rPr>
                <w:b/>
                <w:color w:val="FFFFFF"/>
                <w:sz w:val="19"/>
              </w:rPr>
              <w:t>Value</w:t>
            </w:r>
          </w:p>
        </w:tc>
      </w:tr>
      <w:tr w14:paraId="351C7CFB">
        <w:trPr>
          <w:jc w:val="center"/>
        </w:trPr>
        <w:tc>
          <w:tcPr>
            <w:tcW w:w="2880" w:type="dxa"/>
            <w:tcBorders>
              <w:top w:val="single" w:color="D9D9E0" w:sz="6" w:space="0"/>
              <w:left w:val="single" w:color="D9D9E0" w:sz="6" w:space="0"/>
              <w:bottom w:val="single" w:color="D9D9E0" w:sz="6" w:space="0"/>
              <w:right w:val="single" w:color="D9D9E0" w:sz="6" w:space="0"/>
            </w:tcBorders>
          </w:tcPr>
          <w:p w14:paraId="1C374840">
            <w:pPr>
              <w:spacing w:before="50" w:after="50"/>
            </w:pPr>
            <w:r>
              <w:rPr>
                <w:sz w:val="18"/>
              </w:rPr>
              <w:t>Version</w:t>
            </w:r>
          </w:p>
        </w:tc>
        <w:tc>
          <w:tcPr>
            <w:tcW w:w="6768" w:type="dxa"/>
            <w:tcBorders>
              <w:top w:val="single" w:color="D9D9E0" w:sz="6" w:space="0"/>
              <w:left w:val="single" w:color="D9D9E0" w:sz="6" w:space="0"/>
              <w:bottom w:val="single" w:color="D9D9E0" w:sz="6" w:space="0"/>
              <w:right w:val="single" w:color="D9D9E0" w:sz="6" w:space="0"/>
            </w:tcBorders>
          </w:tcPr>
          <w:p w14:paraId="32E3A405">
            <w:r>
              <w:t>1.0</w:t>
            </w:r>
          </w:p>
        </w:tc>
      </w:tr>
      <w:tr w14:paraId="75BA5B62">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5D944C40">
            <w:pPr>
              <w:spacing w:before="50" w:after="50"/>
            </w:pPr>
            <w:r>
              <w:rPr>
                <w:sz w:val="18"/>
              </w:rPr>
              <w:t>Written by</w:t>
            </w:r>
          </w:p>
        </w:tc>
        <w:tc>
          <w:tcPr>
            <w:tcW w:w="6768" w:type="dxa"/>
            <w:tcBorders>
              <w:top w:val="single" w:color="D9D9E0" w:sz="6" w:space="0"/>
              <w:left w:val="single" w:color="D9D9E0" w:sz="6" w:space="0"/>
              <w:bottom w:val="single" w:color="D9D9E0" w:sz="6" w:space="0"/>
              <w:right w:val="single" w:color="D9D9E0" w:sz="6" w:space="0"/>
            </w:tcBorders>
            <w:shd w:val="clear" w:color="auto" w:fill="F4F4F7"/>
          </w:tcPr>
          <w:p w14:paraId="0841193F">
            <w:r>
              <w:t>Dhanush Varanasi</w:t>
            </w:r>
          </w:p>
        </w:tc>
      </w:tr>
      <w:tr w14:paraId="1EC90C1E">
        <w:trPr>
          <w:jc w:val="center"/>
        </w:trPr>
        <w:tc>
          <w:tcPr>
            <w:tcW w:w="2880" w:type="dxa"/>
            <w:tcBorders>
              <w:top w:val="single" w:color="D9D9E0" w:sz="6" w:space="0"/>
              <w:left w:val="single" w:color="D9D9E0" w:sz="6" w:space="0"/>
              <w:bottom w:val="single" w:color="D9D9E0" w:sz="6" w:space="0"/>
              <w:right w:val="single" w:color="D9D9E0" w:sz="6" w:space="0"/>
            </w:tcBorders>
          </w:tcPr>
          <w:p w14:paraId="24A12EC5">
            <w:pPr>
              <w:spacing w:before="50" w:after="50"/>
            </w:pPr>
            <w:r>
              <w:rPr>
                <w:sz w:val="18"/>
              </w:rPr>
              <w:t>Date</w:t>
            </w:r>
          </w:p>
        </w:tc>
        <w:tc>
          <w:tcPr>
            <w:tcW w:w="6768" w:type="dxa"/>
            <w:tcBorders>
              <w:top w:val="single" w:color="D9D9E0" w:sz="6" w:space="0"/>
              <w:left w:val="single" w:color="D9D9E0" w:sz="6" w:space="0"/>
              <w:bottom w:val="single" w:color="D9D9E0" w:sz="6" w:space="0"/>
              <w:right w:val="single" w:color="D9D9E0" w:sz="6" w:space="0"/>
            </w:tcBorders>
          </w:tcPr>
          <w:p w14:paraId="042A9C8D">
            <w:r>
              <w:t>2026-09-16</w:t>
            </w:r>
          </w:p>
        </w:tc>
      </w:tr>
      <w:tr w14:paraId="00A69737">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62B4D985">
            <w:pPr>
              <w:spacing w:before="50" w:after="50"/>
            </w:pPr>
            <w:r>
              <w:rPr>
                <w:sz w:val="18"/>
              </w:rPr>
              <w:t>Status</w:t>
            </w:r>
          </w:p>
        </w:tc>
        <w:tc>
          <w:tcPr>
            <w:tcW w:w="6768" w:type="dxa"/>
            <w:tcBorders>
              <w:top w:val="single" w:color="D9D9E0" w:sz="6" w:space="0"/>
              <w:left w:val="single" w:color="D9D9E0" w:sz="6" w:space="0"/>
              <w:bottom w:val="single" w:color="D9D9E0" w:sz="6" w:space="0"/>
              <w:right w:val="single" w:color="D9D9E0" w:sz="6" w:space="0"/>
            </w:tcBorders>
            <w:shd w:val="clear" w:color="auto" w:fill="F4F4F7"/>
          </w:tcPr>
          <w:p w14:paraId="2E6B4271">
            <w:pPr>
              <w:rPr>
                <w:rFonts w:hint="default"/>
                <w:lang w:val="en-US"/>
              </w:rPr>
            </w:pPr>
            <w:r>
              <w:t>v1, written before the build. The compulsory revision was carried out once evaluation results existed</w:t>
            </w:r>
            <w:r>
              <w:rPr>
                <w:rFonts w:hint="default"/>
                <w:lang w:val="en-US"/>
              </w:rPr>
              <w:t>.</w:t>
            </w:r>
          </w:p>
        </w:tc>
      </w:tr>
      <w:tr w14:paraId="12E19B0F">
        <w:trPr>
          <w:jc w:val="center"/>
        </w:trPr>
        <w:tc>
          <w:tcPr>
            <w:tcW w:w="2880" w:type="dxa"/>
            <w:tcBorders>
              <w:top w:val="single" w:color="D9D9E0" w:sz="6" w:space="0"/>
              <w:left w:val="single" w:color="D9D9E0" w:sz="6" w:space="0"/>
              <w:bottom w:val="single" w:color="D9D9E0" w:sz="6" w:space="0"/>
              <w:right w:val="single" w:color="D9D9E0" w:sz="6" w:space="0"/>
            </w:tcBorders>
          </w:tcPr>
          <w:p w14:paraId="097942D0">
            <w:pPr>
              <w:spacing w:before="50" w:after="50"/>
            </w:pPr>
            <w:r>
              <w:rPr>
                <w:sz w:val="18"/>
              </w:rPr>
              <w:t>Approved by</w:t>
            </w:r>
          </w:p>
        </w:tc>
        <w:tc>
          <w:tcPr>
            <w:tcW w:w="6768" w:type="dxa"/>
            <w:tcBorders>
              <w:top w:val="single" w:color="D9D9E0" w:sz="6" w:space="0"/>
              <w:left w:val="single" w:color="D9D9E0" w:sz="6" w:space="0"/>
              <w:bottom w:val="single" w:color="D9D9E0" w:sz="6" w:space="0"/>
              <w:right w:val="single" w:color="D9D9E0" w:sz="6" w:space="0"/>
            </w:tcBorders>
          </w:tcPr>
          <w:p w14:paraId="4C9C687D">
            <w:r>
              <w:t>Self (individual project)</w:t>
            </w:r>
          </w:p>
        </w:tc>
      </w:tr>
    </w:tbl>
    <w:p w14:paraId="7ABDEB96">
      <w:pPr>
        <w:spacing w:after="80"/>
      </w:pPr>
    </w:p>
    <w:p w14:paraId="11E65ABB">
      <w:pPr>
        <w:pBdr>
          <w:bottom w:val="single" w:color="E8660A" w:sz="8" w:space="6"/>
        </w:pBdr>
        <w:spacing w:before="440" w:after="60"/>
      </w:pPr>
      <w:r>
        <w:rPr>
          <w:b/>
          <w:color w:val="E8660A"/>
          <w:sz w:val="34"/>
        </w:rPr>
        <w:t xml:space="preserve">2   </w:t>
      </w:r>
      <w:r>
        <w:rPr>
          <w:b/>
          <w:color w:val="1A1A2E"/>
          <w:sz w:val="34"/>
        </w:rPr>
        <w:t>The problem in one paragraph</w:t>
      </w:r>
    </w:p>
    <w:p w14:paraId="1AC31AF1">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Style w:val="12"/>
        <w:tblW w:w="0" w:type="auto"/>
        <w:jc w:val="center"/>
        <w:tblLayout w:type="fixed"/>
        <w:tblCellMar>
          <w:top w:w="0" w:type="dxa"/>
          <w:left w:w="108" w:type="dxa"/>
          <w:bottom w:w="0" w:type="dxa"/>
          <w:right w:w="108" w:type="dxa"/>
        </w:tblCellMar>
      </w:tblPr>
      <w:tblGrid>
        <w:gridCol w:w="9648"/>
      </w:tblGrid>
      <w:tr w14:paraId="3385621E">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E8660A"/>
          </w:tcPr>
          <w:p w14:paraId="15398DA1">
            <w:pPr>
              <w:spacing w:before="60" w:after="60"/>
            </w:pPr>
            <w:r>
              <w:rPr>
                <w:b/>
                <w:color w:val="FFFFFF"/>
                <w:sz w:val="19"/>
              </w:rPr>
              <w:t>Problem statement</w:t>
            </w:r>
          </w:p>
        </w:tc>
      </w:tr>
      <w:tr w14:paraId="37E8F036">
        <w:trPr>
          <w:jc w:val="center"/>
        </w:trPr>
        <w:tc>
          <w:tcPr>
            <w:tcW w:w="9648" w:type="dxa"/>
            <w:tcBorders>
              <w:top w:val="single" w:color="D9D9E0" w:sz="6" w:space="0"/>
              <w:left w:val="single" w:color="D9D9E0" w:sz="6" w:space="0"/>
              <w:bottom w:val="single" w:color="D9D9E0" w:sz="6" w:space="0"/>
              <w:right w:val="single" w:color="D9D9E0" w:sz="6" w:space="0"/>
            </w:tcBorders>
          </w:tcPr>
          <w:p w14:paraId="6848CBA3">
            <w:r>
              <w:t>CloudServe's support failure isn't a shortage of answers or of agents -- it's that agents can't reliably find answers that already exist (Sofia, Ines), and escalations arrive as raw forwards with no indication of what was already tried or how confident anyone was (Daniel). A chatbot that answers customers directly doesn't fix either of those. A system that retrieves and grounds answers against the real documentation with calibrated confidence, auto-resolves what it can defend, and escalates the rest with a draft, sources, and an explicit statement of uncertainty attached -- is what would have actually helped Sofia and Daniel, not just Marcus's response-time number.</w:t>
            </w:r>
          </w:p>
        </w:tc>
      </w:tr>
      <w:tr w14:paraId="1648D7B3">
        <w:trPr>
          <w:jc w:val="center"/>
        </w:trPr>
        <w:tc>
          <w:tcPr>
            <w:tcW w:w="9648" w:type="dxa"/>
            <w:tcBorders>
              <w:top w:val="single" w:color="D9D9E0" w:sz="6" w:space="0"/>
              <w:left w:val="single" w:color="D9D9E0" w:sz="6" w:space="0"/>
              <w:bottom w:val="single" w:color="D9D9E0" w:sz="6" w:space="0"/>
              <w:right w:val="single" w:color="D9D9E0" w:sz="6" w:space="0"/>
            </w:tcBorders>
            <w:shd w:val="clear" w:color="auto" w:fill="F4F4F7"/>
          </w:tcPr>
          <w:p w14:paraId="2F8437D1">
            <w:pPr>
              <w:spacing w:before="50" w:after="50"/>
            </w:pPr>
          </w:p>
        </w:tc>
      </w:tr>
    </w:tbl>
    <w:p w14:paraId="0026B376">
      <w:pPr>
        <w:spacing w:after="80"/>
      </w:pPr>
    </w:p>
    <w:p w14:paraId="12D6086D">
      <w:pPr>
        <w:spacing w:after="80"/>
      </w:pPr>
    </w:p>
    <w:p w14:paraId="5F5E72A7">
      <w:pPr>
        <w:spacing w:after="80"/>
      </w:pPr>
    </w:p>
    <w:p w14:paraId="79F363BA">
      <w:pPr>
        <w:spacing w:after="80"/>
      </w:pPr>
    </w:p>
    <w:p w14:paraId="7E5DC509">
      <w:pPr>
        <w:spacing w:after="80"/>
      </w:pPr>
    </w:p>
    <w:p w14:paraId="57A513AF">
      <w:pPr>
        <w:spacing w:after="80"/>
      </w:pPr>
    </w:p>
    <w:p w14:paraId="2B69283E">
      <w:pPr>
        <w:spacing w:after="80"/>
      </w:pPr>
    </w:p>
    <w:p w14:paraId="7B235521">
      <w:pPr>
        <w:pBdr>
          <w:bottom w:val="single" w:color="E8660A" w:sz="8" w:space="6"/>
        </w:pBdr>
        <w:spacing w:before="440" w:after="60"/>
      </w:pPr>
      <w:r>
        <w:rPr>
          <w:b/>
          <w:color w:val="E8660A"/>
          <w:sz w:val="34"/>
        </w:rPr>
        <w:t xml:space="preserve">3   </w:t>
      </w:r>
      <w:r>
        <w:rPr>
          <w:b/>
          <w:color w:val="1A1A2E"/>
          <w:sz w:val="34"/>
        </w:rPr>
        <w:t>Who this is for</w:t>
      </w:r>
    </w:p>
    <w:p w14:paraId="33BA3E05">
      <w:pPr>
        <w:spacing w:after="140"/>
      </w:pPr>
      <w:r>
        <w:rPr>
          <w:i w:val="0"/>
          <w:sz w:val="21"/>
        </w:rPr>
        <w:t>Describe each group of users separately. A requirement that serves everybody usually serves nobody particularly well.</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350B0210">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27A6A3DD">
            <w:pPr>
              <w:spacing w:before="60" w:after="60"/>
            </w:pPr>
            <w:r>
              <w:rPr>
                <w:b/>
                <w:color w:val="FFFFFF"/>
                <w:sz w:val="17"/>
              </w:rPr>
              <w:t>User group</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7F7B6918">
            <w:pPr>
              <w:spacing w:before="60" w:after="60"/>
            </w:pPr>
            <w:r>
              <w:rPr>
                <w:b/>
                <w:color w:val="FFFFFF"/>
                <w:sz w:val="17"/>
              </w:rPr>
              <w:t>What they need from this system</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67B4E150">
            <w:pPr>
              <w:spacing w:before="60" w:after="60"/>
            </w:pPr>
            <w:r>
              <w:rPr>
                <w:b/>
                <w:color w:val="FFFFFF"/>
                <w:sz w:val="17"/>
              </w:rPr>
              <w:t>What they currently do instead</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03666FFE">
            <w:pPr>
              <w:spacing w:before="60" w:after="60"/>
            </w:pPr>
            <w:r>
              <w:rPr>
                <w:b/>
                <w:color w:val="FFFFFF"/>
                <w:sz w:val="17"/>
              </w:rPr>
              <w:t>How you will know it worked for them</w:t>
            </w:r>
          </w:p>
        </w:tc>
      </w:tr>
      <w:tr w14:paraId="7D100E5A">
        <w:trPr>
          <w:jc w:val="center"/>
        </w:trPr>
        <w:tc>
          <w:tcPr>
            <w:tcW w:w="2412" w:type="dxa"/>
            <w:tcBorders>
              <w:top w:val="single" w:color="D9D9E0" w:sz="6" w:space="0"/>
              <w:left w:val="single" w:color="D9D9E0" w:sz="6" w:space="0"/>
              <w:bottom w:val="single" w:color="D9D9E0" w:sz="6" w:space="0"/>
              <w:right w:val="single" w:color="D9D9E0" w:sz="6" w:space="0"/>
            </w:tcBorders>
          </w:tcPr>
          <w:p w14:paraId="3C4ADE72">
            <w:pPr>
              <w:spacing w:before="50" w:after="50"/>
            </w:pPr>
            <w:r>
              <w:rPr>
                <w:sz w:val="16"/>
              </w:rPr>
              <w:t>Customers raising tickets</w:t>
            </w:r>
          </w:p>
        </w:tc>
        <w:tc>
          <w:tcPr>
            <w:tcW w:w="2412" w:type="dxa"/>
            <w:tcBorders>
              <w:top w:val="single" w:color="D9D9E0" w:sz="6" w:space="0"/>
              <w:left w:val="single" w:color="D9D9E0" w:sz="6" w:space="0"/>
              <w:bottom w:val="single" w:color="D9D9E0" w:sz="6" w:space="0"/>
              <w:right w:val="single" w:color="D9D9E0" w:sz="6" w:space="0"/>
            </w:tcBorders>
          </w:tcPr>
          <w:p w14:paraId="1C68DCFD">
            <w:r>
              <w:t>Fast answers when low-stakes; honesty about what's automated so they can calibrate trust (Ravi)</w:t>
            </w:r>
          </w:p>
        </w:tc>
        <w:tc>
          <w:tcPr>
            <w:tcW w:w="2412" w:type="dxa"/>
            <w:tcBorders>
              <w:top w:val="single" w:color="D9D9E0" w:sz="6" w:space="0"/>
              <w:left w:val="single" w:color="D9D9E0" w:sz="6" w:space="0"/>
              <w:bottom w:val="single" w:color="D9D9E0" w:sz="6" w:space="0"/>
              <w:right w:val="single" w:color="D9D9E0" w:sz="6" w:space="0"/>
            </w:tcBorders>
          </w:tcPr>
          <w:p w14:paraId="6278F35D">
            <w:r>
              <w:t>Wait 8-12h, or self-serve against the docs and often get the same answer later having burned hours</w:t>
            </w:r>
          </w:p>
        </w:tc>
        <w:tc>
          <w:tcPr>
            <w:tcW w:w="2412" w:type="dxa"/>
            <w:tcBorders>
              <w:top w:val="single" w:color="D9D9E0" w:sz="6" w:space="0"/>
              <w:left w:val="single" w:color="D9D9E0" w:sz="6" w:space="0"/>
              <w:bottom w:val="single" w:color="D9D9E0" w:sz="6" w:space="0"/>
              <w:right w:val="single" w:color="D9D9E0" w:sz="6" w:space="0"/>
            </w:tcBorders>
          </w:tcPr>
          <w:p w14:paraId="1F7B42C9">
            <w:r>
              <w:t>Time-to-first-reply drops; customers know when a reply is automated</w:t>
            </w:r>
          </w:p>
        </w:tc>
      </w:tr>
      <w:tr w14:paraId="06456D64">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7926FBE6">
            <w:pPr>
              <w:spacing w:before="50" w:after="50"/>
            </w:pPr>
            <w:r>
              <w:rPr>
                <w:sz w:val="16"/>
              </w:rPr>
              <w:t>Tier one support agents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F026C75">
            <w:r>
              <w:t>Fewer from-scratch answers; when one does reach them, less time spent searching (Sofia)</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C3287A8">
            <w:r>
              <w:t>Keep a personal, unreviewed file of past answers because internal search doesn't work</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6A0EE23A">
            <w:r>
              <w:t>FCR rises; agents stop needing personal snippet files</w:t>
            </w:r>
          </w:p>
        </w:tc>
      </w:tr>
      <w:tr w14:paraId="3FD72614">
        <w:trPr>
          <w:jc w:val="center"/>
        </w:trPr>
        <w:tc>
          <w:tcPr>
            <w:tcW w:w="2412" w:type="dxa"/>
            <w:tcBorders>
              <w:top w:val="single" w:color="D9D9E0" w:sz="6" w:space="0"/>
              <w:left w:val="single" w:color="D9D9E0" w:sz="6" w:space="0"/>
              <w:bottom w:val="single" w:color="D9D9E0" w:sz="6" w:space="0"/>
              <w:right w:val="single" w:color="D9D9E0" w:sz="6" w:space="0"/>
            </w:tcBorders>
          </w:tcPr>
          <w:p w14:paraId="60710B2D">
            <w:pPr>
              <w:spacing w:before="50" w:after="50"/>
            </w:pPr>
            <w:r>
              <w:rPr>
                <w:sz w:val="16"/>
              </w:rPr>
              <w:t>Tier two and specialist agents</w:t>
            </w:r>
          </w:p>
        </w:tc>
        <w:tc>
          <w:tcPr>
            <w:tcW w:w="2412" w:type="dxa"/>
            <w:tcBorders>
              <w:top w:val="single" w:color="D9D9E0" w:sz="6" w:space="0"/>
              <w:left w:val="single" w:color="D9D9E0" w:sz="6" w:space="0"/>
              <w:bottom w:val="single" w:color="D9D9E0" w:sz="6" w:space="0"/>
              <w:right w:val="single" w:color="D9D9E0" w:sz="6" w:space="0"/>
            </w:tcBorders>
          </w:tcPr>
          <w:p w14:paraId="07516F6E">
            <w:r>
              <w:t>Escalations that arrive with a summary, retrieved sources, and a stated point of low confidence (Daniel)</w:t>
            </w:r>
          </w:p>
        </w:tc>
        <w:tc>
          <w:tcPr>
            <w:tcW w:w="2412" w:type="dxa"/>
            <w:tcBorders>
              <w:top w:val="single" w:color="D9D9E0" w:sz="6" w:space="0"/>
              <w:left w:val="single" w:color="D9D9E0" w:sz="6" w:space="0"/>
              <w:bottom w:val="single" w:color="D9D9E0" w:sz="6" w:space="0"/>
              <w:right w:val="single" w:color="D9D9E0" w:sz="6" w:space="0"/>
            </w:tcBorders>
          </w:tcPr>
          <w:p w14:paraId="7B29AA57">
            <w:r>
              <w:t>Read the whole thread from scratch and re-ask the customer what they were already asked</w:t>
            </w:r>
          </w:p>
        </w:tc>
        <w:tc>
          <w:tcPr>
            <w:tcW w:w="2412" w:type="dxa"/>
            <w:tcBorders>
              <w:top w:val="single" w:color="D9D9E0" w:sz="6" w:space="0"/>
              <w:left w:val="single" w:color="D9D9E0" w:sz="6" w:space="0"/>
              <w:bottom w:val="single" w:color="D9D9E0" w:sz="6" w:space="0"/>
              <w:right w:val="single" w:color="D9D9E0" w:sz="6" w:space="0"/>
            </w:tcBorders>
          </w:tcPr>
          <w:p w14:paraId="238D92F1">
            <w:r>
              <w:t>Daniel's self-reported 'twice as fast' on escalations that do reach him</w:t>
            </w:r>
          </w:p>
        </w:tc>
      </w:tr>
      <w:tr w14:paraId="5FD60805">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AB5EA31">
            <w:pPr>
              <w:spacing w:before="50" w:after="50"/>
            </w:pPr>
            <w:r>
              <w:rPr>
                <w:sz w:val="16"/>
              </w:rPr>
              <w:t>The head of support</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681A9D2A">
            <w:r>
              <w:t>Response time and FCR to move without more headcount; an explainable system ahead of an autumn compliance review (Marcus)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4E5AC5E7">
            <w:r>
              <w:t>Reports a red response-time number to the executive team every quarter with no lever to pull</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F376FBF">
            <w:r>
              <w:t>Time-to-first-reply and FCR move toward target; every decision has a logged reason</w:t>
            </w:r>
          </w:p>
        </w:tc>
      </w:tr>
    </w:tbl>
    <w:p w14:paraId="4F7672DC">
      <w:pPr>
        <w:spacing w:after="80"/>
      </w:pPr>
    </w:p>
    <w:p w14:paraId="7B06FBA8">
      <w:r>
        <w:br w:type="page"/>
      </w:r>
    </w:p>
    <w:p w14:paraId="1824DA3A">
      <w:pPr>
        <w:pBdr>
          <w:bottom w:val="single" w:color="E8660A" w:sz="8" w:space="6"/>
        </w:pBdr>
        <w:spacing w:before="440" w:after="60"/>
      </w:pPr>
      <w:r>
        <w:rPr>
          <w:b/>
          <w:color w:val="E8660A"/>
          <w:sz w:val="34"/>
        </w:rPr>
        <w:t xml:space="preserve">4   </w:t>
      </w:r>
      <w:r>
        <w:rPr>
          <w:b/>
          <w:color w:val="1A1A2E"/>
          <w:sz w:val="34"/>
        </w:rPr>
        <w:t>Functional requirements</w:t>
      </w:r>
    </w:p>
    <w:p w14:paraId="1573E3D5">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14:paraId="43CDCFBD">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Style w:val="12"/>
        <w:tblW w:w="0" w:type="auto"/>
        <w:jc w:val="center"/>
        <w:tblLayout w:type="fixed"/>
        <w:tblCellMar>
          <w:top w:w="0" w:type="dxa"/>
          <w:left w:w="108" w:type="dxa"/>
          <w:bottom w:w="0" w:type="dxa"/>
          <w:right w:w="108" w:type="dxa"/>
        </w:tblCellMar>
      </w:tblPr>
      <w:tblGrid>
        <w:gridCol w:w="1930"/>
        <w:gridCol w:w="1930"/>
        <w:gridCol w:w="1930"/>
        <w:gridCol w:w="1930"/>
        <w:gridCol w:w="1930"/>
      </w:tblGrid>
      <w:tr w14:paraId="1DA4D501">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E8660A"/>
          </w:tcPr>
          <w:p w14:paraId="588EC0D5">
            <w:pPr>
              <w:spacing w:before="60" w:after="60"/>
            </w:pPr>
            <w:r>
              <w:rPr>
                <w:b/>
                <w:color w:val="FFFFFF"/>
                <w:sz w:val="17"/>
              </w:rPr>
              <w:t>ID</w:t>
            </w:r>
          </w:p>
        </w:tc>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79543FB7">
            <w:pPr>
              <w:spacing w:before="60" w:after="60"/>
            </w:pPr>
            <w:r>
              <w:rPr>
                <w:b/>
                <w:color w:val="FFFFFF"/>
                <w:sz w:val="17"/>
              </w:rPr>
              <w:t>Requirement</w:t>
            </w:r>
          </w:p>
        </w:tc>
        <w:tc>
          <w:tcPr>
            <w:tcW w:w="936" w:type="dxa"/>
            <w:tcBorders>
              <w:top w:val="single" w:color="D9D9E0" w:sz="6" w:space="0"/>
              <w:left w:val="single" w:color="D9D9E0" w:sz="6" w:space="0"/>
              <w:bottom w:val="single" w:color="D9D9E0" w:sz="6" w:space="0"/>
              <w:right w:val="single" w:color="D9D9E0" w:sz="6" w:space="0"/>
            </w:tcBorders>
            <w:shd w:val="clear" w:color="auto" w:fill="E8660A"/>
          </w:tcPr>
          <w:p w14:paraId="52988BC7">
            <w:pPr>
              <w:spacing w:before="60" w:after="60"/>
            </w:pPr>
            <w:r>
              <w:rPr>
                <w:b/>
                <w:color w:val="FFFFFF"/>
                <w:sz w:val="17"/>
              </w:rPr>
              <w:t>Priority</w:t>
            </w:r>
          </w:p>
        </w:tc>
        <w:tc>
          <w:tcPr>
            <w:tcW w:w="1872" w:type="dxa"/>
            <w:tcBorders>
              <w:top w:val="single" w:color="D9D9E0" w:sz="6" w:space="0"/>
              <w:left w:val="single" w:color="D9D9E0" w:sz="6" w:space="0"/>
              <w:bottom w:val="single" w:color="D9D9E0" w:sz="6" w:space="0"/>
              <w:right w:val="single" w:color="D9D9E0" w:sz="6" w:space="0"/>
            </w:tcBorders>
            <w:shd w:val="clear" w:color="auto" w:fill="E8660A"/>
          </w:tcPr>
          <w:p w14:paraId="13ABB6D6">
            <w:pPr>
              <w:spacing w:before="60" w:after="60"/>
            </w:pPr>
            <w:r>
              <w:rPr>
                <w:b/>
                <w:color w:val="FFFFFF"/>
                <w:sz w:val="17"/>
              </w:rPr>
              <w:t>Discovery evidence</w:t>
            </w:r>
          </w:p>
        </w:tc>
        <w:tc>
          <w:tcPr>
            <w:tcW w:w="3024" w:type="dxa"/>
            <w:tcBorders>
              <w:top w:val="single" w:color="D9D9E0" w:sz="6" w:space="0"/>
              <w:left w:val="single" w:color="D9D9E0" w:sz="6" w:space="0"/>
              <w:bottom w:val="single" w:color="D9D9E0" w:sz="6" w:space="0"/>
              <w:right w:val="single" w:color="D9D9E0" w:sz="6" w:space="0"/>
            </w:tcBorders>
            <w:shd w:val="clear" w:color="auto" w:fill="E8660A"/>
          </w:tcPr>
          <w:p w14:paraId="04FA46C5">
            <w:pPr>
              <w:spacing w:before="60" w:after="60"/>
            </w:pPr>
            <w:r>
              <w:rPr>
                <w:b/>
                <w:color w:val="FFFFFF"/>
                <w:sz w:val="17"/>
              </w:rPr>
              <w:t>Acceptance criteria</w:t>
            </w:r>
          </w:p>
        </w:tc>
      </w:tr>
      <w:tr w14:paraId="2B486788">
        <w:trPr>
          <w:jc w:val="center"/>
        </w:trPr>
        <w:tc>
          <w:tcPr>
            <w:tcW w:w="792" w:type="dxa"/>
            <w:tcBorders>
              <w:top w:val="single" w:color="D9D9E0" w:sz="6" w:space="0"/>
              <w:left w:val="single" w:color="D9D9E0" w:sz="6" w:space="0"/>
              <w:bottom w:val="single" w:color="D9D9E0" w:sz="6" w:space="0"/>
              <w:right w:val="single" w:color="D9D9E0" w:sz="6" w:space="0"/>
            </w:tcBorders>
          </w:tcPr>
          <w:p w14:paraId="1EA9FC07">
            <w:r>
              <w:t>FR-01</w:t>
            </w:r>
          </w:p>
        </w:tc>
        <w:tc>
          <w:tcPr>
            <w:tcW w:w="3024" w:type="dxa"/>
            <w:tcBorders>
              <w:top w:val="single" w:color="D9D9E0" w:sz="6" w:space="0"/>
              <w:left w:val="single" w:color="D9D9E0" w:sz="6" w:space="0"/>
              <w:bottom w:val="single" w:color="D9D9E0" w:sz="6" w:space="0"/>
              <w:right w:val="single" w:color="D9D9E0" w:sz="6" w:space="0"/>
            </w:tcBorders>
          </w:tcPr>
          <w:p w14:paraId="18EB9757">
            <w:r>
              <w:t>Ingest tickets from all four channels (email, chat, docs_comment, forum) into one normalised representation, preserving original text and channel</w:t>
            </w:r>
          </w:p>
        </w:tc>
        <w:tc>
          <w:tcPr>
            <w:tcW w:w="936" w:type="dxa"/>
            <w:tcBorders>
              <w:top w:val="single" w:color="D9D9E0" w:sz="6" w:space="0"/>
              <w:left w:val="single" w:color="D9D9E0" w:sz="6" w:space="0"/>
              <w:bottom w:val="single" w:color="D9D9E0" w:sz="6" w:space="0"/>
              <w:right w:val="single" w:color="D9D9E0" w:sz="6" w:space="0"/>
            </w:tcBorders>
          </w:tcPr>
          <w:p w14:paraId="38C09493">
            <w:r>
              <w:t>Must</w:t>
            </w:r>
          </w:p>
        </w:tc>
        <w:tc>
          <w:tcPr>
            <w:tcW w:w="1872" w:type="dxa"/>
            <w:tcBorders>
              <w:top w:val="single" w:color="D9D9E0" w:sz="6" w:space="0"/>
              <w:left w:val="single" w:color="D9D9E0" w:sz="6" w:space="0"/>
              <w:bottom w:val="single" w:color="D9D9E0" w:sz="6" w:space="0"/>
              <w:right w:val="single" w:color="D9D9E0" w:sz="6" w:space="0"/>
            </w:tcBorders>
          </w:tcPr>
          <w:p w14:paraId="7AF9E17C">
            <w:r>
              <w:t>Discovery Sec 2 (channel split); Build Spec A2</w:t>
            </w:r>
          </w:p>
        </w:tc>
        <w:tc>
          <w:tcPr>
            <w:tcW w:w="3024" w:type="dxa"/>
            <w:tcBorders>
              <w:top w:val="single" w:color="D9D9E0" w:sz="6" w:space="0"/>
              <w:left w:val="single" w:color="D9D9E0" w:sz="6" w:space="0"/>
              <w:bottom w:val="single" w:color="D9D9E0" w:sz="6" w:space="0"/>
              <w:right w:val="single" w:color="D9D9E0" w:sz="6" w:space="0"/>
            </w:tcBorders>
          </w:tcPr>
          <w:p w14:paraId="21D5E70C">
            <w:r>
              <w:t>A ticket from each channel is passed in and handled without channel-specific breakage</w:t>
            </w:r>
          </w:p>
        </w:tc>
      </w:tr>
      <w:tr w14:paraId="6DDA7FC4">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6829230B">
            <w:r>
              <w:t>FR-02</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73FEBE8D">
            <w:r>
              <w:t>Classify every ticket against the real 22-class intent taxonomy</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66EA56B1">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5D8159C0">
            <w:r>
              <w:t>Dataset_Guide schema; Discovery Sec 2 (near-uniform intent distribution)</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53652B41">
            <w:r>
              <w:t>Output carries one of the 22 defined classes</w:t>
            </w:r>
          </w:p>
        </w:tc>
      </w:tr>
      <w:tr w14:paraId="6E8D32DA">
        <w:trPr>
          <w:jc w:val="center"/>
        </w:trPr>
        <w:tc>
          <w:tcPr>
            <w:tcW w:w="792" w:type="dxa"/>
            <w:tcBorders>
              <w:top w:val="single" w:color="D9D9E0" w:sz="6" w:space="0"/>
              <w:left w:val="single" w:color="D9D9E0" w:sz="6" w:space="0"/>
              <w:bottom w:val="single" w:color="D9D9E0" w:sz="6" w:space="0"/>
              <w:right w:val="single" w:color="D9D9E0" w:sz="6" w:space="0"/>
            </w:tcBorders>
          </w:tcPr>
          <w:p w14:paraId="7A4639F9">
            <w:r>
              <w:t>FR-03</w:t>
            </w:r>
          </w:p>
        </w:tc>
        <w:tc>
          <w:tcPr>
            <w:tcW w:w="3024" w:type="dxa"/>
            <w:tcBorders>
              <w:top w:val="single" w:color="D9D9E0" w:sz="6" w:space="0"/>
              <w:left w:val="single" w:color="D9D9E0" w:sz="6" w:space="0"/>
              <w:bottom w:val="single" w:color="D9D9E0" w:sz="6" w:space="0"/>
              <w:right w:val="single" w:color="D9D9E0" w:sz="6" w:space="0"/>
            </w:tcBorders>
          </w:tcPr>
          <w:p w14:paraId="0790ABEC">
            <w:r>
              <w:t>Attach a calibrated confidence score and up to 2 alternatives to every classification</w:t>
            </w:r>
          </w:p>
        </w:tc>
        <w:tc>
          <w:tcPr>
            <w:tcW w:w="936" w:type="dxa"/>
            <w:tcBorders>
              <w:top w:val="single" w:color="D9D9E0" w:sz="6" w:space="0"/>
              <w:left w:val="single" w:color="D9D9E0" w:sz="6" w:space="0"/>
              <w:bottom w:val="single" w:color="D9D9E0" w:sz="6" w:space="0"/>
              <w:right w:val="single" w:color="D9D9E0" w:sz="6" w:space="0"/>
            </w:tcBorders>
          </w:tcPr>
          <w:p w14:paraId="55E2EBAC">
            <w:r>
              <w:t>Must</w:t>
            </w:r>
          </w:p>
        </w:tc>
        <w:tc>
          <w:tcPr>
            <w:tcW w:w="1872" w:type="dxa"/>
            <w:tcBorders>
              <w:top w:val="single" w:color="D9D9E0" w:sz="6" w:space="0"/>
              <w:left w:val="single" w:color="D9D9E0" w:sz="6" w:space="0"/>
              <w:bottom w:val="single" w:color="D9D9E0" w:sz="6" w:space="0"/>
              <w:right w:val="single" w:color="D9D9E0" w:sz="6" w:space="0"/>
            </w:tcBorders>
          </w:tcPr>
          <w:p w14:paraId="2A278B84">
            <w:r>
              <w:t>Build Spec A3; Evaluation Framework calibration requirement</w:t>
            </w:r>
          </w:p>
        </w:tc>
        <w:tc>
          <w:tcPr>
            <w:tcW w:w="3024" w:type="dxa"/>
            <w:tcBorders>
              <w:top w:val="single" w:color="D9D9E0" w:sz="6" w:space="0"/>
              <w:left w:val="single" w:color="D9D9E0" w:sz="6" w:space="0"/>
              <w:bottom w:val="single" w:color="D9D9E0" w:sz="6" w:space="0"/>
              <w:right w:val="single" w:color="D9D9E0" w:sz="6" w:space="0"/>
            </w:tcBorders>
          </w:tcPr>
          <w:p w14:paraId="30F6FEDD">
            <w:r>
              <w:t>Confidence is numeric 0-1; calibration table shows stated vs. observed accuracy within 5 points</w:t>
            </w:r>
          </w:p>
        </w:tc>
      </w:tr>
      <w:tr w14:paraId="20DF73B1">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008CFBFB">
            <w:r>
              <w:t>FR-04</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27F11F63">
            <w:r>
              <w:t>Retrieve ranked, identifiable documentation passages; return nothing rather than something irrelevant</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150EF56A">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7DFD14C8">
            <w:r>
              <w:t>Discovery Sec 1 (Ines: search is the failure, not coverage); Build Spec A4</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7BC5E7C9">
            <w:r>
              <w:t>Returned doc_ids resolve to real corpus entries; empty result when nothing clears the relevance threshold</w:t>
            </w:r>
          </w:p>
        </w:tc>
      </w:tr>
      <w:tr w14:paraId="5EF24B52">
        <w:trPr>
          <w:jc w:val="center"/>
        </w:trPr>
        <w:tc>
          <w:tcPr>
            <w:tcW w:w="792" w:type="dxa"/>
            <w:tcBorders>
              <w:top w:val="single" w:color="D9D9E0" w:sz="6" w:space="0"/>
              <w:left w:val="single" w:color="D9D9E0" w:sz="6" w:space="0"/>
              <w:bottom w:val="single" w:color="D9D9E0" w:sz="6" w:space="0"/>
              <w:right w:val="single" w:color="D9D9E0" w:sz="6" w:space="0"/>
            </w:tcBorders>
          </w:tcPr>
          <w:p w14:paraId="71419A18">
            <w:r>
              <w:t>FR-05</w:t>
            </w:r>
          </w:p>
        </w:tc>
        <w:tc>
          <w:tcPr>
            <w:tcW w:w="3024" w:type="dxa"/>
            <w:tcBorders>
              <w:top w:val="single" w:color="D9D9E0" w:sz="6" w:space="0"/>
              <w:left w:val="single" w:color="D9D9E0" w:sz="6" w:space="0"/>
              <w:bottom w:val="single" w:color="D9D9E0" w:sz="6" w:space="0"/>
              <w:right w:val="single" w:color="D9D9E0" w:sz="6" w:space="0"/>
            </w:tcBorders>
          </w:tcPr>
          <w:p w14:paraId="448D472A">
            <w:r>
              <w:t>Generate answers grounded only in retrieved passages, never outside knowledge</w:t>
            </w:r>
          </w:p>
        </w:tc>
        <w:tc>
          <w:tcPr>
            <w:tcW w:w="936" w:type="dxa"/>
            <w:tcBorders>
              <w:top w:val="single" w:color="D9D9E0" w:sz="6" w:space="0"/>
              <w:left w:val="single" w:color="D9D9E0" w:sz="6" w:space="0"/>
              <w:bottom w:val="single" w:color="D9D9E0" w:sz="6" w:space="0"/>
              <w:right w:val="single" w:color="D9D9E0" w:sz="6" w:space="0"/>
            </w:tcBorders>
          </w:tcPr>
          <w:p w14:paraId="1D3CA80B">
            <w:r>
              <w:t>Must</w:t>
            </w:r>
          </w:p>
        </w:tc>
        <w:tc>
          <w:tcPr>
            <w:tcW w:w="1872" w:type="dxa"/>
            <w:tcBorders>
              <w:top w:val="single" w:color="D9D9E0" w:sz="6" w:space="0"/>
              <w:left w:val="single" w:color="D9D9E0" w:sz="6" w:space="0"/>
              <w:bottom w:val="single" w:color="D9D9E0" w:sz="6" w:space="0"/>
              <w:right w:val="single" w:color="D9D9E0" w:sz="6" w:space="0"/>
            </w:tcBorders>
          </w:tcPr>
          <w:p w14:paraId="6BEE2161">
            <w:r>
              <w:t>Discovery Sec 1 (Marcus: 'I would rather it said nothing than said something wrong')</w:t>
            </w:r>
          </w:p>
        </w:tc>
        <w:tc>
          <w:tcPr>
            <w:tcW w:w="3024" w:type="dxa"/>
            <w:tcBorders>
              <w:top w:val="single" w:color="D9D9E0" w:sz="6" w:space="0"/>
              <w:left w:val="single" w:color="D9D9E0" w:sz="6" w:space="0"/>
              <w:bottom w:val="single" w:color="D9D9E0" w:sz="6" w:space="0"/>
              <w:right w:val="single" w:color="D9D9E0" w:sz="6" w:space="0"/>
            </w:tcBorders>
          </w:tcPr>
          <w:p w14:paraId="2F3F0BF6">
            <w:r>
              <w:t>No claim in a generated answer lacks a supporting retrieved passage</w:t>
            </w:r>
          </w:p>
        </w:tc>
      </w:tr>
      <w:tr w14:paraId="12BE3DD3">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3A761D22">
            <w:r>
              <w:t>FR-06</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E2DC5F2">
            <w:r>
              <w:t>Attach citations to generated claims; citations must resolve to passages actually retrieved</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369D8D08">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1B8A3D99">
            <w:r>
              <w:t>Discovery Sec 1 (Ines wants to trace answers to articles); Build Spec A6</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09B7913A">
            <w:r>
              <w:t>grounding guardrail blocks any citation that doesn't resolve</w:t>
            </w:r>
          </w:p>
        </w:tc>
      </w:tr>
      <w:tr w14:paraId="66EB38A4">
        <w:trPr>
          <w:jc w:val="center"/>
        </w:trPr>
        <w:tc>
          <w:tcPr>
            <w:tcW w:w="792" w:type="dxa"/>
            <w:tcBorders>
              <w:top w:val="single" w:color="D9D9E0" w:sz="6" w:space="0"/>
              <w:left w:val="single" w:color="D9D9E0" w:sz="6" w:space="0"/>
              <w:bottom w:val="single" w:color="D9D9E0" w:sz="6" w:space="0"/>
              <w:right w:val="single" w:color="D9D9E0" w:sz="6" w:space="0"/>
            </w:tcBorders>
          </w:tcPr>
          <w:p w14:paraId="4D08A4CB">
            <w:r>
              <w:t>FR-07</w:t>
            </w:r>
          </w:p>
        </w:tc>
        <w:tc>
          <w:tcPr>
            <w:tcW w:w="3024" w:type="dxa"/>
            <w:tcBorders>
              <w:top w:val="single" w:color="D9D9E0" w:sz="6" w:space="0"/>
              <w:left w:val="single" w:color="D9D9E0" w:sz="6" w:space="0"/>
              <w:bottom w:val="single" w:color="D9D9E0" w:sz="6" w:space="0"/>
              <w:right w:val="single" w:color="D9D9E0" w:sz="6" w:space="0"/>
            </w:tcBorders>
          </w:tcPr>
          <w:p w14:paraId="50A844FE">
            <w:r>
              <w:t>Decline explicitly ('I don't know') when ungrounded, rather than filling the gap</w:t>
            </w:r>
          </w:p>
        </w:tc>
        <w:tc>
          <w:tcPr>
            <w:tcW w:w="936" w:type="dxa"/>
            <w:tcBorders>
              <w:top w:val="single" w:color="D9D9E0" w:sz="6" w:space="0"/>
              <w:left w:val="single" w:color="D9D9E0" w:sz="6" w:space="0"/>
              <w:bottom w:val="single" w:color="D9D9E0" w:sz="6" w:space="0"/>
              <w:right w:val="single" w:color="D9D9E0" w:sz="6" w:space="0"/>
            </w:tcBorders>
          </w:tcPr>
          <w:p w14:paraId="462CE189">
            <w:r>
              <w:t>Must</w:t>
            </w:r>
          </w:p>
        </w:tc>
        <w:tc>
          <w:tcPr>
            <w:tcW w:w="1872" w:type="dxa"/>
            <w:tcBorders>
              <w:top w:val="single" w:color="D9D9E0" w:sz="6" w:space="0"/>
              <w:left w:val="single" w:color="D9D9E0" w:sz="6" w:space="0"/>
              <w:bottom w:val="single" w:color="D9D9E0" w:sz="6" w:space="0"/>
              <w:right w:val="single" w:color="D9D9E0" w:sz="6" w:space="0"/>
            </w:tcBorders>
          </w:tcPr>
          <w:p w14:paraId="4D39919E">
            <w:r>
              <w:t>Discovery Sec 1 (Ravi: acceptable only 'provided it is honest')</w:t>
            </w:r>
          </w:p>
        </w:tc>
        <w:tc>
          <w:tcPr>
            <w:tcW w:w="3024" w:type="dxa"/>
            <w:tcBorders>
              <w:top w:val="single" w:color="D9D9E0" w:sz="6" w:space="0"/>
              <w:left w:val="single" w:color="D9D9E0" w:sz="6" w:space="0"/>
              <w:bottom w:val="single" w:color="D9D9E0" w:sz="6" w:space="0"/>
              <w:right w:val="single" w:color="D9D9E0" w:sz="6" w:space="0"/>
            </w:tcBorders>
          </w:tcPr>
          <w:p w14:paraId="494F0B9A">
            <w:r>
              <w:t>declined=true with a stated reason when retrieval returns nothing usable</w:t>
            </w:r>
          </w:p>
        </w:tc>
      </w:tr>
      <w:tr w14:paraId="7BC590DD">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5FA81964">
            <w:r>
              <w:t>FR-08</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05EC7145">
            <w:r>
              <w:t>Route deterministically: always-escalate for compliance_request/security_incident/feature_request/unclear_request regardless of confidence; otherwise threshold-based</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3335548B">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61FA221D">
            <w:r>
              <w:t>Discovery Sec 2 (these 4 classes escalated 100% historically, 87/500 tickets); Build Spec A5</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7DC7B0F5">
            <w:r>
              <w:t>Same ticket run twice produces the same routing decision</w:t>
            </w:r>
          </w:p>
        </w:tc>
      </w:tr>
      <w:tr w14:paraId="1DB02634">
        <w:trPr>
          <w:jc w:val="center"/>
        </w:trPr>
        <w:tc>
          <w:tcPr>
            <w:tcW w:w="792" w:type="dxa"/>
            <w:tcBorders>
              <w:top w:val="single" w:color="D9D9E0" w:sz="6" w:space="0"/>
              <w:left w:val="single" w:color="D9D9E0" w:sz="6" w:space="0"/>
              <w:bottom w:val="single" w:color="D9D9E0" w:sz="6" w:space="0"/>
              <w:right w:val="single" w:color="D9D9E0" w:sz="6" w:space="0"/>
            </w:tcBorders>
          </w:tcPr>
          <w:p w14:paraId="6540B426">
            <w:r>
              <w:t>FR-09</w:t>
            </w:r>
          </w:p>
        </w:tc>
        <w:tc>
          <w:tcPr>
            <w:tcW w:w="3024" w:type="dxa"/>
            <w:tcBorders>
              <w:top w:val="single" w:color="D9D9E0" w:sz="6" w:space="0"/>
              <w:left w:val="single" w:color="D9D9E0" w:sz="6" w:space="0"/>
              <w:bottom w:val="single" w:color="D9D9E0" w:sz="6" w:space="0"/>
              <w:right w:val="single" w:color="D9D9E0" w:sz="6" w:space="0"/>
            </w:tcBorders>
          </w:tcPr>
          <w:p w14:paraId="2012DB8B">
            <w:r>
              <w:t>Validate every generated response against 5 blocking guardrails before release</w:t>
            </w:r>
          </w:p>
        </w:tc>
        <w:tc>
          <w:tcPr>
            <w:tcW w:w="936" w:type="dxa"/>
            <w:tcBorders>
              <w:top w:val="single" w:color="D9D9E0" w:sz="6" w:space="0"/>
              <w:left w:val="single" w:color="D9D9E0" w:sz="6" w:space="0"/>
              <w:bottom w:val="single" w:color="D9D9E0" w:sz="6" w:space="0"/>
              <w:right w:val="single" w:color="D9D9E0" w:sz="6" w:space="0"/>
            </w:tcBorders>
          </w:tcPr>
          <w:p w14:paraId="1C7D0650">
            <w:r>
              <w:t>Must</w:t>
            </w:r>
          </w:p>
        </w:tc>
        <w:tc>
          <w:tcPr>
            <w:tcW w:w="1872" w:type="dxa"/>
            <w:tcBorders>
              <w:top w:val="single" w:color="D9D9E0" w:sz="6" w:space="0"/>
              <w:left w:val="single" w:color="D9D9E0" w:sz="6" w:space="0"/>
              <w:bottom w:val="single" w:color="D9D9E0" w:sz="6" w:space="0"/>
              <w:right w:val="single" w:color="D9D9E0" w:sz="6" w:space="0"/>
            </w:tcBorders>
          </w:tcPr>
          <w:p w14:paraId="796901ED">
            <w:r>
              <w:t>Governance_Framework Sec 4; Build Spec A7</w:t>
            </w:r>
          </w:p>
        </w:tc>
        <w:tc>
          <w:tcPr>
            <w:tcW w:w="3024" w:type="dxa"/>
            <w:tcBorders>
              <w:top w:val="single" w:color="D9D9E0" w:sz="6" w:space="0"/>
              <w:left w:val="single" w:color="D9D9E0" w:sz="6" w:space="0"/>
              <w:bottom w:val="single" w:color="D9D9E0" w:sz="6" w:space="0"/>
              <w:right w:val="single" w:color="D9D9E0" w:sz="6" w:space="0"/>
            </w:tcBorders>
          </w:tcPr>
          <w:p w14:paraId="13AAFECB">
            <w:r>
              <w:t>A ticket engineered to trigger each guardrail is blocked, not merely warned about</w:t>
            </w:r>
          </w:p>
        </w:tc>
      </w:tr>
      <w:tr w14:paraId="1F834AF4">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1D0E4DDD">
            <w:r>
              <w:t>FR-10</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2B2F883C">
            <w:r>
              <w:t>Log every automated decision with the minimum record schema</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7EA93586">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17285B5D">
            <w:r>
              <w:t>Governance_Framework Sec 1; Marcus's compliance review</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F411C16">
            <w:r>
              <w:t>Decision count reconciles exactly against tickets processed</w:t>
            </w:r>
          </w:p>
        </w:tc>
      </w:tr>
      <w:tr w14:paraId="6D425998">
        <w:trPr>
          <w:jc w:val="center"/>
        </w:trPr>
        <w:tc>
          <w:tcPr>
            <w:tcW w:w="792" w:type="dxa"/>
            <w:tcBorders>
              <w:top w:val="single" w:color="D9D9E0" w:sz="6" w:space="0"/>
              <w:left w:val="single" w:color="D9D9E0" w:sz="6" w:space="0"/>
              <w:bottom w:val="single" w:color="D9D9E0" w:sz="6" w:space="0"/>
              <w:right w:val="single" w:color="D9D9E0" w:sz="6" w:space="0"/>
            </w:tcBorders>
          </w:tcPr>
          <w:p w14:paraId="176D0864">
            <w:r>
              <w:t>FR-11</w:t>
            </w:r>
          </w:p>
        </w:tc>
        <w:tc>
          <w:tcPr>
            <w:tcW w:w="3024" w:type="dxa"/>
            <w:tcBorders>
              <w:top w:val="single" w:color="D9D9E0" w:sz="6" w:space="0"/>
              <w:left w:val="single" w:color="D9D9E0" w:sz="6" w:space="0"/>
              <w:bottom w:val="single" w:color="D9D9E0" w:sz="6" w:space="0"/>
              <w:right w:val="single" w:color="D9D9E0" w:sz="6" w:space="0"/>
            </w:tcBorders>
          </w:tcPr>
          <w:p w14:paraId="3A6B53E2">
            <w:r>
              <w:t>Escalations carry the drafted summary, retrieved sources, and the specific point of low confidence to the human agent</w:t>
            </w:r>
          </w:p>
        </w:tc>
        <w:tc>
          <w:tcPr>
            <w:tcW w:w="936" w:type="dxa"/>
            <w:tcBorders>
              <w:top w:val="single" w:color="D9D9E0" w:sz="6" w:space="0"/>
              <w:left w:val="single" w:color="D9D9E0" w:sz="6" w:space="0"/>
              <w:bottom w:val="single" w:color="D9D9E0" w:sz="6" w:space="0"/>
              <w:right w:val="single" w:color="D9D9E0" w:sz="6" w:space="0"/>
            </w:tcBorders>
          </w:tcPr>
          <w:p w14:paraId="633B98FE">
            <w:r>
              <w:t>Must</w:t>
            </w:r>
          </w:p>
        </w:tc>
        <w:tc>
          <w:tcPr>
            <w:tcW w:w="1872" w:type="dxa"/>
            <w:tcBorders>
              <w:top w:val="single" w:color="D9D9E0" w:sz="6" w:space="0"/>
              <w:left w:val="single" w:color="D9D9E0" w:sz="6" w:space="0"/>
              <w:bottom w:val="single" w:color="D9D9E0" w:sz="6" w:space="0"/>
              <w:right w:val="single" w:color="D9D9E0" w:sz="6" w:space="0"/>
            </w:tcBorders>
          </w:tcPr>
          <w:p w14:paraId="16767BF8">
            <w:r>
              <w:t>Discovery Sec 1 (Daniel: 'I need it to show its working')</w:t>
            </w:r>
          </w:p>
        </w:tc>
        <w:tc>
          <w:tcPr>
            <w:tcW w:w="3024" w:type="dxa"/>
            <w:tcBorders>
              <w:top w:val="single" w:color="D9D9E0" w:sz="6" w:space="0"/>
              <w:left w:val="single" w:color="D9D9E0" w:sz="6" w:space="0"/>
              <w:bottom w:val="single" w:color="D9D9E0" w:sz="6" w:space="0"/>
              <w:right w:val="single" w:color="D9D9E0" w:sz="6" w:space="0"/>
            </w:tcBorders>
          </w:tcPr>
          <w:p w14:paraId="23EBB265">
            <w:r>
              <w:t>escalation_summary field is populated on every escalated ticket</w:t>
            </w:r>
          </w:p>
        </w:tc>
      </w:tr>
      <w:tr w14:paraId="5235AAA6">
        <w:trPr>
          <w:jc w:val="center"/>
        </w:trPr>
        <w:tc>
          <w:tcPr>
            <w:tcW w:w="792" w:type="dxa"/>
            <w:tcBorders>
              <w:top w:val="single" w:color="D9D9E0" w:sz="6" w:space="0"/>
              <w:left w:val="single" w:color="D9D9E0" w:sz="6" w:space="0"/>
              <w:bottom w:val="single" w:color="D9D9E0" w:sz="6" w:space="0"/>
              <w:right w:val="single" w:color="D9D9E0" w:sz="6" w:space="0"/>
            </w:tcBorders>
            <w:shd w:val="clear" w:color="auto" w:fill="F4F4F7"/>
          </w:tcPr>
          <w:p w14:paraId="102DF81A">
            <w:r>
              <w:t>FR-12</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126D2EAB">
            <w:r>
              <w:t>Evaluation harness accepts --input/--output paths and processes a full ticket set unattended, producing a metrics report with no manual work</w:t>
            </w:r>
          </w:p>
        </w:tc>
        <w:tc>
          <w:tcPr>
            <w:tcW w:w="936" w:type="dxa"/>
            <w:tcBorders>
              <w:top w:val="single" w:color="D9D9E0" w:sz="6" w:space="0"/>
              <w:left w:val="single" w:color="D9D9E0" w:sz="6" w:space="0"/>
              <w:bottom w:val="single" w:color="D9D9E0" w:sz="6" w:space="0"/>
              <w:right w:val="single" w:color="D9D9E0" w:sz="6" w:space="0"/>
            </w:tcBorders>
            <w:shd w:val="clear" w:color="auto" w:fill="F4F4F7"/>
          </w:tcPr>
          <w:p w14:paraId="14A76164">
            <w:r>
              <w:t>Must</w:t>
            </w:r>
          </w:p>
        </w:tc>
        <w:tc>
          <w:tcPr>
            <w:tcW w:w="1872" w:type="dxa"/>
            <w:tcBorders>
              <w:top w:val="single" w:color="D9D9E0" w:sz="6" w:space="0"/>
              <w:left w:val="single" w:color="D9D9E0" w:sz="6" w:space="0"/>
              <w:bottom w:val="single" w:color="D9D9E0" w:sz="6" w:space="0"/>
              <w:right w:val="single" w:color="D9D9E0" w:sz="6" w:space="0"/>
            </w:tcBorders>
            <w:shd w:val="clear" w:color="auto" w:fill="F4F4F7"/>
          </w:tcPr>
          <w:p w14:paraId="09DC8DC1">
            <w:r>
              <w:t>Build Spec A9/A10 -- the hidden 120-ticket set is never seen before grading</w:t>
            </w:r>
          </w:p>
        </w:tc>
        <w:tc>
          <w:tcPr>
            <w:tcW w:w="3024" w:type="dxa"/>
            <w:tcBorders>
              <w:top w:val="single" w:color="D9D9E0" w:sz="6" w:space="0"/>
              <w:left w:val="single" w:color="D9D9E0" w:sz="6" w:space="0"/>
              <w:bottom w:val="single" w:color="D9D9E0" w:sz="6" w:space="0"/>
              <w:right w:val="single" w:color="D9D9E0" w:sz="6" w:space="0"/>
            </w:tcBorders>
            <w:shd w:val="clear" w:color="auto" w:fill="F4F4F7"/>
          </w:tcPr>
          <w:p w14:paraId="566FE18C">
            <w:r>
              <w:t>Harness runs against an arbitrary file path and writes metrics_report.json</w:t>
            </w:r>
          </w:p>
        </w:tc>
      </w:tr>
    </w:tbl>
    <w:p w14:paraId="7C9302C2">
      <w:pPr>
        <w:spacing w:after="80"/>
      </w:pPr>
    </w:p>
    <w:p w14:paraId="59AD88BC">
      <w:r>
        <w:br w:type="page"/>
      </w:r>
    </w:p>
    <w:p w14:paraId="0F01C7FA">
      <w:pPr>
        <w:pBdr>
          <w:bottom w:val="single" w:color="E8660A" w:sz="8" w:space="6"/>
        </w:pBdr>
        <w:spacing w:before="440" w:after="60"/>
      </w:pPr>
      <w:r>
        <w:rPr>
          <w:b/>
          <w:color w:val="E8660A"/>
          <w:sz w:val="34"/>
        </w:rPr>
        <w:t xml:space="preserve">5   </w:t>
      </w:r>
      <w:r>
        <w:rPr>
          <w:b/>
          <w:color w:val="1A1A2E"/>
          <w:sz w:val="34"/>
        </w:rPr>
        <w:t>Non-functional requirements</w:t>
      </w:r>
    </w:p>
    <w:p w14:paraId="35B55956">
      <w:pPr>
        <w:spacing w:after="140"/>
      </w:pPr>
      <w:r>
        <w:rPr>
          <w:i w:val="0"/>
          <w:sz w:val="21"/>
        </w:rPr>
        <w:t>These describe how well the system must do the things it does. They are frequently what distinguishes a demonstration from something that could actually be deployed.</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491FFC48">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3169085F">
            <w:pPr>
              <w:spacing w:before="60" w:after="60"/>
            </w:pPr>
            <w:r>
              <w:rPr>
                <w:b/>
                <w:color w:val="FFFFFF"/>
                <w:sz w:val="17"/>
              </w:rPr>
              <w:t>ID</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6F753274">
            <w:pPr>
              <w:spacing w:before="60" w:after="60"/>
            </w:pPr>
            <w:r>
              <w:rPr>
                <w:b/>
                <w:color w:val="FFFFFF"/>
                <w:sz w:val="17"/>
              </w:rPr>
              <w:t>Category</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28E94A0C">
            <w:pPr>
              <w:spacing w:before="60" w:after="60"/>
            </w:pPr>
            <w:r>
              <w:rPr>
                <w:b/>
                <w:color w:val="FFFFFF"/>
                <w:sz w:val="17"/>
              </w:rPr>
              <w:t>Requirement</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16B1673E">
            <w:pPr>
              <w:spacing w:before="60" w:after="60"/>
            </w:pPr>
            <w:r>
              <w:rPr>
                <w:b/>
                <w:color w:val="FFFFFF"/>
                <w:sz w:val="17"/>
              </w:rPr>
              <w:t>How it will be verified</w:t>
            </w:r>
          </w:p>
        </w:tc>
      </w:tr>
      <w:tr w14:paraId="247346C0">
        <w:trPr>
          <w:jc w:val="center"/>
        </w:trPr>
        <w:tc>
          <w:tcPr>
            <w:tcW w:w="2412" w:type="dxa"/>
            <w:tcBorders>
              <w:top w:val="single" w:color="D9D9E0" w:sz="6" w:space="0"/>
              <w:left w:val="single" w:color="D9D9E0" w:sz="6" w:space="0"/>
              <w:bottom w:val="single" w:color="D9D9E0" w:sz="6" w:space="0"/>
              <w:right w:val="single" w:color="D9D9E0" w:sz="6" w:space="0"/>
            </w:tcBorders>
          </w:tcPr>
          <w:p w14:paraId="2BB127A7">
            <w:pPr>
              <w:spacing w:before="50" w:after="50"/>
            </w:pPr>
            <w:r>
              <w:rPr>
                <w:sz w:val="16"/>
              </w:rPr>
              <w:t>NFR-01</w:t>
            </w:r>
          </w:p>
        </w:tc>
        <w:tc>
          <w:tcPr>
            <w:tcW w:w="2412" w:type="dxa"/>
            <w:tcBorders>
              <w:top w:val="single" w:color="D9D9E0" w:sz="6" w:space="0"/>
              <w:left w:val="single" w:color="D9D9E0" w:sz="6" w:space="0"/>
              <w:bottom w:val="single" w:color="D9D9E0" w:sz="6" w:space="0"/>
              <w:right w:val="single" w:color="D9D9E0" w:sz="6" w:space="0"/>
            </w:tcBorders>
          </w:tcPr>
          <w:p w14:paraId="47BD85AC">
            <w:r>
              <w:t>Latency</w:t>
            </w:r>
          </w:p>
        </w:tc>
        <w:tc>
          <w:tcPr>
            <w:tcW w:w="2412" w:type="dxa"/>
            <w:tcBorders>
              <w:top w:val="single" w:color="D9D9E0" w:sz="6" w:space="0"/>
              <w:left w:val="single" w:color="D9D9E0" w:sz="6" w:space="0"/>
              <w:bottom w:val="single" w:color="D9D9E0" w:sz="6" w:space="0"/>
              <w:right w:val="single" w:color="D9D9E0" w:sz="6" w:space="0"/>
            </w:tcBorders>
          </w:tcPr>
          <w:p w14:paraId="22679691">
            <w:r>
              <w:t>95th percentile response latency under 3 seconds</w:t>
            </w:r>
          </w:p>
        </w:tc>
        <w:tc>
          <w:tcPr>
            <w:tcW w:w="2412" w:type="dxa"/>
            <w:tcBorders>
              <w:top w:val="single" w:color="D9D9E0" w:sz="6" w:space="0"/>
              <w:left w:val="single" w:color="D9D9E0" w:sz="6" w:space="0"/>
              <w:bottom w:val="single" w:color="D9D9E0" w:sz="6" w:space="0"/>
              <w:right w:val="single" w:color="D9D9E0" w:sz="6" w:space="0"/>
            </w:tcBorders>
          </w:tcPr>
          <w:p w14:paraId="1ABDFC18">
            <w:r>
              <w:t>Measured end-to-end per ticket, reported in metrics_report.json</w:t>
            </w:r>
          </w:p>
        </w:tc>
      </w:tr>
      <w:tr w14:paraId="52F86E3D">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7E0F188B">
            <w:pPr>
              <w:spacing w:before="50" w:after="50"/>
            </w:pPr>
            <w:r>
              <w:rPr>
                <w:sz w:val="16"/>
              </w:rPr>
              <w:t>NFR-02</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57349F6">
            <w:r>
              <w:t>Availability</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1650DBDB">
            <w:r>
              <w:t>Graceful degradation under provider outage, rate limiting, timeout, or malformed input -- no crash</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2687033A">
            <w:r>
              <w:t>Provider disconnected mid-run in testing; system continues and escalates (A11)</w:t>
            </w:r>
          </w:p>
        </w:tc>
      </w:tr>
      <w:tr w14:paraId="2EBD4AD4">
        <w:trPr>
          <w:jc w:val="center"/>
        </w:trPr>
        <w:tc>
          <w:tcPr>
            <w:tcW w:w="2412" w:type="dxa"/>
            <w:tcBorders>
              <w:top w:val="single" w:color="D9D9E0" w:sz="6" w:space="0"/>
              <w:left w:val="single" w:color="D9D9E0" w:sz="6" w:space="0"/>
              <w:bottom w:val="single" w:color="D9D9E0" w:sz="6" w:space="0"/>
              <w:right w:val="single" w:color="D9D9E0" w:sz="6" w:space="0"/>
            </w:tcBorders>
          </w:tcPr>
          <w:p w14:paraId="20739A25">
            <w:pPr>
              <w:spacing w:before="50" w:after="50"/>
            </w:pPr>
            <w:r>
              <w:rPr>
                <w:sz w:val="16"/>
              </w:rPr>
              <w:t>NFR-03</w:t>
            </w:r>
          </w:p>
        </w:tc>
        <w:tc>
          <w:tcPr>
            <w:tcW w:w="2412" w:type="dxa"/>
            <w:tcBorders>
              <w:top w:val="single" w:color="D9D9E0" w:sz="6" w:space="0"/>
              <w:left w:val="single" w:color="D9D9E0" w:sz="6" w:space="0"/>
              <w:bottom w:val="single" w:color="D9D9E0" w:sz="6" w:space="0"/>
              <w:right w:val="single" w:color="D9D9E0" w:sz="6" w:space="0"/>
            </w:tcBorders>
          </w:tcPr>
          <w:p w14:paraId="080594A3">
            <w:r>
              <w:t>Accuracy</w:t>
            </w:r>
          </w:p>
        </w:tc>
        <w:tc>
          <w:tcPr>
            <w:tcW w:w="2412" w:type="dxa"/>
            <w:tcBorders>
              <w:top w:val="single" w:color="D9D9E0" w:sz="6" w:space="0"/>
              <w:left w:val="single" w:color="D9D9E0" w:sz="6" w:space="0"/>
              <w:bottom w:val="single" w:color="D9D9E0" w:sz="6" w:space="0"/>
              <w:right w:val="single" w:color="D9D9E0" w:sz="6" w:space="0"/>
            </w:tcBorders>
          </w:tcPr>
          <w:p w14:paraId="7EF324B4">
            <w:r>
              <w:t>Intent classification precision 85%+; citation accuracy 95%+</w:t>
            </w:r>
          </w:p>
        </w:tc>
        <w:tc>
          <w:tcPr>
            <w:tcW w:w="2412" w:type="dxa"/>
            <w:tcBorders>
              <w:top w:val="single" w:color="D9D9E0" w:sz="6" w:space="0"/>
              <w:left w:val="single" w:color="D9D9E0" w:sz="6" w:space="0"/>
              <w:bottom w:val="single" w:color="D9D9E0" w:sz="6" w:space="0"/>
              <w:right w:val="single" w:color="D9D9E0" w:sz="6" w:space="0"/>
            </w:tcBorders>
          </w:tcPr>
          <w:p w14:paraId="2AD36EF2">
            <w:r>
              <w:t>sklearn precision/recall per class against ground truth; citation resolution check</w:t>
            </w:r>
          </w:p>
        </w:tc>
      </w:tr>
      <w:tr w14:paraId="5D34286D">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3E4BC2BF">
            <w:pPr>
              <w:spacing w:before="50" w:after="50"/>
            </w:pPr>
            <w:r>
              <w:rPr>
                <w:sz w:val="16"/>
              </w:rPr>
              <w:t>NFR-04</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AF3409E">
            <w:r>
              <w:t>Privacy</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4024083E">
            <w:r>
              <w:t>Zero private-data occurrences in outbound responses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EF97E1F">
            <w:r>
              <w:t>private_data guardrail on every response + governance metric count</w:t>
            </w:r>
          </w:p>
        </w:tc>
      </w:tr>
      <w:tr w14:paraId="67220C87">
        <w:trPr>
          <w:jc w:val="center"/>
        </w:trPr>
        <w:tc>
          <w:tcPr>
            <w:tcW w:w="2412" w:type="dxa"/>
            <w:tcBorders>
              <w:top w:val="single" w:color="D9D9E0" w:sz="6" w:space="0"/>
              <w:left w:val="single" w:color="D9D9E0" w:sz="6" w:space="0"/>
              <w:bottom w:val="single" w:color="D9D9E0" w:sz="6" w:space="0"/>
              <w:right w:val="single" w:color="D9D9E0" w:sz="6" w:space="0"/>
            </w:tcBorders>
          </w:tcPr>
          <w:p w14:paraId="2C1C9D79">
            <w:pPr>
              <w:spacing w:before="50" w:after="50"/>
            </w:pPr>
            <w:r>
              <w:rPr>
                <w:sz w:val="16"/>
              </w:rPr>
              <w:t>NFR-05</w:t>
            </w:r>
          </w:p>
        </w:tc>
        <w:tc>
          <w:tcPr>
            <w:tcW w:w="2412" w:type="dxa"/>
            <w:tcBorders>
              <w:top w:val="single" w:color="D9D9E0" w:sz="6" w:space="0"/>
              <w:left w:val="single" w:color="D9D9E0" w:sz="6" w:space="0"/>
              <w:bottom w:val="single" w:color="D9D9E0" w:sz="6" w:space="0"/>
              <w:right w:val="single" w:color="D9D9E0" w:sz="6" w:space="0"/>
            </w:tcBorders>
          </w:tcPr>
          <w:p w14:paraId="115FDF04">
            <w:r>
              <w:t>Auditability</w:t>
            </w:r>
          </w:p>
        </w:tc>
        <w:tc>
          <w:tcPr>
            <w:tcW w:w="2412" w:type="dxa"/>
            <w:tcBorders>
              <w:top w:val="single" w:color="D9D9E0" w:sz="6" w:space="0"/>
              <w:left w:val="single" w:color="D9D9E0" w:sz="6" w:space="0"/>
              <w:bottom w:val="single" w:color="D9D9E0" w:sz="6" w:space="0"/>
              <w:right w:val="single" w:color="D9D9E0" w:sz="6" w:space="0"/>
            </w:tcBorders>
          </w:tcPr>
          <w:p w14:paraId="6BC08F15">
            <w:r>
              <w:t>Every automated decision reconstructable months later</w:t>
            </w:r>
          </w:p>
        </w:tc>
        <w:tc>
          <w:tcPr>
            <w:tcW w:w="2412" w:type="dxa"/>
            <w:tcBorders>
              <w:top w:val="single" w:color="D9D9E0" w:sz="6" w:space="0"/>
              <w:left w:val="single" w:color="D9D9E0" w:sz="6" w:space="0"/>
              <w:bottom w:val="single" w:color="D9D9E0" w:sz="6" w:space="0"/>
              <w:right w:val="single" w:color="D9D9E0" w:sz="6" w:space="0"/>
            </w:tcBorders>
          </w:tcPr>
          <w:p w14:paraId="7E702ACB">
            <w:r>
              <w:t>Decision log coverage check: logged decisions == tickets processed</w:t>
            </w:r>
          </w:p>
        </w:tc>
      </w:tr>
      <w:tr w14:paraId="351900D4">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F089943">
            <w:pPr>
              <w:spacing w:before="50" w:after="50"/>
            </w:pPr>
            <w:r>
              <w:rPr>
                <w:sz w:val="16"/>
              </w:rPr>
              <w:t>NFR-06</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11A8BDD6">
            <w:r>
              <w:t>Fairness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24F652F7">
            <w:r>
              <w:t>Under 5 percentage points of quality variation across customer segments</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6B5BBCEF">
            <w:r>
              <w:t>fairness_segments() in every evaluation run, by tier and language fluency</w:t>
            </w:r>
          </w:p>
        </w:tc>
      </w:tr>
      <w:tr w14:paraId="32665B1F">
        <w:trPr>
          <w:jc w:val="center"/>
        </w:trPr>
        <w:tc>
          <w:tcPr>
            <w:tcW w:w="2412" w:type="dxa"/>
            <w:tcBorders>
              <w:top w:val="single" w:color="D9D9E0" w:sz="6" w:space="0"/>
              <w:left w:val="single" w:color="D9D9E0" w:sz="6" w:space="0"/>
              <w:bottom w:val="single" w:color="D9D9E0" w:sz="6" w:space="0"/>
              <w:right w:val="single" w:color="D9D9E0" w:sz="6" w:space="0"/>
            </w:tcBorders>
          </w:tcPr>
          <w:p w14:paraId="74A5DBEE">
            <w:pPr>
              <w:spacing w:before="50" w:after="50"/>
            </w:pPr>
            <w:r>
              <w:rPr>
                <w:sz w:val="16"/>
              </w:rPr>
              <w:t>NFR-07</w:t>
            </w:r>
          </w:p>
        </w:tc>
        <w:tc>
          <w:tcPr>
            <w:tcW w:w="2412" w:type="dxa"/>
            <w:tcBorders>
              <w:top w:val="single" w:color="D9D9E0" w:sz="6" w:space="0"/>
              <w:left w:val="single" w:color="D9D9E0" w:sz="6" w:space="0"/>
              <w:bottom w:val="single" w:color="D9D9E0" w:sz="6" w:space="0"/>
              <w:right w:val="single" w:color="D9D9E0" w:sz="6" w:space="0"/>
            </w:tcBorders>
          </w:tcPr>
          <w:p w14:paraId="68AE4BD4">
            <w:r>
              <w:t>Cost</w:t>
            </w:r>
          </w:p>
        </w:tc>
        <w:tc>
          <w:tcPr>
            <w:tcW w:w="2412" w:type="dxa"/>
            <w:tcBorders>
              <w:top w:val="single" w:color="D9D9E0" w:sz="6" w:space="0"/>
              <w:left w:val="single" w:color="D9D9E0" w:sz="6" w:space="0"/>
              <w:bottom w:val="single" w:color="D9D9E0" w:sz="6" w:space="0"/>
              <w:right w:val="single" w:color="D9D9E0" w:sz="6" w:space="0"/>
            </w:tcBorders>
          </w:tcPr>
          <w:p w14:paraId="3B86B327">
            <w:r>
              <w:t>Free tier only (Groq); no paid capacity</w:t>
            </w:r>
          </w:p>
        </w:tc>
        <w:tc>
          <w:tcPr>
            <w:tcW w:w="2412" w:type="dxa"/>
            <w:tcBorders>
              <w:top w:val="single" w:color="D9D9E0" w:sz="6" w:space="0"/>
              <w:left w:val="single" w:color="D9D9E0" w:sz="6" w:space="0"/>
              <w:bottom w:val="single" w:color="D9D9E0" w:sz="6" w:space="0"/>
              <w:right w:val="single" w:color="D9D9E0" w:sz="6" w:space="0"/>
            </w:tcBorders>
          </w:tcPr>
          <w:p w14:paraId="4C058D33">
            <w:r>
              <w:t>No billing configured; stack constrained to free/open-source components</w:t>
            </w:r>
          </w:p>
        </w:tc>
      </w:tr>
    </w:tbl>
    <w:p w14:paraId="3026C327">
      <w:pPr>
        <w:spacing w:after="80"/>
      </w:pPr>
    </w:p>
    <w:p w14:paraId="43C42D64">
      <w:pPr>
        <w:spacing w:after="80"/>
      </w:pPr>
    </w:p>
    <w:p w14:paraId="70750905">
      <w:pPr>
        <w:pBdr>
          <w:bottom w:val="single" w:color="E8660A" w:sz="8" w:space="6"/>
        </w:pBdr>
        <w:spacing w:before="440" w:after="60"/>
      </w:pPr>
      <w:r>
        <w:rPr>
          <w:b/>
          <w:color w:val="E8660A"/>
          <w:sz w:val="34"/>
        </w:rPr>
        <w:t xml:space="preserve">6   </w:t>
      </w:r>
      <w:r>
        <w:rPr>
          <w:b/>
          <w:color w:val="1A1A2E"/>
          <w:sz w:val="34"/>
        </w:rPr>
        <w:t>What is deliberately out of scope</w:t>
      </w:r>
    </w:p>
    <w:p w14:paraId="1EFBB312">
      <w:pPr>
        <w:spacing w:after="140"/>
      </w:pPr>
      <w:r>
        <w:rPr>
          <w:i w:val="0"/>
          <w:sz w:val="21"/>
        </w:rPr>
        <w:t>Recording what you are not building is one of the most valuable things a requirements document does, because it is the section that prevents an argument in week three.</w:t>
      </w:r>
    </w:p>
    <w:tbl>
      <w:tblPr>
        <w:tblStyle w:val="12"/>
        <w:tblW w:w="0" w:type="auto"/>
        <w:jc w:val="center"/>
        <w:tblLayout w:type="fixed"/>
        <w:tblCellMar>
          <w:top w:w="0" w:type="dxa"/>
          <w:left w:w="108" w:type="dxa"/>
          <w:bottom w:w="0" w:type="dxa"/>
          <w:right w:w="108" w:type="dxa"/>
        </w:tblCellMar>
      </w:tblPr>
      <w:tblGrid>
        <w:gridCol w:w="3216"/>
        <w:gridCol w:w="3216"/>
        <w:gridCol w:w="3216"/>
      </w:tblGrid>
      <w:tr w14:paraId="568F79B9">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E8660A"/>
          </w:tcPr>
          <w:p w14:paraId="77DAEE16">
            <w:pPr>
              <w:spacing w:before="60" w:after="60"/>
            </w:pPr>
            <w:r>
              <w:rPr>
                <w:b/>
                <w:color w:val="FFFFFF"/>
                <w:sz w:val="18"/>
              </w:rPr>
              <w:t>Not building</w:t>
            </w:r>
          </w:p>
        </w:tc>
        <w:tc>
          <w:tcPr>
            <w:tcW w:w="3312" w:type="dxa"/>
            <w:tcBorders>
              <w:top w:val="single" w:color="D9D9E0" w:sz="6" w:space="0"/>
              <w:left w:val="single" w:color="D9D9E0" w:sz="6" w:space="0"/>
              <w:bottom w:val="single" w:color="D9D9E0" w:sz="6" w:space="0"/>
              <w:right w:val="single" w:color="D9D9E0" w:sz="6" w:space="0"/>
            </w:tcBorders>
            <w:shd w:val="clear" w:color="auto" w:fill="E8660A"/>
          </w:tcPr>
          <w:p w14:paraId="4A7CD8AF">
            <w:pPr>
              <w:spacing w:before="60" w:after="60"/>
            </w:pPr>
            <w:r>
              <w:rPr>
                <w:b/>
                <w:color w:val="FFFFFF"/>
                <w:sz w:val="18"/>
              </w:rPr>
              <w:t>Why not</w:t>
            </w:r>
          </w:p>
        </w:tc>
        <w:tc>
          <w:tcPr>
            <w:tcW w:w="3456" w:type="dxa"/>
            <w:tcBorders>
              <w:top w:val="single" w:color="D9D9E0" w:sz="6" w:space="0"/>
              <w:left w:val="single" w:color="D9D9E0" w:sz="6" w:space="0"/>
              <w:bottom w:val="single" w:color="D9D9E0" w:sz="6" w:space="0"/>
              <w:right w:val="single" w:color="D9D9E0" w:sz="6" w:space="0"/>
            </w:tcBorders>
            <w:shd w:val="clear" w:color="auto" w:fill="E8660A"/>
          </w:tcPr>
          <w:p w14:paraId="5A7803A9">
            <w:pPr>
              <w:spacing w:before="60" w:after="60"/>
            </w:pPr>
            <w:r>
              <w:rPr>
                <w:b/>
                <w:color w:val="FFFFFF"/>
                <w:sz w:val="18"/>
              </w:rPr>
              <w:t>What would have to change for this to be reconsidered</w:t>
            </w:r>
          </w:p>
        </w:tc>
      </w:tr>
      <w:tr w14:paraId="62B5F73A">
        <w:trPr>
          <w:jc w:val="center"/>
        </w:trPr>
        <w:tc>
          <w:tcPr>
            <w:tcW w:w="2880" w:type="dxa"/>
            <w:tcBorders>
              <w:top w:val="single" w:color="D9D9E0" w:sz="6" w:space="0"/>
              <w:left w:val="single" w:color="D9D9E0" w:sz="6" w:space="0"/>
              <w:bottom w:val="single" w:color="D9D9E0" w:sz="6" w:space="0"/>
              <w:right w:val="single" w:color="D9D9E0" w:sz="6" w:space="0"/>
            </w:tcBorders>
          </w:tcPr>
          <w:p w14:paraId="526BB23D">
            <w:r>
              <w:t>Non-English generation</w:t>
            </w:r>
          </w:p>
        </w:tc>
        <w:tc>
          <w:tcPr>
            <w:tcW w:w="3312" w:type="dxa"/>
            <w:tcBorders>
              <w:top w:val="single" w:color="D9D9E0" w:sz="6" w:space="0"/>
              <w:left w:val="single" w:color="D9D9E0" w:sz="6" w:space="0"/>
              <w:bottom w:val="single" w:color="D9D9E0" w:sz="6" w:space="0"/>
              <w:right w:val="single" w:color="D9D9E0" w:sz="6" w:space="0"/>
            </w:tcBorders>
          </w:tcPr>
          <w:p w14:paraId="5976FD05">
            <w:r>
              <w:t>Answers are produced in English even for non-fluent-English tickets in v1</w:t>
            </w:r>
          </w:p>
        </w:tc>
        <w:tc>
          <w:tcPr>
            <w:tcW w:w="3456" w:type="dxa"/>
            <w:tcBorders>
              <w:top w:val="single" w:color="D9D9E0" w:sz="6" w:space="0"/>
              <w:left w:val="single" w:color="D9D9E0" w:sz="6" w:space="0"/>
              <w:bottom w:val="single" w:color="D9D9E0" w:sz="6" w:space="0"/>
              <w:right w:val="single" w:color="D9D9E0" w:sz="6" w:space="0"/>
            </w:tcBorders>
          </w:tcPr>
          <w:p w14:paraId="682128CF">
            <w:r>
              <w:t>If the fairness audit shows a real quality gap for this segment, this becomes the headline PRD revision finding</w:t>
            </w:r>
          </w:p>
        </w:tc>
      </w:tr>
      <w:tr w14:paraId="0CA1600D">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20330999">
            <w:r>
              <w:t>A full agent-facing review UI for Tier 2</w:t>
            </w:r>
          </w:p>
        </w:tc>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04F96DB3">
            <w:r>
              <w:t>The context Daniel asked for (summary, sources, confidence) is in scope; the UI to browse it is not -- delivered via the decision log and API response</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5D13A39C">
            <w:r>
              <w:t>If time remains after the core build and evaluation are solid (a browser demo UI was later built for the video; it is not this feature, see docs/architecture.md sec. 9)</w:t>
            </w:r>
          </w:p>
        </w:tc>
      </w:tr>
      <w:tr w14:paraId="0FAA531C">
        <w:trPr>
          <w:jc w:val="center"/>
        </w:trPr>
        <w:tc>
          <w:tcPr>
            <w:tcW w:w="2880" w:type="dxa"/>
            <w:tcBorders>
              <w:top w:val="single" w:color="D9D9E0" w:sz="6" w:space="0"/>
              <w:left w:val="single" w:color="D9D9E0" w:sz="6" w:space="0"/>
              <w:bottom w:val="single" w:color="D9D9E0" w:sz="6" w:space="0"/>
              <w:right w:val="single" w:color="D9D9E0" w:sz="6" w:space="0"/>
            </w:tcBorders>
          </w:tcPr>
          <w:p w14:paraId="021123F2">
            <w:r>
              <w:t>Auto-updating the documentation corpus</w:t>
            </w:r>
          </w:p>
        </w:tc>
        <w:tc>
          <w:tcPr>
            <w:tcW w:w="3312" w:type="dxa"/>
            <w:tcBorders>
              <w:top w:val="single" w:color="D9D9E0" w:sz="6" w:space="0"/>
              <w:left w:val="single" w:color="D9D9E0" w:sz="6" w:space="0"/>
              <w:bottom w:val="single" w:color="D9D9E0" w:sz="6" w:space="0"/>
              <w:right w:val="single" w:color="D9D9E0" w:sz="6" w:space="0"/>
            </w:tcBorders>
          </w:tcPr>
          <w:p w14:paraId="639951D6">
            <w:r>
              <w:t>The 29 articles are treated as a fixed snapshot</w:t>
            </w:r>
          </w:p>
        </w:tc>
        <w:tc>
          <w:tcPr>
            <w:tcW w:w="3456" w:type="dxa"/>
            <w:tcBorders>
              <w:top w:val="single" w:color="D9D9E0" w:sz="6" w:space="0"/>
              <w:left w:val="single" w:color="D9D9E0" w:sz="6" w:space="0"/>
              <w:bottom w:val="single" w:color="D9D9E0" w:sz="6" w:space="0"/>
              <w:right w:val="single" w:color="D9D9E0" w:sz="6" w:space="0"/>
            </w:tcBorders>
          </w:tcPr>
          <w:p w14:paraId="7FFB4A3E">
            <w:r>
              <w:t>A staleness-detection pipeline using last_reviewed_days_ago is a natural v2</w:t>
            </w:r>
          </w:p>
        </w:tc>
      </w:tr>
      <w:tr w14:paraId="669DC00C">
        <w:trPr>
          <w:jc w:val="center"/>
        </w:trPr>
        <w:tc>
          <w:tcPr>
            <w:tcW w:w="2880" w:type="dxa"/>
            <w:tcBorders>
              <w:top w:val="single" w:color="D9D9E0" w:sz="6" w:space="0"/>
              <w:left w:val="single" w:color="D9D9E0" w:sz="6" w:space="0"/>
              <w:bottom w:val="single" w:color="D9D9E0" w:sz="6" w:space="0"/>
              <w:right w:val="single" w:color="D9D9E0" w:sz="6" w:space="0"/>
            </w:tcBorders>
            <w:shd w:val="clear" w:color="auto" w:fill="F4F4F7"/>
          </w:tcPr>
          <w:p w14:paraId="500C81C2">
            <w:r>
              <w:t>Proactive/outbound outreach</w:t>
            </w:r>
          </w:p>
        </w:tc>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44FA393E">
            <w:r>
              <w:t>No discovery evidence supports building outbound flows -- everything is inbound-ticket-driven</w:t>
            </w:r>
          </w:p>
        </w:tc>
        <w:tc>
          <w:tcPr>
            <w:tcW w:w="3456" w:type="dxa"/>
            <w:tcBorders>
              <w:top w:val="single" w:color="D9D9E0" w:sz="6" w:space="0"/>
              <w:left w:val="single" w:color="D9D9E0" w:sz="6" w:space="0"/>
              <w:bottom w:val="single" w:color="D9D9E0" w:sz="6" w:space="0"/>
              <w:right w:val="single" w:color="D9D9E0" w:sz="6" w:space="0"/>
            </w:tcBorders>
            <w:shd w:val="clear" w:color="auto" w:fill="F4F4F7"/>
          </w:tcPr>
          <w:p w14:paraId="69444375">
            <w:r>
              <w:t>New discovery evidence surfacing a real need</w:t>
            </w:r>
          </w:p>
        </w:tc>
      </w:tr>
      <w:tr w14:paraId="7F4BBC32">
        <w:trPr>
          <w:jc w:val="center"/>
        </w:trPr>
        <w:tc>
          <w:tcPr>
            <w:tcW w:w="2880" w:type="dxa"/>
            <w:tcBorders>
              <w:top w:val="single" w:color="D9D9E0" w:sz="6" w:space="0"/>
              <w:left w:val="single" w:color="D9D9E0" w:sz="6" w:space="0"/>
              <w:bottom w:val="single" w:color="D9D9E0" w:sz="6" w:space="0"/>
              <w:right w:val="single" w:color="D9D9E0" w:sz="6" w:space="0"/>
            </w:tcBorders>
          </w:tcPr>
          <w:p w14:paraId="2AE1392F">
            <w:r>
              <w:t>Payment/refund/contractual commitments</w:t>
            </w:r>
          </w:p>
        </w:tc>
        <w:tc>
          <w:tcPr>
            <w:tcW w:w="3312" w:type="dxa"/>
            <w:tcBorders>
              <w:top w:val="single" w:color="D9D9E0" w:sz="6" w:space="0"/>
              <w:left w:val="single" w:color="D9D9E0" w:sz="6" w:space="0"/>
              <w:bottom w:val="single" w:color="D9D9E0" w:sz="6" w:space="0"/>
              <w:right w:val="single" w:color="D9D9E0" w:sz="6" w:space="0"/>
            </w:tcBorders>
          </w:tcPr>
          <w:p w14:paraId="54950167">
            <w:r>
              <w:t>Explicitly blocked by the tone_and_scope guardrail, never a build target</w:t>
            </w:r>
          </w:p>
        </w:tc>
        <w:tc>
          <w:tcPr>
            <w:tcW w:w="3456" w:type="dxa"/>
            <w:tcBorders>
              <w:top w:val="single" w:color="D9D9E0" w:sz="6" w:space="0"/>
              <w:left w:val="single" w:color="D9D9E0" w:sz="6" w:space="0"/>
              <w:bottom w:val="single" w:color="D9D9E0" w:sz="6" w:space="0"/>
              <w:right w:val="single" w:color="D9D9E0" w:sz="6" w:space="0"/>
            </w:tcBorders>
          </w:tcPr>
          <w:p w14:paraId="1ECBD6EA">
            <w:r>
              <w:t>Not reconsidered -- this is a permanent boundary, not a time-driven cut</w:t>
            </w:r>
          </w:p>
        </w:tc>
      </w:tr>
    </w:tbl>
    <w:p w14:paraId="4A605098">
      <w:pPr>
        <w:spacing w:after="80"/>
      </w:pPr>
    </w:p>
    <w:p w14:paraId="5BAF7021">
      <w:r>
        <w:br w:type="page"/>
      </w:r>
    </w:p>
    <w:p w14:paraId="19C56034">
      <w:pPr>
        <w:pBdr>
          <w:bottom w:val="single" w:color="E8660A" w:sz="8" w:space="6"/>
        </w:pBdr>
        <w:spacing w:before="440" w:after="60"/>
      </w:pPr>
      <w:r>
        <w:rPr>
          <w:b/>
          <w:color w:val="E8660A"/>
          <w:sz w:val="34"/>
        </w:rPr>
        <w:t xml:space="preserve">7   </w:t>
      </w:r>
      <w:r>
        <w:rPr>
          <w:b/>
          <w:color w:val="1A1A2E"/>
          <w:sz w:val="34"/>
        </w:rPr>
        <w:t>Assumptions and their consequences</w:t>
      </w:r>
    </w:p>
    <w:p w14:paraId="6743C7D8">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09F2B0E8">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2F5F280D">
            <w:pPr>
              <w:spacing w:before="60" w:after="60"/>
            </w:pPr>
            <w:r>
              <w:rPr>
                <w:b/>
                <w:color w:val="FFFFFF"/>
                <w:sz w:val="17"/>
              </w:rPr>
              <w:t>Assumption</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2B2ABD89">
            <w:pPr>
              <w:spacing w:before="60" w:after="60"/>
            </w:pPr>
            <w:r>
              <w:rPr>
                <w:b/>
                <w:color w:val="FFFFFF"/>
                <w:sz w:val="17"/>
              </w:rPr>
              <w:t>Why you believe it</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0915F3CB">
            <w:pPr>
              <w:spacing w:before="60" w:after="60"/>
            </w:pPr>
            <w:r>
              <w:rPr>
                <w:b/>
                <w:color w:val="FFFFFF"/>
                <w:sz w:val="17"/>
              </w:rPr>
              <w:t>What happens if it is false</w:t>
            </w:r>
          </w:p>
        </w:tc>
        <w:tc>
          <w:tcPr>
            <w:tcW w:w="2412" w:type="dxa"/>
            <w:tcBorders>
              <w:top w:val="single" w:color="D9D9E0" w:sz="6" w:space="0"/>
              <w:left w:val="single" w:color="D9D9E0" w:sz="6" w:space="0"/>
              <w:bottom w:val="single" w:color="D9D9E0" w:sz="6" w:space="0"/>
              <w:right w:val="single" w:color="D9D9E0" w:sz="6" w:space="0"/>
            </w:tcBorders>
            <w:shd w:val="clear" w:color="auto" w:fill="E8660A"/>
          </w:tcPr>
          <w:p w14:paraId="0D946E9A">
            <w:pPr>
              <w:spacing w:before="60" w:after="60"/>
            </w:pPr>
            <w:r>
              <w:rPr>
                <w:b/>
                <w:color w:val="FFFFFF"/>
                <w:sz w:val="17"/>
              </w:rPr>
              <w:t>How you will find out</w:t>
            </w:r>
          </w:p>
        </w:tc>
      </w:tr>
      <w:tr w14:paraId="414EE24B">
        <w:trPr>
          <w:jc w:val="center"/>
        </w:trPr>
        <w:tc>
          <w:tcPr>
            <w:tcW w:w="2412" w:type="dxa"/>
            <w:tcBorders>
              <w:top w:val="single" w:color="D9D9E0" w:sz="6" w:space="0"/>
              <w:left w:val="single" w:color="D9D9E0" w:sz="6" w:space="0"/>
              <w:bottom w:val="single" w:color="D9D9E0" w:sz="6" w:space="0"/>
              <w:right w:val="single" w:color="D9D9E0" w:sz="6" w:space="0"/>
            </w:tcBorders>
          </w:tcPr>
          <w:p w14:paraId="1F59B3E4">
            <w:r>
              <w:t>The hidden 120-ticket evaluation set uses the identical schema to validation_tickets.json</w:t>
            </w:r>
          </w:p>
        </w:tc>
        <w:tc>
          <w:tcPr>
            <w:tcW w:w="2412" w:type="dxa"/>
            <w:tcBorders>
              <w:top w:val="single" w:color="D9D9E0" w:sz="6" w:space="0"/>
              <w:left w:val="single" w:color="D9D9E0" w:sz="6" w:space="0"/>
              <w:bottom w:val="single" w:color="D9D9E0" w:sz="6" w:space="0"/>
              <w:right w:val="single" w:color="D9D9E0" w:sz="6" w:space="0"/>
            </w:tcBorders>
          </w:tcPr>
          <w:p w14:paraId="3508BC2F">
            <w:r>
              <w:t>Stated explicitly in the pack (Build Spec, Dataset_Guide)</w:t>
            </w:r>
          </w:p>
        </w:tc>
        <w:tc>
          <w:tcPr>
            <w:tcW w:w="2412" w:type="dxa"/>
            <w:tcBorders>
              <w:top w:val="single" w:color="D9D9E0" w:sz="6" w:space="0"/>
              <w:left w:val="single" w:color="D9D9E0" w:sz="6" w:space="0"/>
              <w:bottom w:val="single" w:color="D9D9E0" w:sz="6" w:space="0"/>
              <w:right w:val="single" w:color="D9D9E0" w:sz="6" w:space="0"/>
            </w:tcBorders>
          </w:tcPr>
          <w:p w14:paraId="00D03037">
            <w:r>
              <w:t>Harness would need a schema-compatibility fix</w:t>
            </w:r>
          </w:p>
        </w:tc>
        <w:tc>
          <w:tcPr>
            <w:tcW w:w="2412" w:type="dxa"/>
            <w:tcBorders>
              <w:top w:val="single" w:color="D9D9E0" w:sz="6" w:space="0"/>
              <w:left w:val="single" w:color="D9D9E0" w:sz="6" w:space="0"/>
              <w:bottom w:val="single" w:color="D9D9E0" w:sz="6" w:space="0"/>
              <w:right w:val="single" w:color="D9D9E0" w:sz="6" w:space="0"/>
            </w:tcBorders>
          </w:tcPr>
          <w:p w14:paraId="00B4CAB3">
            <w:r>
              <w:t>Ingest already tolerates missing/malformed fields as a safeguard</w:t>
            </w:r>
          </w:p>
        </w:tc>
      </w:tr>
      <w:tr w14:paraId="3016629D">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3FE80A6C">
            <w:r>
              <w:t>Groq's free tier has sufficient throughput to process ~100-500 tickets in one unattended run</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3F5D11CE">
            <w:r>
              <w:t>Groq is named in the pack as having a free tier sufficient for this work</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3DF4D642">
            <w:r>
              <w:t>Run stalls or rate-limits mid-way</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31004D1A">
            <w:r>
              <w:t>Retry/backoff + A11 graceful degradation; documented as a finding if it happens</w:t>
            </w:r>
          </w:p>
        </w:tc>
      </w:tr>
      <w:tr w14:paraId="0F0244B6">
        <w:trPr>
          <w:jc w:val="center"/>
        </w:trPr>
        <w:tc>
          <w:tcPr>
            <w:tcW w:w="2412" w:type="dxa"/>
            <w:tcBorders>
              <w:top w:val="single" w:color="D9D9E0" w:sz="6" w:space="0"/>
              <w:left w:val="single" w:color="D9D9E0" w:sz="6" w:space="0"/>
              <w:bottom w:val="single" w:color="D9D9E0" w:sz="6" w:space="0"/>
              <w:right w:val="single" w:color="D9D9E0" w:sz="6" w:space="0"/>
            </w:tcBorders>
          </w:tcPr>
          <w:p w14:paraId="6704E7E6">
            <w:r>
              <w:t>The 29-article documentation corpus is representative of what a correct answer needs</w:t>
            </w:r>
          </w:p>
        </w:tc>
        <w:tc>
          <w:tcPr>
            <w:tcW w:w="2412" w:type="dxa"/>
            <w:tcBorders>
              <w:top w:val="single" w:color="D9D9E0" w:sz="6" w:space="0"/>
              <w:left w:val="single" w:color="D9D9E0" w:sz="6" w:space="0"/>
              <w:bottom w:val="single" w:color="D9D9E0" w:sz="6" w:space="0"/>
              <w:right w:val="single" w:color="D9D9E0" w:sz="6" w:space="0"/>
            </w:tcBorders>
          </w:tcPr>
          <w:p w14:paraId="2AF4579A">
            <w:r>
              <w:t>It's the corpus ground_truth_responses.json's expected_doc_ids were written against</w:t>
            </w:r>
          </w:p>
        </w:tc>
        <w:tc>
          <w:tcPr>
            <w:tcW w:w="2412" w:type="dxa"/>
            <w:tcBorders>
              <w:top w:val="single" w:color="D9D9E0" w:sz="6" w:space="0"/>
              <w:left w:val="single" w:color="D9D9E0" w:sz="6" w:space="0"/>
              <w:bottom w:val="single" w:color="D9D9E0" w:sz="6" w:space="0"/>
              <w:right w:val="single" w:color="D9D9E0" w:sz="6" w:space="0"/>
            </w:tcBorders>
          </w:tcPr>
          <w:p w14:paraId="506C5F80">
            <w:r>
              <w:t>Low retrieval hit-rate against ground truth</w:t>
            </w:r>
          </w:p>
        </w:tc>
        <w:tc>
          <w:tcPr>
            <w:tcW w:w="2412" w:type="dxa"/>
            <w:tcBorders>
              <w:top w:val="single" w:color="D9D9E0" w:sz="6" w:space="0"/>
              <w:left w:val="single" w:color="D9D9E0" w:sz="6" w:space="0"/>
              <w:bottom w:val="single" w:color="D9D9E0" w:sz="6" w:space="0"/>
              <w:right w:val="single" w:color="D9D9E0" w:sz="6" w:space="0"/>
            </w:tcBorders>
          </w:tcPr>
          <w:p w14:paraId="4046327F">
            <w:r>
              <w:t>Chunking/embedding strategy becomes a candidate PRD revision</w:t>
            </w:r>
          </w:p>
        </w:tc>
      </w:tr>
      <w:tr w14:paraId="52BAB0B5">
        <w:trPr>
          <w:jc w:val="center"/>
        </w:trPr>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2ADEB987">
            <w:r>
              <w:t>Non-fluent-English tickets can be reasonably served by an English-only generator in v1</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52230CB5">
            <w:r>
              <w:t>No evidence yet either way -- explicitly a hypothesis, not a confirmed assumption</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20330AE">
            <w:r>
              <w:t>Fairness audit shows a real, large gap</w:t>
            </w:r>
          </w:p>
        </w:tc>
        <w:tc>
          <w:tcPr>
            <w:tcW w:w="2412" w:type="dxa"/>
            <w:tcBorders>
              <w:top w:val="single" w:color="D9D9E0" w:sz="6" w:space="0"/>
              <w:left w:val="single" w:color="D9D9E0" w:sz="6" w:space="0"/>
              <w:bottom w:val="single" w:color="D9D9E0" w:sz="6" w:space="0"/>
              <w:right w:val="single" w:color="D9D9E0" w:sz="6" w:space="0"/>
            </w:tcBorders>
            <w:shd w:val="clear" w:color="auto" w:fill="F4F4F7"/>
          </w:tcPr>
          <w:p w14:paraId="0D851514">
            <w:r>
              <w:t>Becomes the headline finding of the Stage 5 PRD revision</w:t>
            </w:r>
          </w:p>
        </w:tc>
      </w:tr>
    </w:tbl>
    <w:p w14:paraId="53E96D70">
      <w:pPr>
        <w:spacing w:after="80"/>
      </w:pPr>
    </w:p>
    <w:p w14:paraId="647820CB">
      <w:pPr>
        <w:spacing w:after="80"/>
      </w:pPr>
    </w:p>
    <w:p w14:paraId="1791E4DB">
      <w:pPr>
        <w:spacing w:after="80"/>
      </w:pPr>
    </w:p>
    <w:p w14:paraId="686F355D">
      <w:pPr>
        <w:spacing w:after="80"/>
      </w:pPr>
    </w:p>
    <w:p w14:paraId="6E9D1AD2">
      <w:pPr>
        <w:spacing w:after="80"/>
      </w:pPr>
    </w:p>
    <w:p w14:paraId="253CB226">
      <w:pPr>
        <w:spacing w:after="80"/>
      </w:pPr>
    </w:p>
    <w:p w14:paraId="1BA189B1">
      <w:pPr>
        <w:spacing w:after="80"/>
      </w:pPr>
    </w:p>
    <w:p w14:paraId="4F83DD50">
      <w:pPr>
        <w:spacing w:after="80"/>
      </w:pPr>
    </w:p>
    <w:p w14:paraId="23B5CE99">
      <w:pPr>
        <w:spacing w:after="80"/>
      </w:pPr>
    </w:p>
    <w:p w14:paraId="4FC7E209">
      <w:pPr>
        <w:spacing w:after="80"/>
      </w:pPr>
    </w:p>
    <w:p w14:paraId="62D70E8D">
      <w:pPr>
        <w:spacing w:after="80"/>
      </w:pPr>
    </w:p>
    <w:p w14:paraId="47DC02D3">
      <w:pPr>
        <w:pBdr>
          <w:bottom w:val="single" w:color="E8660A" w:sz="8" w:space="6"/>
        </w:pBdr>
        <w:spacing w:before="440" w:after="60"/>
      </w:pPr>
      <w:r>
        <w:rPr>
          <w:b/>
          <w:color w:val="E8660A"/>
          <w:sz w:val="34"/>
        </w:rPr>
        <w:t xml:space="preserve">8   </w:t>
      </w:r>
      <w:r>
        <w:rPr>
          <w:b/>
          <w:color w:val="1A1A2E"/>
          <w:sz w:val="34"/>
        </w:rPr>
        <w:t>Success measures</w:t>
      </w:r>
    </w:p>
    <w:p w14:paraId="2E7DE83E">
      <w:pPr>
        <w:spacing w:after="140"/>
      </w:pPr>
      <w:r>
        <w:rPr>
          <w:i w:val="0"/>
          <w:sz w:val="21"/>
        </w:rPr>
        <w:t>State the measures this system will be judged on, with the baseline and the target for each, and say who is accountable for reporting them.</w:t>
      </w:r>
    </w:p>
    <w:tbl>
      <w:tblPr>
        <w:tblStyle w:val="12"/>
        <w:tblW w:w="0" w:type="auto"/>
        <w:jc w:val="center"/>
        <w:tblLayout w:type="fixed"/>
        <w:tblCellMar>
          <w:top w:w="0" w:type="dxa"/>
          <w:left w:w="108" w:type="dxa"/>
          <w:bottom w:w="0" w:type="dxa"/>
          <w:right w:w="108" w:type="dxa"/>
        </w:tblCellMar>
      </w:tblPr>
      <w:tblGrid>
        <w:gridCol w:w="1930"/>
        <w:gridCol w:w="1930"/>
        <w:gridCol w:w="1930"/>
        <w:gridCol w:w="1930"/>
        <w:gridCol w:w="1930"/>
      </w:tblGrid>
      <w:tr w14:paraId="78861BCE">
        <w:trPr>
          <w:jc w:val="center"/>
        </w:trPr>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6C1BA387">
            <w:pPr>
              <w:spacing w:before="60" w:after="60"/>
            </w:pPr>
            <w:r>
              <w:rPr>
                <w:b/>
                <w:color w:val="FFFFFF"/>
                <w:sz w:val="17"/>
              </w:rPr>
              <w:t>Measure</w:t>
            </w:r>
          </w:p>
        </w:tc>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0393D7B4">
            <w:pPr>
              <w:spacing w:before="60" w:after="60"/>
            </w:pPr>
            <w:r>
              <w:rPr>
                <w:b/>
                <w:color w:val="FFFFFF"/>
                <w:sz w:val="17"/>
              </w:rPr>
              <w:t>Baseline</w:t>
            </w:r>
          </w:p>
        </w:tc>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0700D327">
            <w:pPr>
              <w:spacing w:before="60" w:after="60"/>
            </w:pPr>
            <w:r>
              <w:rPr>
                <w:b/>
                <w:color w:val="FFFFFF"/>
                <w:sz w:val="17"/>
              </w:rPr>
              <w:t>Target</w:t>
            </w:r>
          </w:p>
        </w:tc>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71A0E473">
            <w:pPr>
              <w:spacing w:before="60" w:after="60"/>
            </w:pPr>
            <w:r>
              <w:rPr>
                <w:b/>
                <w:color w:val="FFFFFF"/>
                <w:sz w:val="17"/>
              </w:rPr>
              <w:t>Measured how</w:t>
            </w:r>
          </w:p>
        </w:tc>
        <w:tc>
          <w:tcPr>
            <w:tcW w:w="1930" w:type="dxa"/>
            <w:tcBorders>
              <w:top w:val="single" w:color="D9D9E0" w:sz="6" w:space="0"/>
              <w:left w:val="single" w:color="D9D9E0" w:sz="6" w:space="0"/>
              <w:bottom w:val="single" w:color="D9D9E0" w:sz="6" w:space="0"/>
              <w:right w:val="single" w:color="D9D9E0" w:sz="6" w:space="0"/>
            </w:tcBorders>
            <w:shd w:val="clear" w:color="auto" w:fill="E8660A"/>
          </w:tcPr>
          <w:p w14:paraId="4D26F85E">
            <w:pPr>
              <w:spacing w:before="60" w:after="60"/>
            </w:pPr>
            <w:r>
              <w:rPr>
                <w:b/>
                <w:color w:val="FFFFFF"/>
                <w:sz w:val="17"/>
              </w:rPr>
              <w:t>Reported by</w:t>
            </w:r>
          </w:p>
        </w:tc>
      </w:tr>
      <w:tr w14:paraId="62889623">
        <w:trPr>
          <w:jc w:val="center"/>
        </w:trPr>
        <w:tc>
          <w:tcPr>
            <w:tcW w:w="1930" w:type="dxa"/>
            <w:tcBorders>
              <w:top w:val="single" w:color="D9D9E0" w:sz="6" w:space="0"/>
              <w:left w:val="single" w:color="D9D9E0" w:sz="6" w:space="0"/>
              <w:bottom w:val="single" w:color="D9D9E0" w:sz="6" w:space="0"/>
              <w:right w:val="single" w:color="D9D9E0" w:sz="6" w:space="0"/>
            </w:tcBorders>
          </w:tcPr>
          <w:p w14:paraId="7B3B09BA">
            <w:pPr>
              <w:spacing w:before="50" w:after="50"/>
            </w:pPr>
            <w:r>
              <w:rPr>
                <w:sz w:val="16"/>
              </w:rPr>
              <w:t>First contact resolution</w:t>
            </w:r>
          </w:p>
        </w:tc>
        <w:tc>
          <w:tcPr>
            <w:tcW w:w="1930" w:type="dxa"/>
            <w:tcBorders>
              <w:top w:val="single" w:color="D9D9E0" w:sz="6" w:space="0"/>
              <w:left w:val="single" w:color="D9D9E0" w:sz="6" w:space="0"/>
              <w:bottom w:val="single" w:color="D9D9E0" w:sz="6" w:space="0"/>
              <w:right w:val="single" w:color="D9D9E0" w:sz="6" w:space="0"/>
            </w:tcBorders>
          </w:tcPr>
          <w:p w14:paraId="5B238687">
            <w:r>
              <w:t>42%</w:t>
            </w:r>
          </w:p>
        </w:tc>
        <w:tc>
          <w:tcPr>
            <w:tcW w:w="1930" w:type="dxa"/>
            <w:tcBorders>
              <w:top w:val="single" w:color="D9D9E0" w:sz="6" w:space="0"/>
              <w:left w:val="single" w:color="D9D9E0" w:sz="6" w:space="0"/>
              <w:bottom w:val="single" w:color="D9D9E0" w:sz="6" w:space="0"/>
              <w:right w:val="single" w:color="D9D9E0" w:sz="6" w:space="0"/>
            </w:tcBorders>
          </w:tcPr>
          <w:p w14:paraId="32B71825">
            <w:r>
              <w:t>60% or better</w:t>
            </w:r>
          </w:p>
        </w:tc>
        <w:tc>
          <w:tcPr>
            <w:tcW w:w="1930" w:type="dxa"/>
            <w:tcBorders>
              <w:top w:val="single" w:color="D9D9E0" w:sz="6" w:space="0"/>
              <w:left w:val="single" w:color="D9D9E0" w:sz="6" w:space="0"/>
              <w:bottom w:val="single" w:color="D9D9E0" w:sz="6" w:space="0"/>
              <w:right w:val="single" w:color="D9D9E0" w:sz="6" w:space="0"/>
            </w:tcBorders>
          </w:tcPr>
          <w:p w14:paraId="0EB842AF">
            <w:r>
              <w:t>auto_respond count / total tickets, computed by the harness</w:t>
            </w:r>
          </w:p>
        </w:tc>
        <w:tc>
          <w:tcPr>
            <w:tcW w:w="1930" w:type="dxa"/>
            <w:tcBorders>
              <w:top w:val="single" w:color="D9D9E0" w:sz="6" w:space="0"/>
              <w:left w:val="single" w:color="D9D9E0" w:sz="6" w:space="0"/>
              <w:bottom w:val="single" w:color="D9D9E0" w:sz="6" w:space="0"/>
              <w:right w:val="single" w:color="D9D9E0" w:sz="6" w:space="0"/>
            </w:tcBorders>
          </w:tcPr>
          <w:p w14:paraId="2C0DA016">
            <w:r>
              <w:t>Dhanush Varanasi</w:t>
            </w:r>
          </w:p>
        </w:tc>
      </w:tr>
      <w:tr w14:paraId="1F858426">
        <w:trPr>
          <w:jc w:val="center"/>
        </w:trPr>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0CDB5676">
            <w:pPr>
              <w:spacing w:before="50" w:after="50"/>
            </w:pPr>
            <w:r>
              <w:rPr>
                <w:sz w:val="16"/>
              </w:rPr>
              <w:t>Time to first reply</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6B320292">
            <w:r>
              <w:t>8 to 12 hours</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2E96ADB4">
            <w:r>
              <w:t>Under 5 minutes (system latency is a proxy in this offline evaluation -- no live customers)</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71C0390C">
            <w:r>
              <w:t>Pipeline latency_seconds, mean and median</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382753FC">
            <w:r>
              <w:t>Dhanush Varanasi</w:t>
            </w:r>
          </w:p>
        </w:tc>
      </w:tr>
      <w:tr w14:paraId="30412815">
        <w:trPr>
          <w:jc w:val="center"/>
        </w:trPr>
        <w:tc>
          <w:tcPr>
            <w:tcW w:w="1930" w:type="dxa"/>
            <w:tcBorders>
              <w:top w:val="single" w:color="D9D9E0" w:sz="6" w:space="0"/>
              <w:left w:val="single" w:color="D9D9E0" w:sz="6" w:space="0"/>
              <w:bottom w:val="single" w:color="D9D9E0" w:sz="6" w:space="0"/>
              <w:right w:val="single" w:color="D9D9E0" w:sz="6" w:space="0"/>
            </w:tcBorders>
          </w:tcPr>
          <w:p w14:paraId="5189F530">
            <w:pPr>
              <w:spacing w:before="50" w:after="50"/>
            </w:pPr>
            <w:r>
              <w:rPr>
                <w:sz w:val="16"/>
              </w:rPr>
              <w:t>Customer satisfaction</w:t>
            </w:r>
          </w:p>
        </w:tc>
        <w:tc>
          <w:tcPr>
            <w:tcW w:w="1930" w:type="dxa"/>
            <w:tcBorders>
              <w:top w:val="single" w:color="D9D9E0" w:sz="6" w:space="0"/>
              <w:left w:val="single" w:color="D9D9E0" w:sz="6" w:space="0"/>
              <w:bottom w:val="single" w:color="D9D9E0" w:sz="6" w:space="0"/>
              <w:right w:val="single" w:color="D9D9E0" w:sz="6" w:space="0"/>
            </w:tcBorders>
          </w:tcPr>
          <w:p w14:paraId="21788583">
            <w:r>
              <w:t>3.2 / 5</w:t>
            </w:r>
          </w:p>
        </w:tc>
        <w:tc>
          <w:tcPr>
            <w:tcW w:w="1930" w:type="dxa"/>
            <w:tcBorders>
              <w:top w:val="single" w:color="D9D9E0" w:sz="6" w:space="0"/>
              <w:left w:val="single" w:color="D9D9E0" w:sz="6" w:space="0"/>
              <w:bottom w:val="single" w:color="D9D9E0" w:sz="6" w:space="0"/>
              <w:right w:val="single" w:color="D9D9E0" w:sz="6" w:space="0"/>
            </w:tcBorders>
          </w:tcPr>
          <w:p w14:paraId="3AF19CFA">
            <w:r>
              <w:t>4.0 or better (proxy -- human review of a response sample against a rubric)</w:t>
            </w:r>
          </w:p>
        </w:tc>
        <w:tc>
          <w:tcPr>
            <w:tcW w:w="1930" w:type="dxa"/>
            <w:tcBorders>
              <w:top w:val="single" w:color="D9D9E0" w:sz="6" w:space="0"/>
              <w:left w:val="single" w:color="D9D9E0" w:sz="6" w:space="0"/>
              <w:bottom w:val="single" w:color="D9D9E0" w:sz="6" w:space="0"/>
              <w:right w:val="single" w:color="D9D9E0" w:sz="6" w:space="0"/>
            </w:tcBorders>
          </w:tcPr>
          <w:p w14:paraId="111D09A3">
            <w:r>
              <w:t>Rubric-scored sample, method and n stated in the report</w:t>
            </w:r>
          </w:p>
        </w:tc>
        <w:tc>
          <w:tcPr>
            <w:tcW w:w="1930" w:type="dxa"/>
            <w:tcBorders>
              <w:top w:val="single" w:color="D9D9E0" w:sz="6" w:space="0"/>
              <w:left w:val="single" w:color="D9D9E0" w:sz="6" w:space="0"/>
              <w:bottom w:val="single" w:color="D9D9E0" w:sz="6" w:space="0"/>
              <w:right w:val="single" w:color="D9D9E0" w:sz="6" w:space="0"/>
            </w:tcBorders>
          </w:tcPr>
          <w:p w14:paraId="659F15B4">
            <w:r>
              <w:t>Dhanush Varanasi</w:t>
            </w:r>
          </w:p>
        </w:tc>
      </w:tr>
      <w:tr w14:paraId="20E3FA46">
        <w:trPr>
          <w:jc w:val="center"/>
        </w:trPr>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3D77CC5E">
            <w:pPr>
              <w:spacing w:before="50" w:after="50"/>
            </w:pPr>
            <w:r>
              <w:rPr>
                <w:sz w:val="16"/>
              </w:rPr>
              <w:t>Escalation rate</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6EB58E8C">
            <w:r>
              <w:t>58%</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2EF34775">
            <w:r>
              <w:t>30% or lower</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08A3F92C">
            <w:r>
              <w:t>escalate count / total tickets, computed by the harness</w:t>
            </w:r>
          </w:p>
        </w:tc>
        <w:tc>
          <w:tcPr>
            <w:tcW w:w="1930" w:type="dxa"/>
            <w:tcBorders>
              <w:top w:val="single" w:color="D9D9E0" w:sz="6" w:space="0"/>
              <w:left w:val="single" w:color="D9D9E0" w:sz="6" w:space="0"/>
              <w:bottom w:val="single" w:color="D9D9E0" w:sz="6" w:space="0"/>
              <w:right w:val="single" w:color="D9D9E0" w:sz="6" w:space="0"/>
            </w:tcBorders>
            <w:shd w:val="clear" w:color="auto" w:fill="F4F4F7"/>
          </w:tcPr>
          <w:p w14:paraId="340DC1F6">
            <w:r>
              <w:t>Dhanush Varanasi</w:t>
            </w:r>
          </w:p>
        </w:tc>
      </w:tr>
    </w:tbl>
    <w:p w14:paraId="6AFDE66F">
      <w:pPr>
        <w:spacing w:after="80"/>
      </w:pPr>
      <w:bookmarkStart w:id="0" w:name="_GoBack"/>
      <w:bookmarkEnd w:id="0"/>
    </w:p>
    <w:p w14:paraId="60B58B5E">
      <w:pPr>
        <w:pBdr>
          <w:bottom w:val="single" w:color="E8660A" w:sz="8" w:space="6"/>
        </w:pBdr>
        <w:spacing w:before="440" w:after="60"/>
      </w:pPr>
      <w:r>
        <w:rPr>
          <w:b/>
          <w:color w:val="E8660A"/>
          <w:sz w:val="34"/>
        </w:rPr>
        <w:t xml:space="preserve">9   </w:t>
      </w:r>
      <w:r>
        <w:rPr>
          <w:b/>
          <w:color w:val="1A1A2E"/>
          <w:sz w:val="34"/>
        </w:rPr>
        <w:t>Open questions</w:t>
      </w:r>
    </w:p>
    <w:p w14:paraId="3276EDDB">
      <w:pPr>
        <w:spacing w:after="140"/>
      </w:pPr>
      <w:r>
        <w:rPr>
          <w:i w:val="0"/>
          <w:sz w:val="21"/>
        </w:rPr>
        <w:t>The things you do not yet know. Each one needs an owner and a date by which it will be resolved, otherwise it will still be open in week three.</w:t>
      </w:r>
    </w:p>
    <w:tbl>
      <w:tblPr>
        <w:tblStyle w:val="12"/>
        <w:tblW w:w="0" w:type="auto"/>
        <w:jc w:val="center"/>
        <w:tblLayout w:type="fixed"/>
        <w:tblCellMar>
          <w:top w:w="0" w:type="dxa"/>
          <w:left w:w="108" w:type="dxa"/>
          <w:bottom w:w="0" w:type="dxa"/>
          <w:right w:w="108" w:type="dxa"/>
        </w:tblCellMar>
      </w:tblPr>
      <w:tblGrid>
        <w:gridCol w:w="2412"/>
        <w:gridCol w:w="2412"/>
        <w:gridCol w:w="2412"/>
        <w:gridCol w:w="2412"/>
      </w:tblGrid>
      <w:tr w14:paraId="1BD1E2E6">
        <w:trPr>
          <w:jc w:val="center"/>
        </w:trPr>
        <w:tc>
          <w:tcPr>
            <w:tcW w:w="3312" w:type="dxa"/>
            <w:tcBorders>
              <w:top w:val="single" w:color="D9D9E0" w:sz="6" w:space="0"/>
              <w:left w:val="single" w:color="D9D9E0" w:sz="6" w:space="0"/>
              <w:bottom w:val="single" w:color="D9D9E0" w:sz="6" w:space="0"/>
              <w:right w:val="single" w:color="D9D9E0" w:sz="6" w:space="0"/>
            </w:tcBorders>
            <w:shd w:val="clear" w:color="auto" w:fill="E8660A"/>
          </w:tcPr>
          <w:p w14:paraId="5DF93C63">
            <w:pPr>
              <w:spacing w:before="60" w:after="60"/>
            </w:pPr>
            <w:r>
              <w:rPr>
                <w:b/>
                <w:color w:val="FFFFFF"/>
                <w:sz w:val="18"/>
              </w:rPr>
              <w:t>Question</w:t>
            </w:r>
          </w:p>
        </w:tc>
        <w:tc>
          <w:tcPr>
            <w:tcW w:w="3168" w:type="dxa"/>
            <w:tcBorders>
              <w:top w:val="single" w:color="D9D9E0" w:sz="6" w:space="0"/>
              <w:left w:val="single" w:color="D9D9E0" w:sz="6" w:space="0"/>
              <w:bottom w:val="single" w:color="D9D9E0" w:sz="6" w:space="0"/>
              <w:right w:val="single" w:color="D9D9E0" w:sz="6" w:space="0"/>
            </w:tcBorders>
            <w:shd w:val="clear" w:color="auto" w:fill="E8660A"/>
          </w:tcPr>
          <w:p w14:paraId="731C0E9B">
            <w:pPr>
              <w:spacing w:before="60" w:after="60"/>
            </w:pPr>
            <w:r>
              <w:rPr>
                <w:b/>
                <w:color w:val="FFFFFF"/>
                <w:sz w:val="18"/>
              </w:rPr>
              <w:t>Why it matters</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544818F9">
            <w:pPr>
              <w:spacing w:before="60" w:after="60"/>
            </w:pPr>
            <w:r>
              <w:rPr>
                <w:b/>
                <w:color w:val="FFFFFF"/>
                <w:sz w:val="18"/>
              </w:rPr>
              <w:t>Owner</w:t>
            </w:r>
          </w:p>
        </w:tc>
        <w:tc>
          <w:tcPr>
            <w:tcW w:w="1584" w:type="dxa"/>
            <w:tcBorders>
              <w:top w:val="single" w:color="D9D9E0" w:sz="6" w:space="0"/>
              <w:left w:val="single" w:color="D9D9E0" w:sz="6" w:space="0"/>
              <w:bottom w:val="single" w:color="D9D9E0" w:sz="6" w:space="0"/>
              <w:right w:val="single" w:color="D9D9E0" w:sz="6" w:space="0"/>
            </w:tcBorders>
            <w:shd w:val="clear" w:color="auto" w:fill="E8660A"/>
          </w:tcPr>
          <w:p w14:paraId="7392286C">
            <w:pPr>
              <w:spacing w:before="60" w:after="60"/>
            </w:pPr>
            <w:r>
              <w:rPr>
                <w:b/>
                <w:color w:val="FFFFFF"/>
                <w:sz w:val="18"/>
              </w:rPr>
              <w:t>Resolve by</w:t>
            </w:r>
          </w:p>
        </w:tc>
      </w:tr>
      <w:tr w14:paraId="0C090165">
        <w:trPr>
          <w:jc w:val="center"/>
        </w:trPr>
        <w:tc>
          <w:tcPr>
            <w:tcW w:w="3312" w:type="dxa"/>
            <w:tcBorders>
              <w:top w:val="single" w:color="D9D9E0" w:sz="6" w:space="0"/>
              <w:left w:val="single" w:color="D9D9E0" w:sz="6" w:space="0"/>
              <w:bottom w:val="single" w:color="D9D9E0" w:sz="6" w:space="0"/>
              <w:right w:val="single" w:color="D9D9E0" w:sz="6" w:space="0"/>
            </w:tcBorders>
          </w:tcPr>
          <w:p w14:paraId="28DF6CB3">
            <w:r>
              <w:t>Does the confidence threshold (0.80) need to move once real classifier calibration data exists?</w:t>
            </w:r>
          </w:p>
        </w:tc>
        <w:tc>
          <w:tcPr>
            <w:tcW w:w="3168" w:type="dxa"/>
            <w:tcBorders>
              <w:top w:val="single" w:color="D9D9E0" w:sz="6" w:space="0"/>
              <w:left w:val="single" w:color="D9D9E0" w:sz="6" w:space="0"/>
              <w:bottom w:val="single" w:color="D9D9E0" w:sz="6" w:space="0"/>
              <w:right w:val="single" w:color="D9D9E0" w:sz="6" w:space="0"/>
            </w:tcBorders>
          </w:tcPr>
          <w:p w14:paraId="6841595A">
            <w:r>
              <w:t>Routing quality and the FCR/escalation-rate targets depend directly on it</w:t>
            </w:r>
          </w:p>
        </w:tc>
        <w:tc>
          <w:tcPr>
            <w:tcW w:w="1584" w:type="dxa"/>
            <w:tcBorders>
              <w:top w:val="single" w:color="D9D9E0" w:sz="6" w:space="0"/>
              <w:left w:val="single" w:color="D9D9E0" w:sz="6" w:space="0"/>
              <w:bottom w:val="single" w:color="D9D9E0" w:sz="6" w:space="0"/>
              <w:right w:val="single" w:color="D9D9E0" w:sz="6" w:space="0"/>
            </w:tcBorders>
          </w:tcPr>
          <w:p w14:paraId="6A124DC5">
            <w:r>
              <w:t>Dhanush Varanasi</w:t>
            </w:r>
          </w:p>
        </w:tc>
        <w:tc>
          <w:tcPr>
            <w:tcW w:w="1584" w:type="dxa"/>
            <w:tcBorders>
              <w:top w:val="single" w:color="D9D9E0" w:sz="6" w:space="0"/>
              <w:left w:val="single" w:color="D9D9E0" w:sz="6" w:space="0"/>
              <w:bottom w:val="single" w:color="D9D9E0" w:sz="6" w:space="0"/>
              <w:right w:val="single" w:color="D9D9E0" w:sz="6" w:space="0"/>
            </w:tcBorders>
          </w:tcPr>
          <w:p w14:paraId="5AEACA8E">
            <w:r>
              <w:t>Before the final evaluation run against the hidden set. Answered: left at 0.80. router.py forces escalate on any fallback before the threshold is ever checked, so the fallback-driven escalation rate wasn't threshold-sensitive; see docs/PRD_REVISION_LOG.md.</w:t>
            </w:r>
          </w:p>
        </w:tc>
      </w:tr>
      <w:tr w14:paraId="33B10937">
        <w:trPr>
          <w:jc w:val="center"/>
        </w:trPr>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098F6E10">
            <w:r>
              <w:t>Is the non-fluent-English fairness gap real once tested against this system's own retrieval, not just historical human-handled data?</w:t>
            </w:r>
          </w:p>
        </w:tc>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14C524BB">
            <w:r>
              <w:t>Candidate headline finding for the compulsory PRD revision and the governance fairness audit</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7524954A">
            <w:r>
              <w:t>Dhanush Varanasi</w:t>
            </w: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76F24B86">
            <w:r>
              <w:t>After the first full evaluation run. Answered: no gap found. Non-fluent tickets resolved slightly better than fluent in both evaluation runs, well inside the 5-point NFR-07 threshold; see docs/PRD_REVISION_LOG.md. A separate, unexpected customer-tier fairness question emerged from the same audit and is still open.</w:t>
            </w:r>
          </w:p>
        </w:tc>
      </w:tr>
      <w:tr w14:paraId="7A11927C">
        <w:trPr>
          <w:jc w:val="center"/>
        </w:trPr>
        <w:tc>
          <w:tcPr>
            <w:tcW w:w="3312" w:type="dxa"/>
            <w:tcBorders>
              <w:top w:val="single" w:color="D9D9E0" w:sz="6" w:space="0"/>
              <w:left w:val="single" w:color="D9D9E0" w:sz="6" w:space="0"/>
              <w:bottom w:val="single" w:color="D9D9E0" w:sz="6" w:space="0"/>
              <w:right w:val="single" w:color="D9D9E0" w:sz="6" w:space="0"/>
            </w:tcBorders>
          </w:tcPr>
          <w:p w14:paraId="52BF3B23">
            <w:pPr>
              <w:spacing w:before="50" w:after="50"/>
            </w:pPr>
          </w:p>
        </w:tc>
        <w:tc>
          <w:tcPr>
            <w:tcW w:w="3168" w:type="dxa"/>
            <w:tcBorders>
              <w:top w:val="single" w:color="D9D9E0" w:sz="6" w:space="0"/>
              <w:left w:val="single" w:color="D9D9E0" w:sz="6" w:space="0"/>
              <w:bottom w:val="single" w:color="D9D9E0" w:sz="6" w:space="0"/>
              <w:right w:val="single" w:color="D9D9E0" w:sz="6" w:space="0"/>
            </w:tcBorders>
          </w:tcPr>
          <w:p w14:paraId="6457B427">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71A659B5">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1E706F17">
            <w:pPr>
              <w:spacing w:before="50" w:after="50"/>
            </w:pPr>
          </w:p>
        </w:tc>
      </w:tr>
      <w:tr w14:paraId="4D3A4DD9">
        <w:trPr>
          <w:jc w:val="center"/>
        </w:trPr>
        <w:tc>
          <w:tcPr>
            <w:tcW w:w="3312" w:type="dxa"/>
            <w:tcBorders>
              <w:top w:val="single" w:color="D9D9E0" w:sz="6" w:space="0"/>
              <w:left w:val="single" w:color="D9D9E0" w:sz="6" w:space="0"/>
              <w:bottom w:val="single" w:color="D9D9E0" w:sz="6" w:space="0"/>
              <w:right w:val="single" w:color="D9D9E0" w:sz="6" w:space="0"/>
            </w:tcBorders>
            <w:shd w:val="clear" w:color="auto" w:fill="F4F4F7"/>
          </w:tcPr>
          <w:p w14:paraId="05A7BEAC">
            <w:pPr>
              <w:spacing w:before="50" w:after="50"/>
            </w:pPr>
          </w:p>
        </w:tc>
        <w:tc>
          <w:tcPr>
            <w:tcW w:w="3168" w:type="dxa"/>
            <w:tcBorders>
              <w:top w:val="single" w:color="D9D9E0" w:sz="6" w:space="0"/>
              <w:left w:val="single" w:color="D9D9E0" w:sz="6" w:space="0"/>
              <w:bottom w:val="single" w:color="D9D9E0" w:sz="6" w:space="0"/>
              <w:right w:val="single" w:color="D9D9E0" w:sz="6" w:space="0"/>
            </w:tcBorders>
            <w:shd w:val="clear" w:color="auto" w:fill="F4F4F7"/>
          </w:tcPr>
          <w:p w14:paraId="04478B62">
            <w:pPr>
              <w:spacing w:before="50" w:after="50"/>
            </w:pP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71798137">
            <w:pPr>
              <w:spacing w:before="50" w:after="50"/>
            </w:pPr>
          </w:p>
        </w:tc>
        <w:tc>
          <w:tcPr>
            <w:tcW w:w="1584" w:type="dxa"/>
            <w:tcBorders>
              <w:top w:val="single" w:color="D9D9E0" w:sz="6" w:space="0"/>
              <w:left w:val="single" w:color="D9D9E0" w:sz="6" w:space="0"/>
              <w:bottom w:val="single" w:color="D9D9E0" w:sz="6" w:space="0"/>
              <w:right w:val="single" w:color="D9D9E0" w:sz="6" w:space="0"/>
            </w:tcBorders>
            <w:shd w:val="clear" w:color="auto" w:fill="F4F4F7"/>
          </w:tcPr>
          <w:p w14:paraId="2A2FE045">
            <w:pPr>
              <w:spacing w:before="50" w:after="50"/>
            </w:pPr>
          </w:p>
        </w:tc>
      </w:tr>
      <w:tr w14:paraId="063AD81E">
        <w:trPr>
          <w:jc w:val="center"/>
        </w:trPr>
        <w:tc>
          <w:tcPr>
            <w:tcW w:w="3312" w:type="dxa"/>
            <w:tcBorders>
              <w:top w:val="single" w:color="D9D9E0" w:sz="6" w:space="0"/>
              <w:left w:val="single" w:color="D9D9E0" w:sz="6" w:space="0"/>
              <w:bottom w:val="single" w:color="D9D9E0" w:sz="6" w:space="0"/>
              <w:right w:val="single" w:color="D9D9E0" w:sz="6" w:space="0"/>
            </w:tcBorders>
          </w:tcPr>
          <w:p w14:paraId="4869D823">
            <w:pPr>
              <w:spacing w:before="50" w:after="50"/>
            </w:pPr>
          </w:p>
        </w:tc>
        <w:tc>
          <w:tcPr>
            <w:tcW w:w="3168" w:type="dxa"/>
            <w:tcBorders>
              <w:top w:val="single" w:color="D9D9E0" w:sz="6" w:space="0"/>
              <w:left w:val="single" w:color="D9D9E0" w:sz="6" w:space="0"/>
              <w:bottom w:val="single" w:color="D9D9E0" w:sz="6" w:space="0"/>
              <w:right w:val="single" w:color="D9D9E0" w:sz="6" w:space="0"/>
            </w:tcBorders>
          </w:tcPr>
          <w:p w14:paraId="27872514">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49E26A2A">
            <w:pPr>
              <w:spacing w:before="50" w:after="50"/>
            </w:pPr>
          </w:p>
        </w:tc>
        <w:tc>
          <w:tcPr>
            <w:tcW w:w="1584" w:type="dxa"/>
            <w:tcBorders>
              <w:top w:val="single" w:color="D9D9E0" w:sz="6" w:space="0"/>
              <w:left w:val="single" w:color="D9D9E0" w:sz="6" w:space="0"/>
              <w:bottom w:val="single" w:color="D9D9E0" w:sz="6" w:space="0"/>
              <w:right w:val="single" w:color="D9D9E0" w:sz="6" w:space="0"/>
            </w:tcBorders>
          </w:tcPr>
          <w:p w14:paraId="27060397">
            <w:pPr>
              <w:spacing w:before="50" w:after="50"/>
            </w:pPr>
          </w:p>
        </w:tc>
      </w:tr>
    </w:tbl>
    <w:p w14:paraId="1FC338A7">
      <w:pPr>
        <w:spacing w:after="80"/>
      </w:pPr>
    </w:p>
    <w:tbl>
      <w:tblPr>
        <w:tblStyle w:val="12"/>
        <w:tblW w:w="0" w:type="auto"/>
        <w:tblInd w:w="0" w:type="dxa"/>
        <w:tblLayout w:type="autofit"/>
        <w:tblCellMar>
          <w:top w:w="0" w:type="dxa"/>
          <w:left w:w="108" w:type="dxa"/>
          <w:bottom w:w="0" w:type="dxa"/>
          <w:right w:w="108" w:type="dxa"/>
        </w:tblCellMar>
      </w:tblPr>
      <w:tblGrid>
        <w:gridCol w:w="9648"/>
      </w:tblGrid>
      <w:tr w14:paraId="098F3537">
        <w:tc>
          <w:tcPr>
            <w:tcW w:w="9648" w:type="dxa"/>
            <w:tcBorders>
              <w:top w:val="nil"/>
              <w:left w:val="nil"/>
              <w:bottom w:val="nil"/>
              <w:right w:val="nil"/>
            </w:tcBorders>
            <w:shd w:val="clear" w:color="auto" w:fill="FDEDE1"/>
          </w:tcPr>
          <w:p w14:paraId="1D7C7BDC">
            <w:pPr>
              <w:spacing w:before="140" w:after="60"/>
            </w:pPr>
            <w:r>
              <w:rPr>
                <w:b/>
                <w:color w:val="E8660A"/>
                <w:sz w:val="21"/>
              </w:rPr>
              <w:t>The review before you move on</w:t>
            </w:r>
          </w:p>
          <w:p w14:paraId="6C1B7E78">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14:paraId="5A74B588">
      <w:pPr>
        <w:spacing w:after="40"/>
      </w:pPr>
    </w:p>
    <w:sectPr>
      <w:footerReference r:id="rId5" w:type="default"/>
      <w:pgSz w:w="12240" w:h="15840"/>
      <w:pgMar w:top="1296" w:right="1296" w:bottom="1296"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60554A">
    <w:pPr>
      <w:pStyle w:val="18"/>
      <w:jc w:val="center"/>
    </w:pPr>
    <w:r>
      <w:rPr>
        <w:color w:val="4A4A63"/>
        <w:sz w:val="15"/>
      </w:rPr>
      <w:t>Forward Deployed AI Engineering  ·  Stage Two  ·  Product Requirements Document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93" w:lineRule="auto"/>
      </w:pPr>
      <w:r>
        <w:separator/>
      </w:r>
    </w:p>
  </w:footnote>
  <w:footnote w:type="continuationSeparator" w:id="1">
    <w:p>
      <w:pPr>
        <w:spacing w:before="0" w:after="0" w:line="29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DFB3961"/>
    <w:rsid w:val="73B3AD90"/>
    <w:rsid w:val="75F6C47E"/>
    <w:rsid w:val="7DFE94F8"/>
    <w:rsid w:val="B7EF124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40" w:line="293" w:lineRule="auto"/>
    </w:pPr>
    <w:rPr>
      <w:rFonts w:ascii="Calibri" w:hAnsi="Calibri" w:eastAsiaTheme="minorEastAsia" w:cstheme="minorBidi"/>
      <w:color w:val="222233"/>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5</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2013-12-24T10:15:00Z</dcterms:created>
  <dc:creator>python-docx</dc:creator>
  <dc:description>generated by python-docx</dc:description>
  <cp:lastModifiedBy>Dhanush Varanasi</cp:lastModifiedBy>
  <dcterms:modified xsi:type="dcterms:W3CDTF">2026-09-19T12:42:00Z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63A7F4D488813EEC6632AE6A0FF01C6B_42</vt:lpwstr>
  </property>
</Properties>
</file>