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CB71E"/>
    <w:p w14:paraId="75ED2BE5"/>
    <w:p w14:paraId="71E1409C">
      <w:pPr>
        <w:spacing w:after="40"/>
        <w:jc w:val="center"/>
      </w:pPr>
      <w:r>
        <w:rPr>
          <w:b/>
          <w:color w:val="E8660A"/>
          <w:sz w:val="26"/>
        </w:rPr>
        <w:t>FORWARD DEPLOYED AI ENGINEERING</w:t>
      </w:r>
    </w:p>
    <w:p w14:paraId="23C11384">
      <w:pPr>
        <w:spacing w:after="520"/>
        <w:jc w:val="center"/>
      </w:pPr>
      <w:r>
        <w:rPr>
          <w:color w:val="4A4A63"/>
          <w:sz w:val="19"/>
        </w:rPr>
        <w:t>Capstone Project</w:t>
      </w:r>
    </w:p>
    <w:p w14:paraId="3BFD9185">
      <w:pPr>
        <w:spacing w:after="120"/>
        <w:jc w:val="center"/>
      </w:pPr>
      <w:r>
        <w:rPr>
          <w:b/>
          <w:color w:val="1A1A2E"/>
          <w:sz w:val="60"/>
        </w:rPr>
        <w:t>Stage Five: Revision Log</w:t>
      </w:r>
    </w:p>
    <w:p w14:paraId="57C0CDA2">
      <w:pPr>
        <w:pBdr>
          <w:bottom w:val="single" w:color="E8660A" w:sz="10" w:space="6"/>
        </w:pBdr>
        <w:spacing w:after="280"/>
        <w:jc w:val="center"/>
      </w:pPr>
      <w:r>
        <w:rPr>
          <w:color w:val="E8660A"/>
          <w:sz w:val="26"/>
        </w:rPr>
        <w:t>Recording what your requirements got wrong and why</w:t>
      </w:r>
    </w:p>
    <w:p w14:paraId="2D76B563">
      <w:pPr>
        <w:spacing w:after="400"/>
        <w:jc w:val="center"/>
      </w:pPr>
      <w:r>
        <w:rPr>
          <w:i/>
          <w:color w:val="4A4A63"/>
          <w:sz w:val="21"/>
        </w:rPr>
        <w:t>You are required to revise your requirements document at least once during the</w:t>
      </w:r>
      <w:r>
        <w:rPr>
          <w:i/>
          <w:color w:val="4A4A63"/>
          <w:sz w:val="21"/>
        </w:rPr>
        <w:br w:type="textWrapping"/>
      </w:r>
      <w:r>
        <w:rPr>
          <w:i/>
          <w:color w:val="4A4A63"/>
          <w:sz w:val="21"/>
        </w:rPr>
        <w:t>build. This is where you record what changed and what prompted the change.</w:t>
      </w:r>
    </w:p>
    <w:tbl>
      <w:tblPr>
        <w:tblStyle w:val="12"/>
        <w:tblW w:w="0" w:type="auto"/>
        <w:jc w:val="center"/>
        <w:tblLayout w:type="autofit"/>
        <w:tblCellMar>
          <w:top w:w="0" w:type="dxa"/>
          <w:left w:w="108" w:type="dxa"/>
          <w:bottom w:w="0" w:type="dxa"/>
          <w:right w:w="108" w:type="dxa"/>
        </w:tblCellMar>
      </w:tblPr>
      <w:tblGrid>
        <w:gridCol w:w="6624"/>
      </w:tblGrid>
      <w:tr w14:paraId="7D576EC1">
        <w:trPr>
          <w:jc w:val="center"/>
        </w:trPr>
        <w:tc>
          <w:tcPr>
            <w:tcW w:w="6624" w:type="dxa"/>
            <w:tcBorders>
              <w:top w:val="nil"/>
              <w:left w:val="nil"/>
              <w:bottom w:val="nil"/>
              <w:right w:val="nil"/>
            </w:tcBorders>
            <w:shd w:val="clear" w:color="auto" w:fill="1A1A2E"/>
          </w:tcPr>
          <w:p w14:paraId="57A64FB1">
            <w:pPr>
              <w:jc w:val="center"/>
            </w:pPr>
            <w:r>
              <w:rPr>
                <w:b/>
                <w:color w:val="FFFFFF"/>
                <w:sz w:val="20"/>
              </w:rPr>
              <w:t>WEEK TWO INTO WEEK THREE  ·  COMPULSORY</w:t>
            </w:r>
          </w:p>
        </w:tc>
      </w:tr>
    </w:tbl>
    <w:p w14:paraId="62D6512B">
      <w:r>
        <w:br w:type="page"/>
      </w:r>
    </w:p>
    <w:p w14:paraId="5A670A1B">
      <w:pPr>
        <w:pBdr>
          <w:bottom w:val="single" w:color="E8660A" w:sz="8" w:space="6"/>
        </w:pBdr>
        <w:spacing w:before="440" w:after="60"/>
      </w:pPr>
      <w:r>
        <w:rPr>
          <w:b/>
          <w:color w:val="1A1A2E"/>
          <w:sz w:val="34"/>
        </w:rPr>
        <w:t>Why this is compulsory</w:t>
      </w:r>
    </w:p>
    <w:p w14:paraId="04CA3ED3">
      <w:pPr>
        <w:spacing w:after="140"/>
      </w:pPr>
      <w:r>
        <w:rPr>
          <w:i w:val="0"/>
          <w:sz w:val="21"/>
        </w:rPr>
        <w:t>A requirements document written before any code exists is a set of educated guesses. Some of those guesses will be wrong, and building is how you find out which ones. A student that reaches the end of three weeks with an unchanged PRD has either been extraordinarily lucky or has stopped consulting the document, and the second is far more common than the first.</w:t>
      </w:r>
    </w:p>
    <w:p w14:paraId="6E19AF55">
      <w:pPr>
        <w:spacing w:after="140"/>
      </w:pPr>
      <w:r>
        <w:rPr>
          <w:i w:val="0"/>
          <w:sz w:val="21"/>
        </w:rPr>
        <w:t>This log is not a confession. It is evidence that you were paying attention. The students who score well here are the ones who can point to a specific thing they discovered while building, explain how it contradicted an assumption they had written down, and show what they changed as a result.</w:t>
      </w:r>
    </w:p>
    <w:p w14:paraId="45E97402">
      <w:pPr>
        <w:spacing w:before="200" w:after="60"/>
        <w:jc w:val="center"/>
      </w:pPr>
      <w:r>
        <w:drawing>
          <wp:inline distT="0" distB="0" distL="114300" distR="114300">
            <wp:extent cx="6035040" cy="2517140"/>
            <wp:effectExtent l="0" t="0" r="1016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2517289"/>
                    </a:xfrm>
                    <a:prstGeom prst="rect">
                      <a:avLst/>
                    </a:prstGeom>
                  </pic:spPr>
                </pic:pic>
              </a:graphicData>
            </a:graphic>
          </wp:inline>
        </w:drawing>
      </w:r>
    </w:p>
    <w:p w14:paraId="20E427C3">
      <w:pPr>
        <w:spacing w:after="240"/>
        <w:jc w:val="center"/>
      </w:pPr>
      <w:r>
        <w:rPr>
          <w:i/>
          <w:color w:val="4A4A63"/>
          <w:sz w:val="17"/>
        </w:rPr>
        <w:t>Figure 1. The revision sits in the middle of the build, not at the end.</w:t>
      </w:r>
    </w:p>
    <w:tbl>
      <w:tblPr>
        <w:tblStyle w:val="12"/>
        <w:tblW w:w="0" w:type="auto"/>
        <w:tblInd w:w="0" w:type="dxa"/>
        <w:tblLayout w:type="autofit"/>
        <w:tblCellMar>
          <w:top w:w="0" w:type="dxa"/>
          <w:left w:w="108" w:type="dxa"/>
          <w:bottom w:w="0" w:type="dxa"/>
          <w:right w:w="108" w:type="dxa"/>
        </w:tblCellMar>
      </w:tblPr>
      <w:tblGrid>
        <w:gridCol w:w="9648"/>
      </w:tblGrid>
      <w:tr w14:paraId="471212FA">
        <w:tc>
          <w:tcPr>
            <w:tcW w:w="9648" w:type="dxa"/>
            <w:tcBorders>
              <w:top w:val="nil"/>
              <w:left w:val="nil"/>
              <w:bottom w:val="nil"/>
              <w:right w:val="nil"/>
            </w:tcBorders>
            <w:shd w:val="clear" w:color="auto" w:fill="FDEDE1"/>
          </w:tcPr>
          <w:p w14:paraId="243E145B">
            <w:pPr>
              <w:spacing w:before="140" w:after="60"/>
            </w:pPr>
            <w:r>
              <w:rPr>
                <w:b/>
                <w:color w:val="E8660A"/>
                <w:sz w:val="21"/>
              </w:rPr>
              <w:t>What a weak revision log looks like</w:t>
            </w:r>
          </w:p>
          <w:p w14:paraId="6F90E8BA">
            <w:pPr>
              <w:spacing w:after="160"/>
            </w:pPr>
            <w:r>
              <w:rPr>
                <w:color w:val="333344"/>
                <w:sz w:val="20"/>
              </w:rPr>
              <w:t>Vague entries such as tidied up wording or clarified requirements tell an assessor nothing. A strong entry names the requirement, states what it said before, states what it says now, identifies the specific thing that prompted the change, and says who agreed to it.</w:t>
            </w:r>
          </w:p>
        </w:tc>
      </w:tr>
    </w:tbl>
    <w:p w14:paraId="258BB3C2">
      <w:pPr>
        <w:spacing w:after="40"/>
      </w:pPr>
    </w:p>
    <w:p w14:paraId="2C42BBC9">
      <w:r>
        <w:br w:type="page"/>
      </w:r>
    </w:p>
    <w:p w14:paraId="7B6A60EE">
      <w:pPr>
        <w:pBdr>
          <w:bottom w:val="single" w:color="E8660A" w:sz="8" w:space="6"/>
        </w:pBdr>
        <w:spacing w:before="440" w:after="60"/>
      </w:pPr>
      <w:r>
        <w:rPr>
          <w:b/>
          <w:color w:val="E8660A"/>
          <w:sz w:val="34"/>
        </w:rPr>
        <w:t xml:space="preserve">1   </w:t>
      </w:r>
      <w:r>
        <w:rPr>
          <w:b/>
          <w:color w:val="1A1A2E"/>
          <w:sz w:val="34"/>
        </w:rPr>
        <w:t>Section one: revision summary</w:t>
      </w:r>
    </w:p>
    <w:tbl>
      <w:tblPr>
        <w:tblStyle w:val="12"/>
        <w:tblW w:w="0" w:type="auto"/>
        <w:jc w:val="center"/>
        <w:tblLayout w:type="fixed"/>
        <w:tblCellMar>
          <w:top w:w="0" w:type="dxa"/>
          <w:left w:w="108" w:type="dxa"/>
          <w:bottom w:w="0" w:type="dxa"/>
          <w:right w:w="108" w:type="dxa"/>
        </w:tblCellMar>
      </w:tblPr>
      <w:tblGrid>
        <w:gridCol w:w="4824"/>
        <w:gridCol w:w="4824"/>
      </w:tblGrid>
      <w:tr w14:paraId="3E536B71">
        <w:trPr>
          <w:jc w:val="center"/>
        </w:trPr>
        <w:tc>
          <w:tcPr>
            <w:tcW w:w="3456" w:type="dxa"/>
            <w:tcBorders>
              <w:top w:val="single" w:color="D9D9E0" w:sz="6" w:space="0"/>
              <w:left w:val="single" w:color="D9D9E0" w:sz="6" w:space="0"/>
              <w:bottom w:val="single" w:color="D9D9E0" w:sz="6" w:space="0"/>
              <w:right w:val="single" w:color="D9D9E0" w:sz="6" w:space="0"/>
            </w:tcBorders>
            <w:shd w:val="clear" w:color="auto" w:fill="E8660A"/>
          </w:tcPr>
          <w:p w14:paraId="25FC1A98">
            <w:pPr>
              <w:spacing w:before="60" w:after="60"/>
            </w:pPr>
            <w:r>
              <w:rPr>
                <w:b/>
                <w:color w:val="FFFFFF"/>
                <w:sz w:val="19"/>
              </w:rPr>
              <w:t>Field</w:t>
            </w:r>
          </w:p>
        </w:tc>
        <w:tc>
          <w:tcPr>
            <w:tcW w:w="6192" w:type="dxa"/>
            <w:tcBorders>
              <w:top w:val="single" w:color="D9D9E0" w:sz="6" w:space="0"/>
              <w:left w:val="single" w:color="D9D9E0" w:sz="6" w:space="0"/>
              <w:bottom w:val="single" w:color="D9D9E0" w:sz="6" w:space="0"/>
              <w:right w:val="single" w:color="D9D9E0" w:sz="6" w:space="0"/>
            </w:tcBorders>
            <w:shd w:val="clear" w:color="auto" w:fill="E8660A"/>
          </w:tcPr>
          <w:p w14:paraId="36F82DD1">
            <w:pPr>
              <w:spacing w:before="60" w:after="60"/>
            </w:pPr>
            <w:r>
              <w:rPr>
                <w:b/>
                <w:color w:val="FFFFFF"/>
                <w:sz w:val="19"/>
              </w:rPr>
              <w:t>Value</w:t>
            </w:r>
          </w:p>
        </w:tc>
      </w:tr>
      <w:tr w14:paraId="2DD53850">
        <w:trPr>
          <w:jc w:val="center"/>
        </w:trPr>
        <w:tc>
          <w:tcPr>
            <w:tcW w:w="3456" w:type="dxa"/>
            <w:tcBorders>
              <w:top w:val="single" w:color="D9D9E0" w:sz="6" w:space="0"/>
              <w:left w:val="single" w:color="D9D9E0" w:sz="6" w:space="0"/>
              <w:bottom w:val="single" w:color="D9D9E0" w:sz="6" w:space="0"/>
              <w:right w:val="single" w:color="D9D9E0" w:sz="6" w:space="0"/>
            </w:tcBorders>
          </w:tcPr>
          <w:p w14:paraId="4A7E1946">
            <w:r>
              <w:t>New version number</w:t>
            </w:r>
          </w:p>
        </w:tc>
        <w:tc>
          <w:tcPr>
            <w:tcW w:w="6192" w:type="dxa"/>
            <w:tcBorders>
              <w:top w:val="single" w:color="D9D9E0" w:sz="6" w:space="0"/>
              <w:left w:val="single" w:color="D9D9E0" w:sz="6" w:space="0"/>
              <w:bottom w:val="single" w:color="D9D9E0" w:sz="6" w:space="0"/>
              <w:right w:val="single" w:color="D9D9E0" w:sz="6" w:space="0"/>
            </w:tcBorders>
          </w:tcPr>
          <w:p w14:paraId="3F78F3F7">
            <w:r>
              <w:t>2.0</w:t>
            </w:r>
          </w:p>
        </w:tc>
      </w:tr>
      <w:tr w14:paraId="0BA43764">
        <w:trPr>
          <w:jc w:val="center"/>
        </w:trPr>
        <w:tc>
          <w:tcPr>
            <w:tcW w:w="3456" w:type="dxa"/>
            <w:tcBorders>
              <w:top w:val="single" w:color="D9D9E0" w:sz="6" w:space="0"/>
              <w:left w:val="single" w:color="D9D9E0" w:sz="6" w:space="0"/>
              <w:bottom w:val="single" w:color="D9D9E0" w:sz="6" w:space="0"/>
              <w:right w:val="single" w:color="D9D9E0" w:sz="6" w:space="0"/>
            </w:tcBorders>
            <w:shd w:val="clear" w:color="auto" w:fill="F4F4F7"/>
          </w:tcPr>
          <w:p w14:paraId="5C01C90F">
            <w:r>
              <w:t>Date of revision</w:t>
            </w:r>
          </w:p>
        </w:tc>
        <w:tc>
          <w:tcPr>
            <w:tcW w:w="6192" w:type="dxa"/>
            <w:tcBorders>
              <w:top w:val="single" w:color="D9D9E0" w:sz="6" w:space="0"/>
              <w:left w:val="single" w:color="D9D9E0" w:sz="6" w:space="0"/>
              <w:bottom w:val="single" w:color="D9D9E0" w:sz="6" w:space="0"/>
              <w:right w:val="single" w:color="D9D9E0" w:sz="6" w:space="0"/>
            </w:tcBorders>
            <w:shd w:val="clear" w:color="auto" w:fill="F4F4F7"/>
          </w:tcPr>
          <w:p w14:paraId="2B48CC95">
            <w:r>
              <w:t>2026-09-16</w:t>
            </w:r>
          </w:p>
        </w:tc>
      </w:tr>
      <w:tr w14:paraId="427022BE">
        <w:trPr>
          <w:jc w:val="center"/>
        </w:trPr>
        <w:tc>
          <w:tcPr>
            <w:tcW w:w="3456" w:type="dxa"/>
            <w:tcBorders>
              <w:top w:val="single" w:color="D9D9E0" w:sz="6" w:space="0"/>
              <w:left w:val="single" w:color="D9D9E0" w:sz="6" w:space="0"/>
              <w:bottom w:val="single" w:color="D9D9E0" w:sz="6" w:space="0"/>
              <w:right w:val="single" w:color="D9D9E0" w:sz="6" w:space="0"/>
            </w:tcBorders>
          </w:tcPr>
          <w:p w14:paraId="617CEC5E">
            <w:r>
              <w:t>Who carried out the revision</w:t>
            </w:r>
          </w:p>
        </w:tc>
        <w:tc>
          <w:tcPr>
            <w:tcW w:w="6192" w:type="dxa"/>
            <w:tcBorders>
              <w:top w:val="single" w:color="D9D9E0" w:sz="6" w:space="0"/>
              <w:left w:val="single" w:color="D9D9E0" w:sz="6" w:space="0"/>
              <w:bottom w:val="single" w:color="D9D9E0" w:sz="6" w:space="0"/>
              <w:right w:val="single" w:color="D9D9E0" w:sz="6" w:space="0"/>
            </w:tcBorders>
          </w:tcPr>
          <w:p w14:paraId="50D7F743">
            <w:r>
              <w:t>Dhanush Varanasi</w:t>
            </w:r>
          </w:p>
        </w:tc>
      </w:tr>
      <w:tr w14:paraId="180C851A">
        <w:trPr>
          <w:jc w:val="center"/>
        </w:trPr>
        <w:tc>
          <w:tcPr>
            <w:tcW w:w="3456" w:type="dxa"/>
            <w:tcBorders>
              <w:top w:val="single" w:color="D9D9E0" w:sz="6" w:space="0"/>
              <w:left w:val="single" w:color="D9D9E0" w:sz="6" w:space="0"/>
              <w:bottom w:val="single" w:color="D9D9E0" w:sz="6" w:space="0"/>
              <w:right w:val="single" w:color="D9D9E0" w:sz="6" w:space="0"/>
            </w:tcBorders>
            <w:shd w:val="clear" w:color="auto" w:fill="F4F4F7"/>
          </w:tcPr>
          <w:p w14:paraId="3391B0B4">
            <w:r>
              <w:t>Who reviewed and agreed it</w:t>
            </w:r>
          </w:p>
        </w:tc>
        <w:tc>
          <w:tcPr>
            <w:tcW w:w="6192" w:type="dxa"/>
            <w:tcBorders>
              <w:top w:val="single" w:color="D9D9E0" w:sz="6" w:space="0"/>
              <w:left w:val="single" w:color="D9D9E0" w:sz="6" w:space="0"/>
              <w:bottom w:val="single" w:color="D9D9E0" w:sz="6" w:space="0"/>
              <w:right w:val="single" w:color="D9D9E0" w:sz="6" w:space="0"/>
            </w:tcBorders>
            <w:shd w:val="clear" w:color="auto" w:fill="F4F4F7"/>
          </w:tcPr>
          <w:p w14:paraId="1C0DA9CB">
            <w:r>
              <w:t>Dhanush Varanasi (solo project; every change below is driven by the evaluation harness's own live output on real runs, not a stakeholder negotiation)</w:t>
            </w:r>
          </w:p>
        </w:tc>
      </w:tr>
      <w:tr w14:paraId="26220615">
        <w:trPr>
          <w:jc w:val="center"/>
        </w:trPr>
        <w:tc>
          <w:tcPr>
            <w:tcW w:w="3456" w:type="dxa"/>
            <w:tcBorders>
              <w:top w:val="single" w:color="D9D9E0" w:sz="6" w:space="0"/>
              <w:left w:val="single" w:color="D9D9E0" w:sz="6" w:space="0"/>
              <w:bottom w:val="single" w:color="D9D9E0" w:sz="6" w:space="0"/>
              <w:right w:val="single" w:color="D9D9E0" w:sz="6" w:space="0"/>
            </w:tcBorders>
          </w:tcPr>
          <w:p w14:paraId="0AAA83B4">
            <w:r>
              <w:t>Number of requirements changed</w:t>
            </w:r>
          </w:p>
        </w:tc>
        <w:tc>
          <w:tcPr>
            <w:tcW w:w="6192" w:type="dxa"/>
            <w:tcBorders>
              <w:top w:val="single" w:color="D9D9E0" w:sz="6" w:space="0"/>
              <w:left w:val="single" w:color="D9D9E0" w:sz="6" w:space="0"/>
              <w:bottom w:val="single" w:color="D9D9E0" w:sz="6" w:space="0"/>
              <w:right w:val="single" w:color="D9D9E0" w:sz="6" w:space="0"/>
            </w:tcBorders>
          </w:tcPr>
          <w:p w14:paraId="612F53AE">
            <w:r>
              <w:t>4</w:t>
            </w:r>
          </w:p>
        </w:tc>
      </w:tr>
      <w:tr w14:paraId="2E6C2F1F">
        <w:trPr>
          <w:jc w:val="center"/>
        </w:trPr>
        <w:tc>
          <w:tcPr>
            <w:tcW w:w="3456" w:type="dxa"/>
            <w:tcBorders>
              <w:top w:val="single" w:color="D9D9E0" w:sz="6" w:space="0"/>
              <w:left w:val="single" w:color="D9D9E0" w:sz="6" w:space="0"/>
              <w:bottom w:val="single" w:color="D9D9E0" w:sz="6" w:space="0"/>
              <w:right w:val="single" w:color="D9D9E0" w:sz="6" w:space="0"/>
            </w:tcBorders>
            <w:shd w:val="clear" w:color="auto" w:fill="F4F4F7"/>
          </w:tcPr>
          <w:p w14:paraId="793DECA1">
            <w:r>
              <w:t>Number of requirements added</w:t>
            </w:r>
          </w:p>
        </w:tc>
        <w:tc>
          <w:tcPr>
            <w:tcW w:w="6192" w:type="dxa"/>
            <w:tcBorders>
              <w:top w:val="single" w:color="D9D9E0" w:sz="6" w:space="0"/>
              <w:left w:val="single" w:color="D9D9E0" w:sz="6" w:space="0"/>
              <w:bottom w:val="single" w:color="D9D9E0" w:sz="6" w:space="0"/>
              <w:right w:val="single" w:color="D9D9E0" w:sz="6" w:space="0"/>
            </w:tcBorders>
            <w:shd w:val="clear" w:color="auto" w:fill="F4F4F7"/>
          </w:tcPr>
          <w:p w14:paraId="5C456E43">
            <w:r>
              <w:t>1</w:t>
            </w:r>
          </w:p>
        </w:tc>
      </w:tr>
      <w:tr w14:paraId="3B136C86">
        <w:trPr>
          <w:jc w:val="center"/>
        </w:trPr>
        <w:tc>
          <w:tcPr>
            <w:tcW w:w="3456" w:type="dxa"/>
            <w:tcBorders>
              <w:top w:val="single" w:color="D9D9E0" w:sz="6" w:space="0"/>
              <w:left w:val="single" w:color="D9D9E0" w:sz="6" w:space="0"/>
              <w:bottom w:val="single" w:color="D9D9E0" w:sz="6" w:space="0"/>
              <w:right w:val="single" w:color="D9D9E0" w:sz="6" w:space="0"/>
            </w:tcBorders>
          </w:tcPr>
          <w:p w14:paraId="6BE1CCA0">
            <w:r>
              <w:t>Number of requirements removed</w:t>
            </w:r>
          </w:p>
        </w:tc>
        <w:tc>
          <w:tcPr>
            <w:tcW w:w="6192" w:type="dxa"/>
            <w:tcBorders>
              <w:top w:val="single" w:color="D9D9E0" w:sz="6" w:space="0"/>
              <w:left w:val="single" w:color="D9D9E0" w:sz="6" w:space="0"/>
              <w:bottom w:val="single" w:color="D9D9E0" w:sz="6" w:space="0"/>
              <w:right w:val="single" w:color="D9D9E0" w:sz="6" w:space="0"/>
            </w:tcBorders>
          </w:tcPr>
          <w:p w14:paraId="1E9E4ECA">
            <w:r>
              <w:t>0</w:t>
            </w:r>
          </w:p>
        </w:tc>
      </w:tr>
    </w:tbl>
    <w:p w14:paraId="19D65747">
      <w:pPr>
        <w:spacing w:after="80"/>
      </w:pPr>
    </w:p>
    <w:p w14:paraId="7DC4A195">
      <w:pPr>
        <w:pBdr>
          <w:bottom w:val="single" w:color="E8660A" w:sz="8" w:space="6"/>
        </w:pBdr>
        <w:spacing w:before="440" w:after="60"/>
      </w:pPr>
      <w:r>
        <w:rPr>
          <w:b/>
          <w:color w:val="E8660A"/>
          <w:sz w:val="34"/>
        </w:rPr>
        <w:t xml:space="preserve">2   </w:t>
      </w:r>
      <w:r>
        <w:rPr>
          <w:b/>
          <w:color w:val="1A1A2E"/>
          <w:sz w:val="34"/>
        </w:rPr>
        <w:t>Section two: the changes</w:t>
      </w:r>
    </w:p>
    <w:p w14:paraId="09A82399">
      <w:pPr>
        <w:spacing w:after="140"/>
      </w:pPr>
      <w:r>
        <w:rPr>
          <w:i w:val="0"/>
          <w:sz w:val="21"/>
        </w:rPr>
        <w:t>One row per change. Be specific about the trigger; that column is what distinguishes a considered revision from a tidying exercise.</w:t>
      </w:r>
    </w:p>
    <w:tbl>
      <w:tblPr>
        <w:tblStyle w:val="12"/>
        <w:tblW w:w="0" w:type="auto"/>
        <w:jc w:val="center"/>
        <w:tblLayout w:type="fixed"/>
        <w:tblCellMar>
          <w:top w:w="0" w:type="dxa"/>
          <w:left w:w="108" w:type="dxa"/>
          <w:bottom w:w="0" w:type="dxa"/>
          <w:right w:w="108" w:type="dxa"/>
        </w:tblCellMar>
      </w:tblPr>
      <w:tblGrid>
        <w:gridCol w:w="1930"/>
        <w:gridCol w:w="1930"/>
        <w:gridCol w:w="1930"/>
        <w:gridCol w:w="1930"/>
        <w:gridCol w:w="1930"/>
      </w:tblGrid>
      <w:tr w14:paraId="26A4C2EA">
        <w:trPr>
          <w:jc w:val="center"/>
        </w:trPr>
        <w:tc>
          <w:tcPr>
            <w:tcW w:w="1368" w:type="dxa"/>
            <w:tcBorders>
              <w:top w:val="single" w:color="D9D9E0" w:sz="6" w:space="0"/>
              <w:left w:val="single" w:color="D9D9E0" w:sz="6" w:space="0"/>
              <w:bottom w:val="single" w:color="D9D9E0" w:sz="6" w:space="0"/>
              <w:right w:val="single" w:color="D9D9E0" w:sz="6" w:space="0"/>
            </w:tcBorders>
            <w:shd w:val="clear" w:color="auto" w:fill="E8660A"/>
          </w:tcPr>
          <w:p w14:paraId="1F886D19">
            <w:pPr>
              <w:spacing w:before="60" w:after="60"/>
            </w:pPr>
            <w:r>
              <w:rPr>
                <w:b/>
                <w:color w:val="FFFFFF"/>
                <w:sz w:val="16"/>
              </w:rPr>
              <w:t>Requirement ID</w:t>
            </w:r>
          </w:p>
        </w:tc>
        <w:tc>
          <w:tcPr>
            <w:tcW w:w="2304" w:type="dxa"/>
            <w:tcBorders>
              <w:top w:val="single" w:color="D9D9E0" w:sz="6" w:space="0"/>
              <w:left w:val="single" w:color="D9D9E0" w:sz="6" w:space="0"/>
              <w:bottom w:val="single" w:color="D9D9E0" w:sz="6" w:space="0"/>
              <w:right w:val="single" w:color="D9D9E0" w:sz="6" w:space="0"/>
            </w:tcBorders>
            <w:shd w:val="clear" w:color="auto" w:fill="E8660A"/>
          </w:tcPr>
          <w:p w14:paraId="79CB5829">
            <w:pPr>
              <w:spacing w:before="60" w:after="60"/>
            </w:pPr>
            <w:r>
              <w:rPr>
                <w:b/>
                <w:color w:val="FFFFFF"/>
                <w:sz w:val="16"/>
              </w:rPr>
              <w:t>What it said in version one</w:t>
            </w:r>
          </w:p>
        </w:tc>
        <w:tc>
          <w:tcPr>
            <w:tcW w:w="2304" w:type="dxa"/>
            <w:tcBorders>
              <w:top w:val="single" w:color="D9D9E0" w:sz="6" w:space="0"/>
              <w:left w:val="single" w:color="D9D9E0" w:sz="6" w:space="0"/>
              <w:bottom w:val="single" w:color="D9D9E0" w:sz="6" w:space="0"/>
              <w:right w:val="single" w:color="D9D9E0" w:sz="6" w:space="0"/>
            </w:tcBorders>
            <w:shd w:val="clear" w:color="auto" w:fill="E8660A"/>
          </w:tcPr>
          <w:p w14:paraId="66AD5FE6">
            <w:pPr>
              <w:spacing w:before="60" w:after="60"/>
            </w:pPr>
            <w:r>
              <w:rPr>
                <w:b/>
                <w:color w:val="FFFFFF"/>
                <w:sz w:val="16"/>
              </w:rPr>
              <w:t>What it says now</w:t>
            </w:r>
          </w:p>
        </w:tc>
        <w:tc>
          <w:tcPr>
            <w:tcW w:w="2448" w:type="dxa"/>
            <w:tcBorders>
              <w:top w:val="single" w:color="D9D9E0" w:sz="6" w:space="0"/>
              <w:left w:val="single" w:color="D9D9E0" w:sz="6" w:space="0"/>
              <w:bottom w:val="single" w:color="D9D9E0" w:sz="6" w:space="0"/>
              <w:right w:val="single" w:color="D9D9E0" w:sz="6" w:space="0"/>
            </w:tcBorders>
            <w:shd w:val="clear" w:color="auto" w:fill="E8660A"/>
          </w:tcPr>
          <w:p w14:paraId="27FD9428">
            <w:pPr>
              <w:spacing w:before="60" w:after="60"/>
            </w:pPr>
            <w:r>
              <w:rPr>
                <w:b/>
                <w:color w:val="FFFFFF"/>
                <w:sz w:val="16"/>
              </w:rPr>
              <w:t>What prompted the change</w:t>
            </w:r>
          </w:p>
        </w:tc>
        <w:tc>
          <w:tcPr>
            <w:tcW w:w="1224" w:type="dxa"/>
            <w:tcBorders>
              <w:top w:val="single" w:color="D9D9E0" w:sz="6" w:space="0"/>
              <w:left w:val="single" w:color="D9D9E0" w:sz="6" w:space="0"/>
              <w:bottom w:val="single" w:color="D9D9E0" w:sz="6" w:space="0"/>
              <w:right w:val="single" w:color="D9D9E0" w:sz="6" w:space="0"/>
            </w:tcBorders>
            <w:shd w:val="clear" w:color="auto" w:fill="E8660A"/>
          </w:tcPr>
          <w:p w14:paraId="12856733">
            <w:pPr>
              <w:spacing w:before="60" w:after="60"/>
            </w:pPr>
            <w:r>
              <w:rPr>
                <w:b/>
                <w:color w:val="FFFFFF"/>
                <w:sz w:val="16"/>
              </w:rPr>
              <w:t>Agreed by</w:t>
            </w:r>
          </w:p>
        </w:tc>
      </w:tr>
      <w:tr w14:paraId="2D1A4023">
        <w:trPr>
          <w:jc w:val="center"/>
        </w:trPr>
        <w:tc>
          <w:tcPr>
            <w:tcW w:w="1368" w:type="dxa"/>
            <w:tcBorders>
              <w:top w:val="single" w:color="D9D9E0" w:sz="6" w:space="0"/>
              <w:left w:val="single" w:color="D9D9E0" w:sz="6" w:space="0"/>
              <w:bottom w:val="single" w:color="D9D9E0" w:sz="6" w:space="0"/>
              <w:right w:val="single" w:color="D9D9E0" w:sz="6" w:space="0"/>
            </w:tcBorders>
          </w:tcPr>
          <w:p w14:paraId="1ED7344D">
            <w:r>
              <w:t>FR-02 / FR-03 (implementation)</w:t>
            </w:r>
          </w:p>
        </w:tc>
        <w:tc>
          <w:tcPr>
            <w:tcW w:w="2304" w:type="dxa"/>
            <w:tcBorders>
              <w:top w:val="single" w:color="D9D9E0" w:sz="6" w:space="0"/>
              <w:left w:val="single" w:color="D9D9E0" w:sz="6" w:space="0"/>
              <w:bottom w:val="single" w:color="D9D9E0" w:sz="6" w:space="0"/>
              <w:right w:val="single" w:color="D9D9E0" w:sz="6" w:space="0"/>
            </w:tcBorders>
          </w:tcPr>
          <w:p w14:paraId="6C752F5C">
            <w:r>
              <w:t>Classify and generate using llama-3.3-70b-versatile (generation) and llama-3.1-8b-instant (classification).</w:t>
            </w:r>
          </w:p>
        </w:tc>
        <w:tc>
          <w:tcPr>
            <w:tcW w:w="2304" w:type="dxa"/>
            <w:tcBorders>
              <w:top w:val="single" w:color="D9D9E0" w:sz="6" w:space="0"/>
              <w:left w:val="single" w:color="D9D9E0" w:sz="6" w:space="0"/>
              <w:bottom w:val="single" w:color="D9D9E0" w:sz="6" w:space="0"/>
              <w:right w:val="single" w:color="D9D9E0" w:sz="6" w:space="0"/>
            </w:tcBorders>
          </w:tcPr>
          <w:p w14:paraId="57F81751">
            <w:r>
              <w:t>openai/gpt-oss-120b (generation) and openai/gpt-oss-20b (classification).</w:t>
            </w:r>
          </w:p>
        </w:tc>
        <w:tc>
          <w:tcPr>
            <w:tcW w:w="2448" w:type="dxa"/>
            <w:tcBorders>
              <w:top w:val="single" w:color="D9D9E0" w:sz="6" w:space="0"/>
              <w:left w:val="single" w:color="D9D9E0" w:sz="6" w:space="0"/>
              <w:bottom w:val="single" w:color="D9D9E0" w:sz="6" w:space="0"/>
              <w:right w:val="single" w:color="D9D9E0" w:sz="6" w:space="0"/>
            </w:tcBorders>
          </w:tcPr>
          <w:p w14:paraId="097F3AAD">
            <w:r>
              <w:t>Groq retired both original models on 2026-08-16. Every live call returned an error and every ticket fell back to unclear_request with forced escalation, which is the A11 graceful degradation path working exactly as designed, just against a stale model ID. Traced to Groq's own deprecation page and fixed in commit 7ef1a6e.</w:t>
            </w:r>
          </w:p>
        </w:tc>
        <w:tc>
          <w:tcPr>
            <w:tcW w:w="1224" w:type="dxa"/>
            <w:tcBorders>
              <w:top w:val="single" w:color="D9D9E0" w:sz="6" w:space="0"/>
              <w:left w:val="single" w:color="D9D9E0" w:sz="6" w:space="0"/>
              <w:bottom w:val="single" w:color="D9D9E0" w:sz="6" w:space="0"/>
              <w:right w:val="single" w:color="D9D9E0" w:sz="6" w:space="0"/>
            </w:tcBorders>
          </w:tcPr>
          <w:p w14:paraId="04988FFF">
            <w:r>
              <w:t>Dhanush Varanasi</w:t>
            </w:r>
          </w:p>
        </w:tc>
      </w:tr>
      <w:tr w14:paraId="7E491881">
        <w:trPr>
          <w:jc w:val="center"/>
        </w:trPr>
        <w:tc>
          <w:tcPr>
            <w:tcW w:w="1368" w:type="dxa"/>
            <w:tcBorders>
              <w:top w:val="single" w:color="D9D9E0" w:sz="6" w:space="0"/>
              <w:left w:val="single" w:color="D9D9E0" w:sz="6" w:space="0"/>
              <w:bottom w:val="single" w:color="D9D9E0" w:sz="6" w:space="0"/>
              <w:right w:val="single" w:color="D9D9E0" w:sz="6" w:space="0"/>
            </w:tcBorders>
            <w:shd w:val="clear" w:color="auto" w:fill="F4F4F7"/>
          </w:tcPr>
          <w:p w14:paraId="30BC7E93">
            <w:r>
              <w:t>NFR-01 (latency, p95 under 3 seconds)</w:t>
            </w:r>
          </w:p>
        </w:tc>
        <w:tc>
          <w:tcPr>
            <w:tcW w:w="2304" w:type="dxa"/>
            <w:tcBorders>
              <w:top w:val="single" w:color="D9D9E0" w:sz="6" w:space="0"/>
              <w:left w:val="single" w:color="D9D9E0" w:sz="6" w:space="0"/>
              <w:bottom w:val="single" w:color="D9D9E0" w:sz="6" w:space="0"/>
              <w:right w:val="single" w:color="D9D9E0" w:sz="6" w:space="0"/>
            </w:tcBorders>
            <w:shd w:val="clear" w:color="auto" w:fill="F4F4F7"/>
          </w:tcPr>
          <w:p w14:paraId="12085543">
            <w:r>
              <w:t>p95 under 3 seconds, unqualified.</w:t>
            </w:r>
          </w:p>
        </w:tc>
        <w:tc>
          <w:tcPr>
            <w:tcW w:w="2304" w:type="dxa"/>
            <w:tcBorders>
              <w:top w:val="single" w:color="D9D9E0" w:sz="6" w:space="0"/>
              <w:left w:val="single" w:color="D9D9E0" w:sz="6" w:space="0"/>
              <w:bottom w:val="single" w:color="D9D9E0" w:sz="6" w:space="0"/>
              <w:right w:val="single" w:color="D9D9E0" w:sz="6" w:space="0"/>
            </w:tcBorders>
            <w:shd w:val="clear" w:color="auto" w:fill="F4F4F7"/>
          </w:tcPr>
          <w:p w14:paraId="071ED8D5">
            <w:r>
              <w:t>p95 under 3 seconds under normal provider conditions. When the provider is rate limited, tenacity retry backoff (up to 60 seconds per retried call) is now the documented dominant driver of tail latency, not the pipeline's own processing.</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4D634AE1">
            <w:r>
              <w:t>Two live runs measured p95 well above target during Groq token rate limiting: 10.35 seconds on the 500 ticket run and 4.08 seconds on the 80 ticket rerun. Both numbers are contaminated by retry sleeps triggered by the same daily quota problem described under assumption 2 in Section 3.</w:t>
            </w:r>
          </w:p>
        </w:tc>
        <w:tc>
          <w:tcPr>
            <w:tcW w:w="1224" w:type="dxa"/>
            <w:tcBorders>
              <w:top w:val="single" w:color="D9D9E0" w:sz="6" w:space="0"/>
              <w:left w:val="single" w:color="D9D9E0" w:sz="6" w:space="0"/>
              <w:bottom w:val="single" w:color="D9D9E0" w:sz="6" w:space="0"/>
              <w:right w:val="single" w:color="D9D9E0" w:sz="6" w:space="0"/>
            </w:tcBorders>
            <w:shd w:val="clear" w:color="auto" w:fill="F4F4F7"/>
          </w:tcPr>
          <w:p w14:paraId="11CAB690">
            <w:r>
              <w:t>Dhanush Varanasi</w:t>
            </w:r>
          </w:p>
        </w:tc>
      </w:tr>
      <w:tr w14:paraId="0913A3BB">
        <w:trPr>
          <w:jc w:val="center"/>
        </w:trPr>
        <w:tc>
          <w:tcPr>
            <w:tcW w:w="1368" w:type="dxa"/>
            <w:tcBorders>
              <w:top w:val="single" w:color="D9D9E0" w:sz="6" w:space="0"/>
              <w:left w:val="single" w:color="D9D9E0" w:sz="6" w:space="0"/>
              <w:bottom w:val="single" w:color="D9D9E0" w:sz="6" w:space="0"/>
              <w:right w:val="single" w:color="D9D9E0" w:sz="6" w:space="0"/>
            </w:tcBorders>
          </w:tcPr>
          <w:p w14:paraId="0FE6300A">
            <w:r>
              <w:t>Success measures, section 8 (FCR and escalation rate)</w:t>
            </w:r>
          </w:p>
        </w:tc>
        <w:tc>
          <w:tcPr>
            <w:tcW w:w="2304" w:type="dxa"/>
            <w:tcBorders>
              <w:top w:val="single" w:color="D9D9E0" w:sz="6" w:space="0"/>
              <w:left w:val="single" w:color="D9D9E0" w:sz="6" w:space="0"/>
              <w:bottom w:val="single" w:color="D9D9E0" w:sz="6" w:space="0"/>
              <w:right w:val="single" w:color="D9D9E0" w:sz="6" w:space="0"/>
            </w:tcBorders>
          </w:tcPr>
          <w:p w14:paraId="2C71185F">
            <w:r>
              <w:t>First contact resolution 60 percent or higher against a 42 percent baseline; escalation rate 30 percent or lower against a 58 percent baseline.</w:t>
            </w:r>
          </w:p>
        </w:tc>
        <w:tc>
          <w:tcPr>
            <w:tcW w:w="2304" w:type="dxa"/>
            <w:tcBorders>
              <w:top w:val="single" w:color="D9D9E0" w:sz="6" w:space="0"/>
              <w:left w:val="single" w:color="D9D9E0" w:sz="6" w:space="0"/>
              <w:bottom w:val="single" w:color="D9D9E0" w:sz="6" w:space="0"/>
              <w:right w:val="single" w:color="D9D9E0" w:sz="6" w:space="0"/>
            </w:tcBorders>
          </w:tcPr>
          <w:p w14:paraId="6025C5DF">
            <w:r>
              <w:t>Targets retained as the aspirational numbers for a fully available model provider. The two live measurements (27.6 percent FCR on 500 tickets, 5.0 percent FCR on 80 tickets) are reframed as provider availability samples, not accuracy samples. The calibration table's 0.8 to 1.0 confidence band, the tickets where the classifier actually ran, shows 90.4 percent observed accuracy on the 500 ticket run, which is the better current estimate of real model quality.</w:t>
            </w:r>
          </w:p>
        </w:tc>
        <w:tc>
          <w:tcPr>
            <w:tcW w:w="2448" w:type="dxa"/>
            <w:tcBorders>
              <w:top w:val="single" w:color="D9D9E0" w:sz="6" w:space="0"/>
              <w:left w:val="single" w:color="D9D9E0" w:sz="6" w:space="0"/>
              <w:bottom w:val="single" w:color="D9D9E0" w:sz="6" w:space="0"/>
              <w:right w:val="single" w:color="D9D9E0" w:sz="6" w:space="0"/>
            </w:tcBorders>
          </w:tcPr>
          <w:p w14:paraId="34098D71">
            <w:r>
              <w:t>Two consecutive live runs both dominated by Groq's tokens per day limit (161 of 500 tickets and 72 of 80 tickets fell back with stated_confidence 0.0), which forces escalation regardless of what the classifier would otherwise have said.</w:t>
            </w:r>
          </w:p>
        </w:tc>
        <w:tc>
          <w:tcPr>
            <w:tcW w:w="1224" w:type="dxa"/>
            <w:tcBorders>
              <w:top w:val="single" w:color="D9D9E0" w:sz="6" w:space="0"/>
              <w:left w:val="single" w:color="D9D9E0" w:sz="6" w:space="0"/>
              <w:bottom w:val="single" w:color="D9D9E0" w:sz="6" w:space="0"/>
              <w:right w:val="single" w:color="D9D9E0" w:sz="6" w:space="0"/>
            </w:tcBorders>
          </w:tcPr>
          <w:p w14:paraId="54F86591">
            <w:r>
              <w:t>Dhanush Varanasi</w:t>
            </w:r>
          </w:p>
        </w:tc>
      </w:tr>
      <w:tr w14:paraId="180C9BC7">
        <w:trPr>
          <w:jc w:val="center"/>
        </w:trPr>
        <w:tc>
          <w:tcPr>
            <w:tcW w:w="1368" w:type="dxa"/>
            <w:tcBorders>
              <w:top w:val="single" w:color="D9D9E0" w:sz="6" w:space="0"/>
              <w:left w:val="single" w:color="D9D9E0" w:sz="6" w:space="0"/>
              <w:bottom w:val="single" w:color="D9D9E0" w:sz="6" w:space="0"/>
              <w:right w:val="single" w:color="D9D9E0" w:sz="6" w:space="0"/>
            </w:tcBorders>
            <w:shd w:val="clear" w:color="auto" w:fill="F4F4F7"/>
          </w:tcPr>
          <w:p w14:paraId="1DA5A915">
            <w:r>
              <w:t>Governance risk register, R-06 (model provider becomes unavailable)</w:t>
            </w:r>
          </w:p>
        </w:tc>
        <w:tc>
          <w:tcPr>
            <w:tcW w:w="2304" w:type="dxa"/>
            <w:tcBorders>
              <w:top w:val="single" w:color="D9D9E0" w:sz="6" w:space="0"/>
              <w:left w:val="single" w:color="D9D9E0" w:sz="6" w:space="0"/>
              <w:bottom w:val="single" w:color="D9D9E0" w:sz="6" w:space="0"/>
              <w:right w:val="single" w:color="D9D9E0" w:sz="6" w:space="0"/>
            </w:tcBorders>
            <w:shd w:val="clear" w:color="auto" w:fill="F4F4F7"/>
          </w:tcPr>
          <w:p w14:paraId="7410FDEC">
            <w:r>
              <w:t>Likelihood Medium, on the free tier.</w:t>
            </w:r>
          </w:p>
        </w:tc>
        <w:tc>
          <w:tcPr>
            <w:tcW w:w="2304" w:type="dxa"/>
            <w:tcBorders>
              <w:top w:val="single" w:color="D9D9E0" w:sz="6" w:space="0"/>
              <w:left w:val="single" w:color="D9D9E0" w:sz="6" w:space="0"/>
              <w:bottom w:val="single" w:color="D9D9E0" w:sz="6" w:space="0"/>
              <w:right w:val="single" w:color="D9D9E0" w:sz="6" w:space="0"/>
            </w:tcBorders>
            <w:shd w:val="clear" w:color="auto" w:fill="F4F4F7"/>
          </w:tcPr>
          <w:p w14:paraId="324DFF76">
            <w:r>
              <w:t>Likelihood reclassified to confirmed and recurring for any single day evaluation run above roughly 150 to 200 tickets on the current free tier account. It materialized twice in one day: once as a model deprecation (fixed by the FR-02/FR-03 change above) and once as tokens per day exhaustion (not fixable by a code change; the quota is the constraint).</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647AA7DF">
            <w:r>
              <w:t>Direct observation on 2026-09-16: the deprecation incident that morning, then the 500 ticket run exhausting the day's Groq quota by roughly ticket 160, then the 80 ticket rerun an hour later starting with under 1 percent of that quota left.</w:t>
            </w:r>
          </w:p>
        </w:tc>
        <w:tc>
          <w:tcPr>
            <w:tcW w:w="1224" w:type="dxa"/>
            <w:tcBorders>
              <w:top w:val="single" w:color="D9D9E0" w:sz="6" w:space="0"/>
              <w:left w:val="single" w:color="D9D9E0" w:sz="6" w:space="0"/>
              <w:bottom w:val="single" w:color="D9D9E0" w:sz="6" w:space="0"/>
              <w:right w:val="single" w:color="D9D9E0" w:sz="6" w:space="0"/>
            </w:tcBorders>
            <w:shd w:val="clear" w:color="auto" w:fill="F4F4F7"/>
          </w:tcPr>
          <w:p w14:paraId="25813927">
            <w:r>
              <w:t>Dhanush Varanasi</w:t>
            </w:r>
          </w:p>
        </w:tc>
      </w:tr>
      <w:tr w14:paraId="2062E899">
        <w:trPr>
          <w:jc w:val="center"/>
        </w:trPr>
        <w:tc>
          <w:tcPr>
            <w:tcW w:w="1368" w:type="dxa"/>
            <w:tcBorders>
              <w:top w:val="single" w:color="D9D9E0" w:sz="6" w:space="0"/>
              <w:left w:val="single" w:color="D9D9E0" w:sz="6" w:space="0"/>
              <w:bottom w:val="single" w:color="D9D9E0" w:sz="6" w:space="0"/>
              <w:right w:val="single" w:color="D9D9E0" w:sz="6" w:space="0"/>
            </w:tcBorders>
          </w:tcPr>
          <w:p w14:paraId="6FE97357">
            <w:r>
              <w:t>NFR-08 (new): metrics reporting must separate provider availability from model accuracy</w:t>
            </w:r>
          </w:p>
        </w:tc>
        <w:tc>
          <w:tcPr>
            <w:tcW w:w="2304" w:type="dxa"/>
            <w:tcBorders>
              <w:top w:val="single" w:color="D9D9E0" w:sz="6" w:space="0"/>
              <w:left w:val="single" w:color="D9D9E0" w:sz="6" w:space="0"/>
              <w:bottom w:val="single" w:color="D9D9E0" w:sz="6" w:space="0"/>
              <w:right w:val="single" w:color="D9D9E0" w:sz="6" w:space="0"/>
            </w:tcBorders>
          </w:tcPr>
          <w:p w14:paraId="07BFE4B3">
            <w:r>
              <w:t>Did not exist in version one.</w:t>
            </w:r>
          </w:p>
        </w:tc>
        <w:tc>
          <w:tcPr>
            <w:tcW w:w="2304" w:type="dxa"/>
            <w:tcBorders>
              <w:top w:val="single" w:color="D9D9E0" w:sz="6" w:space="0"/>
              <w:left w:val="single" w:color="D9D9E0" w:sz="6" w:space="0"/>
              <w:bottom w:val="single" w:color="D9D9E0" w:sz="6" w:space="0"/>
              <w:right w:val="single" w:color="D9D9E0" w:sz="6" w:space="0"/>
            </w:tcBorders>
          </w:tcPr>
          <w:p w14:paraId="2DD5EACC">
            <w:r>
              <w:t>Every metrics_report.json must make it possible to tell a wrong classification apart from a classification the model never got to make. The calibration table's per band n, stated_confidence, and observed_accuracy already does this (a stated_confidence of 0.0 with used_fallback true is the fallback path's signature), so this requirement formalizes what the harness was already producing rather than asking for new code.</w:t>
            </w:r>
          </w:p>
        </w:tc>
        <w:tc>
          <w:tcPr>
            <w:tcW w:w="2448" w:type="dxa"/>
            <w:tcBorders>
              <w:top w:val="single" w:color="D9D9E0" w:sz="6" w:space="0"/>
              <w:left w:val="single" w:color="D9D9E0" w:sz="6" w:space="0"/>
              <w:bottom w:val="single" w:color="D9D9E0" w:sz="6" w:space="0"/>
              <w:right w:val="single" w:color="D9D9E0" w:sz="6" w:space="0"/>
            </w:tcBorders>
          </w:tcPr>
          <w:p w14:paraId="6933A50E">
            <w:r>
              <w:t>Without this distinction, a reader of the headline FCR and escalation numbers alone would reasonably conclude the classifier is unreliable, when the 500 ticket run's clean subset shows 90.4 percent accuracy.</w:t>
            </w:r>
          </w:p>
        </w:tc>
        <w:tc>
          <w:tcPr>
            <w:tcW w:w="1224" w:type="dxa"/>
            <w:tcBorders>
              <w:top w:val="single" w:color="D9D9E0" w:sz="6" w:space="0"/>
              <w:left w:val="single" w:color="D9D9E0" w:sz="6" w:space="0"/>
              <w:bottom w:val="single" w:color="D9D9E0" w:sz="6" w:space="0"/>
              <w:right w:val="single" w:color="D9D9E0" w:sz="6" w:space="0"/>
            </w:tcBorders>
          </w:tcPr>
          <w:p w14:paraId="187DE809">
            <w:r>
              <w:t>Dhanush Varanasi</w:t>
            </w:r>
          </w:p>
        </w:tc>
      </w:tr>
      <w:tr w14:paraId="44BEB3B4">
        <w:trPr>
          <w:jc w:val="center"/>
        </w:trPr>
        <w:tc>
          <w:tcPr>
            <w:tcW w:w="1368" w:type="dxa"/>
            <w:tcBorders>
              <w:top w:val="single" w:color="D9D9E0" w:sz="6" w:space="0"/>
              <w:left w:val="single" w:color="D9D9E0" w:sz="6" w:space="0"/>
              <w:bottom w:val="single" w:color="D9D9E0" w:sz="6" w:space="0"/>
              <w:right w:val="single" w:color="D9D9E0" w:sz="6" w:space="0"/>
            </w:tcBorders>
            <w:shd w:val="clear" w:color="auto" w:fill="F4F4F7"/>
          </w:tcPr>
          <w:p w14:paraId="64119223">
            <w:r>
              <w:t>Governance decision log coverage check (supports FR-10, R-01)</w:t>
            </w:r>
          </w:p>
        </w:tc>
        <w:tc>
          <w:tcPr>
            <w:tcW w:w="2304" w:type="dxa"/>
            <w:tcBorders>
              <w:top w:val="single" w:color="D9D9E0" w:sz="6" w:space="0"/>
              <w:left w:val="single" w:color="D9D9E0" w:sz="6" w:space="0"/>
              <w:bottom w:val="single" w:color="D9D9E0" w:sz="6" w:space="0"/>
              <w:right w:val="single" w:color="D9D9E0" w:sz="6" w:space="0"/>
            </w:tcBorders>
            <w:shd w:val="clear" w:color="auto" w:fill="F4F4F7"/>
          </w:tcPr>
          <w:p w14:paraId="616D97D3">
            <w:r>
              <w:t>governance.decision_log_reconciles compared a run's ticket count against DecisionLog.count_distinct_tickets(), the count of every distinct ticket ever logged to that database path.</w:t>
            </w:r>
          </w:p>
        </w:tc>
        <w:tc>
          <w:tcPr>
            <w:tcW w:w="2304" w:type="dxa"/>
            <w:tcBorders>
              <w:top w:val="single" w:color="D9D9E0" w:sz="6" w:space="0"/>
              <w:left w:val="single" w:color="D9D9E0" w:sz="6" w:space="0"/>
              <w:bottom w:val="single" w:color="D9D9E0" w:sz="6" w:space="0"/>
              <w:right w:val="single" w:color="D9D9E0" w:sz="6" w:space="0"/>
            </w:tcBorders>
            <w:shd w:val="clear" w:color="auto" w:fill="F4F4F7"/>
          </w:tcPr>
          <w:p w14:paraId="58063F2C">
            <w:r>
              <w:t>The check now compares a run's ticket count against count_distinct_tickets_in(this run's ticket ids), scoped to only the tickets that run actually processed. The same fix applies to guardrail_activations_by_type and private_data_detections via a new guardrail_activation_counts(ticket_ids) parameter.</w:t>
            </w: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40DC641C">
            <w:r>
              <w:t>The decisions database is never cleared between runs, by design, since it is meant to be an accumulating audit trail. Because of that, two runs on the same database (500 tickets, then a disjoint 80) both reported decisions_logged as 580 and decision_log_reconciles as true, since 580 is greater than or equal to either run's own ticket count regardless of whether that run's own tickets were logged. Caught while investigating why both reports showed the identical number 580. Regression tests added in tests/test_decision_log.py.</w:t>
            </w:r>
          </w:p>
        </w:tc>
        <w:tc>
          <w:tcPr>
            <w:tcW w:w="1224" w:type="dxa"/>
            <w:tcBorders>
              <w:top w:val="single" w:color="D9D9E0" w:sz="6" w:space="0"/>
              <w:left w:val="single" w:color="D9D9E0" w:sz="6" w:space="0"/>
              <w:bottom w:val="single" w:color="D9D9E0" w:sz="6" w:space="0"/>
              <w:right w:val="single" w:color="D9D9E0" w:sz="6" w:space="0"/>
            </w:tcBorders>
            <w:shd w:val="clear" w:color="auto" w:fill="F4F4F7"/>
          </w:tcPr>
          <w:p w14:paraId="7E68688C">
            <w:r>
              <w:t>Dhanush Varanasi</w:t>
            </w:r>
          </w:p>
        </w:tc>
      </w:tr>
      <w:tr w14:paraId="2C5F007E">
        <w:trPr>
          <w:jc w:val="center"/>
        </w:trPr>
        <w:tc>
          <w:tcPr>
            <w:tcW w:w="1368" w:type="dxa"/>
            <w:tcBorders>
              <w:top w:val="single" w:color="D9D9E0" w:sz="6" w:space="0"/>
              <w:left w:val="single" w:color="D9D9E0" w:sz="6" w:space="0"/>
              <w:bottom w:val="single" w:color="D9D9E0" w:sz="6" w:space="0"/>
              <w:right w:val="single" w:color="D9D9E0" w:sz="6" w:space="0"/>
            </w:tcBorders>
          </w:tcPr>
          <w:p w14:paraId="00F2D3EB">
            <w:pPr>
              <w:spacing w:before="50" w:after="50"/>
            </w:pPr>
          </w:p>
        </w:tc>
        <w:tc>
          <w:tcPr>
            <w:tcW w:w="2304" w:type="dxa"/>
            <w:tcBorders>
              <w:top w:val="single" w:color="D9D9E0" w:sz="6" w:space="0"/>
              <w:left w:val="single" w:color="D9D9E0" w:sz="6" w:space="0"/>
              <w:bottom w:val="single" w:color="D9D9E0" w:sz="6" w:space="0"/>
              <w:right w:val="single" w:color="D9D9E0" w:sz="6" w:space="0"/>
            </w:tcBorders>
          </w:tcPr>
          <w:p w14:paraId="59BB3D97">
            <w:pPr>
              <w:spacing w:before="50" w:after="50"/>
            </w:pPr>
          </w:p>
        </w:tc>
        <w:tc>
          <w:tcPr>
            <w:tcW w:w="2304" w:type="dxa"/>
            <w:tcBorders>
              <w:top w:val="single" w:color="D9D9E0" w:sz="6" w:space="0"/>
              <w:left w:val="single" w:color="D9D9E0" w:sz="6" w:space="0"/>
              <w:bottom w:val="single" w:color="D9D9E0" w:sz="6" w:space="0"/>
              <w:right w:val="single" w:color="D9D9E0" w:sz="6" w:space="0"/>
            </w:tcBorders>
          </w:tcPr>
          <w:p w14:paraId="6C6A5929">
            <w:pPr>
              <w:spacing w:before="50" w:after="50"/>
            </w:pPr>
          </w:p>
        </w:tc>
        <w:tc>
          <w:tcPr>
            <w:tcW w:w="2448" w:type="dxa"/>
            <w:tcBorders>
              <w:top w:val="single" w:color="D9D9E0" w:sz="6" w:space="0"/>
              <w:left w:val="single" w:color="D9D9E0" w:sz="6" w:space="0"/>
              <w:bottom w:val="single" w:color="D9D9E0" w:sz="6" w:space="0"/>
              <w:right w:val="single" w:color="D9D9E0" w:sz="6" w:space="0"/>
            </w:tcBorders>
          </w:tcPr>
          <w:p w14:paraId="7CED03E1">
            <w:pPr>
              <w:spacing w:before="50" w:after="50"/>
            </w:pPr>
          </w:p>
        </w:tc>
        <w:tc>
          <w:tcPr>
            <w:tcW w:w="1224" w:type="dxa"/>
            <w:tcBorders>
              <w:top w:val="single" w:color="D9D9E0" w:sz="6" w:space="0"/>
              <w:left w:val="single" w:color="D9D9E0" w:sz="6" w:space="0"/>
              <w:bottom w:val="single" w:color="D9D9E0" w:sz="6" w:space="0"/>
              <w:right w:val="single" w:color="D9D9E0" w:sz="6" w:space="0"/>
            </w:tcBorders>
          </w:tcPr>
          <w:p w14:paraId="64849FAA">
            <w:pPr>
              <w:spacing w:before="50" w:after="50"/>
            </w:pPr>
          </w:p>
        </w:tc>
      </w:tr>
      <w:tr w14:paraId="171C750C">
        <w:trPr>
          <w:jc w:val="center"/>
        </w:trPr>
        <w:tc>
          <w:tcPr>
            <w:tcW w:w="1368" w:type="dxa"/>
            <w:tcBorders>
              <w:top w:val="single" w:color="D9D9E0" w:sz="6" w:space="0"/>
              <w:left w:val="single" w:color="D9D9E0" w:sz="6" w:space="0"/>
              <w:bottom w:val="single" w:color="D9D9E0" w:sz="6" w:space="0"/>
              <w:right w:val="single" w:color="D9D9E0" w:sz="6" w:space="0"/>
            </w:tcBorders>
            <w:shd w:val="clear" w:color="auto" w:fill="F4F4F7"/>
          </w:tcPr>
          <w:p w14:paraId="36379B60">
            <w:pPr>
              <w:spacing w:before="50" w:after="50"/>
            </w:pPr>
          </w:p>
        </w:tc>
        <w:tc>
          <w:tcPr>
            <w:tcW w:w="2304" w:type="dxa"/>
            <w:tcBorders>
              <w:top w:val="single" w:color="D9D9E0" w:sz="6" w:space="0"/>
              <w:left w:val="single" w:color="D9D9E0" w:sz="6" w:space="0"/>
              <w:bottom w:val="single" w:color="D9D9E0" w:sz="6" w:space="0"/>
              <w:right w:val="single" w:color="D9D9E0" w:sz="6" w:space="0"/>
            </w:tcBorders>
            <w:shd w:val="clear" w:color="auto" w:fill="F4F4F7"/>
          </w:tcPr>
          <w:p w14:paraId="4E06BDEB">
            <w:pPr>
              <w:spacing w:before="50" w:after="50"/>
            </w:pPr>
          </w:p>
        </w:tc>
        <w:tc>
          <w:tcPr>
            <w:tcW w:w="2304" w:type="dxa"/>
            <w:tcBorders>
              <w:top w:val="single" w:color="D9D9E0" w:sz="6" w:space="0"/>
              <w:left w:val="single" w:color="D9D9E0" w:sz="6" w:space="0"/>
              <w:bottom w:val="single" w:color="D9D9E0" w:sz="6" w:space="0"/>
              <w:right w:val="single" w:color="D9D9E0" w:sz="6" w:space="0"/>
            </w:tcBorders>
            <w:shd w:val="clear" w:color="auto" w:fill="F4F4F7"/>
          </w:tcPr>
          <w:p w14:paraId="18296B63">
            <w:pPr>
              <w:spacing w:before="50" w:after="50"/>
            </w:pPr>
          </w:p>
        </w:tc>
        <w:tc>
          <w:tcPr>
            <w:tcW w:w="2448" w:type="dxa"/>
            <w:tcBorders>
              <w:top w:val="single" w:color="D9D9E0" w:sz="6" w:space="0"/>
              <w:left w:val="single" w:color="D9D9E0" w:sz="6" w:space="0"/>
              <w:bottom w:val="single" w:color="D9D9E0" w:sz="6" w:space="0"/>
              <w:right w:val="single" w:color="D9D9E0" w:sz="6" w:space="0"/>
            </w:tcBorders>
            <w:shd w:val="clear" w:color="auto" w:fill="F4F4F7"/>
          </w:tcPr>
          <w:p w14:paraId="52698EC2">
            <w:pPr>
              <w:spacing w:before="50" w:after="50"/>
            </w:pPr>
          </w:p>
        </w:tc>
        <w:tc>
          <w:tcPr>
            <w:tcW w:w="1224" w:type="dxa"/>
            <w:tcBorders>
              <w:top w:val="single" w:color="D9D9E0" w:sz="6" w:space="0"/>
              <w:left w:val="single" w:color="D9D9E0" w:sz="6" w:space="0"/>
              <w:bottom w:val="single" w:color="D9D9E0" w:sz="6" w:space="0"/>
              <w:right w:val="single" w:color="D9D9E0" w:sz="6" w:space="0"/>
            </w:tcBorders>
            <w:shd w:val="clear" w:color="auto" w:fill="F4F4F7"/>
          </w:tcPr>
          <w:p w14:paraId="1DCBF005">
            <w:pPr>
              <w:spacing w:before="50" w:after="50"/>
            </w:pPr>
          </w:p>
        </w:tc>
      </w:tr>
    </w:tbl>
    <w:p w14:paraId="5C5B6068">
      <w:pPr>
        <w:spacing w:after="80"/>
      </w:pPr>
    </w:p>
    <w:p w14:paraId="0F5A1E1C">
      <w:r>
        <w:br w:type="page"/>
      </w:r>
    </w:p>
    <w:p w14:paraId="77B46986">
      <w:pPr>
        <w:pBdr>
          <w:bottom w:val="single" w:color="E8660A" w:sz="8" w:space="6"/>
        </w:pBdr>
        <w:spacing w:before="440" w:after="60"/>
      </w:pPr>
      <w:r>
        <w:rPr>
          <w:b/>
          <w:color w:val="E8660A"/>
          <w:sz w:val="34"/>
        </w:rPr>
        <w:t xml:space="preserve">3   </w:t>
      </w:r>
      <w:r>
        <w:rPr>
          <w:b/>
          <w:color w:val="1A1A2E"/>
          <w:sz w:val="34"/>
        </w:rPr>
        <w:t>Section three: assumptions that turned out to be wrong</w:t>
      </w:r>
    </w:p>
    <w:p w14:paraId="638F8B21">
      <w:pPr>
        <w:spacing w:after="140"/>
      </w:pPr>
      <w:r>
        <w:rPr>
          <w:i w:val="0"/>
          <w:sz w:val="21"/>
        </w:rPr>
        <w:t>Go back to the assumptions section of your version one PRD. For each assumption, say whether it held. The ones that did not are the most interesting part of your report.</w:t>
      </w:r>
    </w:p>
    <w:tbl>
      <w:tblPr>
        <w:tblStyle w:val="12"/>
        <w:tblW w:w="0" w:type="auto"/>
        <w:jc w:val="center"/>
        <w:tblLayout w:type="fixed"/>
        <w:tblCellMar>
          <w:top w:w="0" w:type="dxa"/>
          <w:left w:w="108" w:type="dxa"/>
          <w:bottom w:w="0" w:type="dxa"/>
          <w:right w:w="108" w:type="dxa"/>
        </w:tblCellMar>
      </w:tblPr>
      <w:tblGrid>
        <w:gridCol w:w="2412"/>
        <w:gridCol w:w="2412"/>
        <w:gridCol w:w="2412"/>
        <w:gridCol w:w="2412"/>
      </w:tblGrid>
      <w:tr w14:paraId="7697E7E3">
        <w:trPr>
          <w:jc w:val="center"/>
        </w:trPr>
        <w:tc>
          <w:tcPr>
            <w:tcW w:w="2412" w:type="dxa"/>
            <w:tcBorders>
              <w:top w:val="single" w:color="D9D9E0" w:sz="6" w:space="0"/>
              <w:left w:val="single" w:color="D9D9E0" w:sz="6" w:space="0"/>
              <w:bottom w:val="single" w:color="D9D9E0" w:sz="6" w:space="0"/>
              <w:right w:val="single" w:color="D9D9E0" w:sz="6" w:space="0"/>
            </w:tcBorders>
            <w:shd w:val="clear" w:color="auto" w:fill="E8660A"/>
          </w:tcPr>
          <w:p w14:paraId="6AD32C69">
            <w:pPr>
              <w:spacing w:before="60" w:after="60"/>
            </w:pPr>
            <w:r>
              <w:rPr>
                <w:b/>
                <w:color w:val="FFFFFF"/>
                <w:sz w:val="17"/>
              </w:rPr>
              <w:t>Assumption from version one</w:t>
            </w:r>
          </w:p>
        </w:tc>
        <w:tc>
          <w:tcPr>
            <w:tcW w:w="2412" w:type="dxa"/>
            <w:tcBorders>
              <w:top w:val="single" w:color="D9D9E0" w:sz="6" w:space="0"/>
              <w:left w:val="single" w:color="D9D9E0" w:sz="6" w:space="0"/>
              <w:bottom w:val="single" w:color="D9D9E0" w:sz="6" w:space="0"/>
              <w:right w:val="single" w:color="D9D9E0" w:sz="6" w:space="0"/>
            </w:tcBorders>
            <w:shd w:val="clear" w:color="auto" w:fill="E8660A"/>
          </w:tcPr>
          <w:p w14:paraId="7474EA73">
            <w:pPr>
              <w:spacing w:before="60" w:after="60"/>
            </w:pPr>
            <w:r>
              <w:rPr>
                <w:b/>
                <w:color w:val="FFFFFF"/>
                <w:sz w:val="17"/>
              </w:rPr>
              <w:t>Did it hold?</w:t>
            </w:r>
          </w:p>
        </w:tc>
        <w:tc>
          <w:tcPr>
            <w:tcW w:w="2412" w:type="dxa"/>
            <w:tcBorders>
              <w:top w:val="single" w:color="D9D9E0" w:sz="6" w:space="0"/>
              <w:left w:val="single" w:color="D9D9E0" w:sz="6" w:space="0"/>
              <w:bottom w:val="single" w:color="D9D9E0" w:sz="6" w:space="0"/>
              <w:right w:val="single" w:color="D9D9E0" w:sz="6" w:space="0"/>
            </w:tcBorders>
            <w:shd w:val="clear" w:color="auto" w:fill="E8660A"/>
          </w:tcPr>
          <w:p w14:paraId="1236A285">
            <w:pPr>
              <w:spacing w:before="60" w:after="60"/>
            </w:pPr>
            <w:r>
              <w:rPr>
                <w:b/>
                <w:color w:val="FFFFFF"/>
                <w:sz w:val="17"/>
              </w:rPr>
              <w:t>What you found instead</w:t>
            </w:r>
          </w:p>
        </w:tc>
        <w:tc>
          <w:tcPr>
            <w:tcW w:w="2412" w:type="dxa"/>
            <w:tcBorders>
              <w:top w:val="single" w:color="D9D9E0" w:sz="6" w:space="0"/>
              <w:left w:val="single" w:color="D9D9E0" w:sz="6" w:space="0"/>
              <w:bottom w:val="single" w:color="D9D9E0" w:sz="6" w:space="0"/>
              <w:right w:val="single" w:color="D9D9E0" w:sz="6" w:space="0"/>
            </w:tcBorders>
            <w:shd w:val="clear" w:color="auto" w:fill="E8660A"/>
          </w:tcPr>
          <w:p w14:paraId="1D08627A">
            <w:pPr>
              <w:spacing w:before="60" w:after="60"/>
            </w:pPr>
            <w:r>
              <w:rPr>
                <w:b/>
                <w:color w:val="FFFFFF"/>
                <w:sz w:val="17"/>
              </w:rPr>
              <w:t>What you changed because of it</w:t>
            </w:r>
          </w:p>
        </w:tc>
      </w:tr>
      <w:tr w14:paraId="12C8D1E1">
        <w:trPr>
          <w:jc w:val="center"/>
        </w:trPr>
        <w:tc>
          <w:tcPr>
            <w:tcW w:w="2412" w:type="dxa"/>
            <w:tcBorders>
              <w:top w:val="single" w:color="D9D9E0" w:sz="6" w:space="0"/>
              <w:left w:val="single" w:color="D9D9E0" w:sz="6" w:space="0"/>
              <w:bottom w:val="single" w:color="D9D9E0" w:sz="6" w:space="0"/>
              <w:right w:val="single" w:color="D9D9E0" w:sz="6" w:space="0"/>
            </w:tcBorders>
          </w:tcPr>
          <w:p w14:paraId="46478B79">
            <w:r>
              <w:t>The hidden 120 ticket evaluation set uses the identical schema to validation_tickets.json.</w:t>
            </w:r>
          </w:p>
        </w:tc>
        <w:tc>
          <w:tcPr>
            <w:tcW w:w="2412" w:type="dxa"/>
            <w:tcBorders>
              <w:top w:val="single" w:color="D9D9E0" w:sz="6" w:space="0"/>
              <w:left w:val="single" w:color="D9D9E0" w:sz="6" w:space="0"/>
              <w:bottom w:val="single" w:color="D9D9E0" w:sz="6" w:space="0"/>
              <w:right w:val="single" w:color="D9D9E0" w:sz="6" w:space="0"/>
            </w:tcBorders>
          </w:tcPr>
          <w:p w14:paraId="4E0D0E83">
            <w:r>
              <w:t>Not yet testable</w:t>
            </w:r>
          </w:p>
        </w:tc>
        <w:tc>
          <w:tcPr>
            <w:tcW w:w="2412" w:type="dxa"/>
            <w:tcBorders>
              <w:top w:val="single" w:color="D9D9E0" w:sz="6" w:space="0"/>
              <w:left w:val="single" w:color="D9D9E0" w:sz="6" w:space="0"/>
              <w:bottom w:val="single" w:color="D9D9E0" w:sz="6" w:space="0"/>
              <w:right w:val="single" w:color="D9D9E0" w:sz="6" w:space="0"/>
            </w:tcBorders>
          </w:tcPr>
          <w:p w14:paraId="03AFAC63">
            <w:r>
              <w:t>The hidden set is never available before grading, so this cannot be checked directly. Indirect evidence is positive: ingest handled development_tickets.json and validation_tickets.json cleanly across two live runs, and NormalizedTicket tolerates missing or malformed fields by construction (FR-01).</w:t>
            </w:r>
          </w:p>
        </w:tc>
        <w:tc>
          <w:tcPr>
            <w:tcW w:w="2412" w:type="dxa"/>
            <w:tcBorders>
              <w:top w:val="single" w:color="D9D9E0" w:sz="6" w:space="0"/>
              <w:left w:val="single" w:color="D9D9E0" w:sz="6" w:space="0"/>
              <w:bottom w:val="single" w:color="D9D9E0" w:sz="6" w:space="0"/>
              <w:right w:val="single" w:color="D9D9E0" w:sz="6" w:space="0"/>
            </w:tcBorders>
          </w:tcPr>
          <w:p w14:paraId="5032AB3A">
            <w:r>
              <w:t>No change to ingest. Flagged to re-verify the moment the hidden set is processed.</w:t>
            </w:r>
          </w:p>
        </w:tc>
      </w:tr>
      <w:tr w14:paraId="70E2E762">
        <w:trPr>
          <w:jc w:val="center"/>
        </w:trPr>
        <w:tc>
          <w:tcPr>
            <w:tcW w:w="2412" w:type="dxa"/>
            <w:tcBorders>
              <w:top w:val="single" w:color="D9D9E0" w:sz="6" w:space="0"/>
              <w:left w:val="single" w:color="D9D9E0" w:sz="6" w:space="0"/>
              <w:bottom w:val="single" w:color="D9D9E0" w:sz="6" w:space="0"/>
              <w:right w:val="single" w:color="D9D9E0" w:sz="6" w:space="0"/>
            </w:tcBorders>
            <w:shd w:val="clear" w:color="auto" w:fill="F4F4F7"/>
          </w:tcPr>
          <w:p w14:paraId="79FD096D">
            <w:r>
              <w:t>Groq's free tier has sufficient throughput and rate limits to process roughly 100 to 500 tickets in one unattended run.</w:t>
            </w:r>
          </w:p>
        </w:tc>
        <w:tc>
          <w:tcPr>
            <w:tcW w:w="2412" w:type="dxa"/>
            <w:tcBorders>
              <w:top w:val="single" w:color="D9D9E0" w:sz="6" w:space="0"/>
              <w:left w:val="single" w:color="D9D9E0" w:sz="6" w:space="0"/>
              <w:bottom w:val="single" w:color="D9D9E0" w:sz="6" w:space="0"/>
              <w:right w:val="single" w:color="D9D9E0" w:sz="6" w:space="0"/>
            </w:tcBorders>
            <w:shd w:val="clear" w:color="auto" w:fill="F4F4F7"/>
          </w:tcPr>
          <w:p w14:paraId="40480814">
            <w:r>
              <w:t>No, clearly wrong</w:t>
            </w:r>
          </w:p>
        </w:tc>
        <w:tc>
          <w:tcPr>
            <w:tcW w:w="2412" w:type="dxa"/>
            <w:tcBorders>
              <w:top w:val="single" w:color="D9D9E0" w:sz="6" w:space="0"/>
              <w:left w:val="single" w:color="D9D9E0" w:sz="6" w:space="0"/>
              <w:bottom w:val="single" w:color="D9D9E0" w:sz="6" w:space="0"/>
              <w:right w:val="single" w:color="D9D9E0" w:sz="6" w:space="0"/>
            </w:tcBorders>
            <w:shd w:val="clear" w:color="auto" w:fill="F4F4F7"/>
          </w:tcPr>
          <w:p w14:paraId="7F344B21">
            <w:r>
              <w:t>The tokens per day limit (200,000 tokens, shared across the classifier and generator models) is exhausted well before 500 tickets complete. On the 500 ticket run, 161 of 500 tickets (32.2 percent) fell back once the quota was mostly spent. On the 80 ticket rerun, run an hour later against the same account, the quota was already at 199,586 of 200,000 before ticket 1, so 72 of 80 tickets (90 percent) fell back immediately.</w:t>
            </w:r>
          </w:p>
        </w:tc>
        <w:tc>
          <w:tcPr>
            <w:tcW w:w="2412" w:type="dxa"/>
            <w:tcBorders>
              <w:top w:val="single" w:color="D9D9E0" w:sz="6" w:space="0"/>
              <w:left w:val="single" w:color="D9D9E0" w:sz="6" w:space="0"/>
              <w:bottom w:val="single" w:color="D9D9E0" w:sz="6" w:space="0"/>
              <w:right w:val="single" w:color="D9D9E0" w:sz="6" w:space="0"/>
            </w:tcBorders>
            <w:shd w:val="clear" w:color="auto" w:fill="F4F4F7"/>
          </w:tcPr>
          <w:p w14:paraId="24582EAF">
            <w:r>
              <w:t>NFR-01 caveated, NFR-08 added, and this is now the headline technical finding of this revision. Practical mitigation for the remaining timeline: treat any run above roughly 100 to 150 tickets as needing to be split across two calendar days, or run a small canary first to check the day's remaining headroom.</w:t>
            </w:r>
          </w:p>
        </w:tc>
      </w:tr>
      <w:tr w14:paraId="55436FA5">
        <w:trPr>
          <w:jc w:val="center"/>
        </w:trPr>
        <w:tc>
          <w:tcPr>
            <w:tcW w:w="2412" w:type="dxa"/>
            <w:tcBorders>
              <w:top w:val="single" w:color="D9D9E0" w:sz="6" w:space="0"/>
              <w:left w:val="single" w:color="D9D9E0" w:sz="6" w:space="0"/>
              <w:bottom w:val="single" w:color="D9D9E0" w:sz="6" w:space="0"/>
              <w:right w:val="single" w:color="D9D9E0" w:sz="6" w:space="0"/>
            </w:tcBorders>
          </w:tcPr>
          <w:p w14:paraId="4F8BE655">
            <w:r>
              <w:t>The 29 article documentation corpus is representative of what a correct answer needs.</w:t>
            </w:r>
          </w:p>
        </w:tc>
        <w:tc>
          <w:tcPr>
            <w:tcW w:w="2412" w:type="dxa"/>
            <w:tcBorders>
              <w:top w:val="single" w:color="D9D9E0" w:sz="6" w:space="0"/>
              <w:left w:val="single" w:color="D9D9E0" w:sz="6" w:space="0"/>
              <w:bottom w:val="single" w:color="D9D9E0" w:sz="6" w:space="0"/>
              <w:right w:val="single" w:color="D9D9E0" w:sz="6" w:space="0"/>
            </w:tcBorders>
          </w:tcPr>
          <w:p w14:paraId="5F821DFA">
            <w:r>
              <w:t>Yes, strongly</w:t>
            </w:r>
          </w:p>
        </w:tc>
        <w:tc>
          <w:tcPr>
            <w:tcW w:w="2412" w:type="dxa"/>
            <w:tcBorders>
              <w:top w:val="single" w:color="D9D9E0" w:sz="6" w:space="0"/>
              <w:left w:val="single" w:color="D9D9E0" w:sz="6" w:space="0"/>
              <w:bottom w:val="single" w:color="D9D9E0" w:sz="6" w:space="0"/>
              <w:right w:val="single" w:color="D9D9E0" w:sz="6" w:space="0"/>
            </w:tcBorders>
          </w:tcPr>
          <w:p w14:paraId="48C4654D">
            <w:r>
              <w:t>Retrieval hit rate was 94.4 percent on the 500 ticket run and 96.23 percent on the 80 ticket rerun. Both numbers are unaffected by the Groq quota problem, since retrieval runs locally through sentence-transformers embeddings and Chroma, not through Groq's API.</w:t>
            </w:r>
          </w:p>
        </w:tc>
        <w:tc>
          <w:tcPr>
            <w:tcW w:w="2412" w:type="dxa"/>
            <w:tcBorders>
              <w:top w:val="single" w:color="D9D9E0" w:sz="6" w:space="0"/>
              <w:left w:val="single" w:color="D9D9E0" w:sz="6" w:space="0"/>
              <w:bottom w:val="single" w:color="D9D9E0" w:sz="6" w:space="0"/>
              <w:right w:val="single" w:color="D9D9E0" w:sz="6" w:space="0"/>
            </w:tcBorders>
          </w:tcPr>
          <w:p w14:paraId="65569850">
            <w:r>
              <w:t>None needed. The chunking and embedding approach in src/retrieve/retriever.py is validated as is.</w:t>
            </w:r>
          </w:p>
        </w:tc>
      </w:tr>
      <w:tr w14:paraId="6DE5CD35">
        <w:trPr>
          <w:jc w:val="center"/>
        </w:trPr>
        <w:tc>
          <w:tcPr>
            <w:tcW w:w="2412" w:type="dxa"/>
            <w:tcBorders>
              <w:top w:val="single" w:color="D9D9E0" w:sz="6" w:space="0"/>
              <w:left w:val="single" w:color="D9D9E0" w:sz="6" w:space="0"/>
              <w:bottom w:val="single" w:color="D9D9E0" w:sz="6" w:space="0"/>
              <w:right w:val="single" w:color="D9D9E0" w:sz="6" w:space="0"/>
            </w:tcBorders>
            <w:shd w:val="clear" w:color="auto" w:fill="F4F4F7"/>
          </w:tcPr>
          <w:p w14:paraId="65C2527F">
            <w:r>
              <w:t>Non fluent English tickets can be reasonably served by an English only generator in version one.</w:t>
            </w:r>
          </w:p>
        </w:tc>
        <w:tc>
          <w:tcPr>
            <w:tcW w:w="2412" w:type="dxa"/>
            <w:tcBorders>
              <w:top w:val="single" w:color="D9D9E0" w:sz="6" w:space="0"/>
              <w:left w:val="single" w:color="D9D9E0" w:sz="6" w:space="0"/>
              <w:bottom w:val="single" w:color="D9D9E0" w:sz="6" w:space="0"/>
              <w:right w:val="single" w:color="D9D9E0" w:sz="6" w:space="0"/>
            </w:tcBorders>
            <w:shd w:val="clear" w:color="auto" w:fill="F4F4F7"/>
          </w:tcPr>
          <w:p w14:paraId="7671194F">
            <w:r>
              <w:t>Provisionally yes, on the cleaner sample</w:t>
            </w:r>
          </w:p>
        </w:tc>
        <w:tc>
          <w:tcPr>
            <w:tcW w:w="2412" w:type="dxa"/>
            <w:tcBorders>
              <w:top w:val="single" w:color="D9D9E0" w:sz="6" w:space="0"/>
              <w:left w:val="single" w:color="D9D9E0" w:sz="6" w:space="0"/>
              <w:bottom w:val="single" w:color="D9D9E0" w:sz="6" w:space="0"/>
              <w:right w:val="single" w:color="D9D9E0" w:sz="6" w:space="0"/>
            </w:tcBorders>
            <w:shd w:val="clear" w:color="auto" w:fill="F4F4F7"/>
          </w:tcPr>
          <w:p w14:paraId="060E9E47">
            <w:r>
              <w:t>On the 500 ticket run, resolution rate was 28.33 percent for non fluent tickets (n=120) against 27.37 percent for fluent tickets (n=380), under 1 percentage point apart and well inside the 5 point NFR-07 threshold. The 80 ticket rerun's segment split (10.53 percent versus 3.28 percent) is not usable as corroboration since only about 10 percent of that run's classifications were real rather than fallback driven, so that gap is small sample noise, not signal.</w:t>
            </w:r>
          </w:p>
        </w:tc>
        <w:tc>
          <w:tcPr>
            <w:tcW w:w="2412" w:type="dxa"/>
            <w:tcBorders>
              <w:top w:val="single" w:color="D9D9E0" w:sz="6" w:space="0"/>
              <w:left w:val="single" w:color="D9D9E0" w:sz="6" w:space="0"/>
              <w:bottom w:val="single" w:color="D9D9E0" w:sz="6" w:space="0"/>
              <w:right w:val="single" w:color="D9D9E0" w:sz="6" w:space="0"/>
            </w:tcBorders>
            <w:shd w:val="clear" w:color="auto" w:fill="F4F4F7"/>
          </w:tcPr>
          <w:p w14:paraId="48D32B88">
            <w:r>
              <w:t>No PRD change for version one. Flagged that a full clean run (once the quota problem is worked around) is still needed before treating this as a settled finding for a real deployment recommendation.</w:t>
            </w:r>
          </w:p>
        </w:tc>
      </w:tr>
    </w:tbl>
    <w:p w14:paraId="6ABC9BB4">
      <w:pPr>
        <w:spacing w:after="80"/>
      </w:pPr>
    </w:p>
    <w:p w14:paraId="3A40F681">
      <w:pPr>
        <w:pBdr>
          <w:bottom w:val="single" w:color="E8660A" w:sz="8" w:space="6"/>
        </w:pBdr>
        <w:spacing w:before="440" w:after="60"/>
      </w:pPr>
      <w:r>
        <w:rPr>
          <w:b/>
          <w:color w:val="E8660A"/>
          <w:sz w:val="34"/>
        </w:rPr>
        <w:t xml:space="preserve">4   </w:t>
      </w:r>
      <w:r>
        <w:rPr>
          <w:b/>
          <w:color w:val="1A1A2E"/>
          <w:sz w:val="34"/>
        </w:rPr>
        <w:t>Section four: what you decided not to change</w:t>
      </w:r>
    </w:p>
    <w:p w14:paraId="6760A480">
      <w:pPr>
        <w:spacing w:after="140"/>
      </w:pPr>
      <w:r>
        <w:rPr>
          <w:i w:val="0"/>
          <w:sz w:val="21"/>
        </w:rPr>
        <w:t>Some things will look wrong during the build and turn out to be right, or right but not worth the cost of changing. Recording those decisions is as valuable as recording the changes.</w:t>
      </w:r>
    </w:p>
    <w:tbl>
      <w:tblPr>
        <w:tblStyle w:val="12"/>
        <w:tblW w:w="0" w:type="auto"/>
        <w:jc w:val="center"/>
        <w:tblLayout w:type="fixed"/>
        <w:tblCellMar>
          <w:top w:w="0" w:type="dxa"/>
          <w:left w:w="108" w:type="dxa"/>
          <w:bottom w:w="0" w:type="dxa"/>
          <w:right w:w="108" w:type="dxa"/>
        </w:tblCellMar>
      </w:tblPr>
      <w:tblGrid>
        <w:gridCol w:w="2412"/>
        <w:gridCol w:w="2412"/>
        <w:gridCol w:w="2412"/>
        <w:gridCol w:w="2412"/>
      </w:tblGrid>
      <w:tr w14:paraId="18FA5365">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E8660A"/>
          </w:tcPr>
          <w:p w14:paraId="4CB5CF4C">
            <w:pPr>
              <w:spacing w:before="60" w:after="60"/>
            </w:pPr>
            <w:r>
              <w:rPr>
                <w:b/>
                <w:color w:val="FFFFFF"/>
                <w:sz w:val="17"/>
              </w:rPr>
              <w:t>What looked wrong</w:t>
            </w:r>
          </w:p>
        </w:tc>
        <w:tc>
          <w:tcPr>
            <w:tcW w:w="2736" w:type="dxa"/>
            <w:tcBorders>
              <w:top w:val="single" w:color="D9D9E0" w:sz="6" w:space="0"/>
              <w:left w:val="single" w:color="D9D9E0" w:sz="6" w:space="0"/>
              <w:bottom w:val="single" w:color="D9D9E0" w:sz="6" w:space="0"/>
              <w:right w:val="single" w:color="D9D9E0" w:sz="6" w:space="0"/>
            </w:tcBorders>
            <w:shd w:val="clear" w:color="auto" w:fill="E8660A"/>
          </w:tcPr>
          <w:p w14:paraId="098F8253">
            <w:pPr>
              <w:spacing w:before="60" w:after="60"/>
            </w:pPr>
            <w:r>
              <w:rPr>
                <w:b/>
                <w:color w:val="FFFFFF"/>
                <w:sz w:val="17"/>
              </w:rPr>
              <w:t>Why you left it</w:t>
            </w:r>
          </w:p>
        </w:tc>
        <w:tc>
          <w:tcPr>
            <w:tcW w:w="2592" w:type="dxa"/>
            <w:tcBorders>
              <w:top w:val="single" w:color="D9D9E0" w:sz="6" w:space="0"/>
              <w:left w:val="single" w:color="D9D9E0" w:sz="6" w:space="0"/>
              <w:bottom w:val="single" w:color="D9D9E0" w:sz="6" w:space="0"/>
              <w:right w:val="single" w:color="D9D9E0" w:sz="6" w:space="0"/>
            </w:tcBorders>
            <w:shd w:val="clear" w:color="auto" w:fill="E8660A"/>
          </w:tcPr>
          <w:p w14:paraId="71C750C5">
            <w:pPr>
              <w:spacing w:before="60" w:after="60"/>
            </w:pPr>
            <w:r>
              <w:rPr>
                <w:b/>
                <w:color w:val="FFFFFF"/>
                <w:sz w:val="17"/>
              </w:rPr>
              <w:t>What it would have cost to change</w:t>
            </w:r>
          </w:p>
        </w:tc>
        <w:tc>
          <w:tcPr>
            <w:tcW w:w="1584" w:type="dxa"/>
            <w:tcBorders>
              <w:top w:val="single" w:color="D9D9E0" w:sz="6" w:space="0"/>
              <w:left w:val="single" w:color="D9D9E0" w:sz="6" w:space="0"/>
              <w:bottom w:val="single" w:color="D9D9E0" w:sz="6" w:space="0"/>
              <w:right w:val="single" w:color="D9D9E0" w:sz="6" w:space="0"/>
            </w:tcBorders>
            <w:shd w:val="clear" w:color="auto" w:fill="E8660A"/>
          </w:tcPr>
          <w:p w14:paraId="585A4699">
            <w:pPr>
              <w:spacing w:before="60" w:after="60"/>
            </w:pPr>
            <w:r>
              <w:rPr>
                <w:b/>
                <w:color w:val="FFFFFF"/>
                <w:sz w:val="17"/>
              </w:rPr>
              <w:t>Revisit when?</w:t>
            </w:r>
          </w:p>
        </w:tc>
      </w:tr>
      <w:tr w14:paraId="151C8296">
        <w:trPr>
          <w:jc w:val="center"/>
        </w:trPr>
        <w:tc>
          <w:tcPr>
            <w:tcW w:w="2736" w:type="dxa"/>
            <w:tcBorders>
              <w:top w:val="single" w:color="D9D9E0" w:sz="6" w:space="0"/>
              <w:left w:val="single" w:color="D9D9E0" w:sz="6" w:space="0"/>
              <w:bottom w:val="single" w:color="D9D9E0" w:sz="6" w:space="0"/>
              <w:right w:val="single" w:color="D9D9E0" w:sz="6" w:space="0"/>
            </w:tcBorders>
          </w:tcPr>
          <w:p w14:paraId="711BA9F9">
            <w:r>
              <w:t>The confidence threshold (0.80), given escalation rates of 72.4 percent and then 95 percent.</w:t>
            </w:r>
          </w:p>
        </w:tc>
        <w:tc>
          <w:tcPr>
            <w:tcW w:w="2736" w:type="dxa"/>
            <w:tcBorders>
              <w:top w:val="single" w:color="D9D9E0" w:sz="6" w:space="0"/>
              <w:left w:val="single" w:color="D9D9E0" w:sz="6" w:space="0"/>
              <w:bottom w:val="single" w:color="D9D9E0" w:sz="6" w:space="0"/>
              <w:right w:val="single" w:color="D9D9E0" w:sz="6" w:space="0"/>
            </w:tcBorders>
          </w:tcPr>
          <w:p w14:paraId="4307540A">
            <w:r>
              <w:t>Router.py checks classification.used_fallback and forces escalate before the confidence threshold is ever evaluated (see src/route/router.py, the used_fallback branch runs first). Every fallback ticket has confidence explicitly set to 0.0, so lowering the threshold would not touch a single one of the tickets that drove the high escalation rate. It would only affect the 0.8 to 1.0 confidence band, which was already resolving well: 90.4 percent observed accuracy on the 500 ticket run.</w:t>
            </w:r>
          </w:p>
        </w:tc>
        <w:tc>
          <w:tcPr>
            <w:tcW w:w="2592" w:type="dxa"/>
            <w:tcBorders>
              <w:top w:val="single" w:color="D9D9E0" w:sz="6" w:space="0"/>
              <w:left w:val="single" w:color="D9D9E0" w:sz="6" w:space="0"/>
              <w:bottom w:val="single" w:color="D9D9E0" w:sz="6" w:space="0"/>
              <w:right w:val="single" w:color="D9D9E0" w:sz="6" w:space="0"/>
            </w:tcBorders>
          </w:tcPr>
          <w:p w14:paraId="19B90185">
            <w:r>
              <w:t>No real cost either way; also no real benefit given the analysis above, so changing it now would be guessing rather than acting on evidence.</w:t>
            </w:r>
          </w:p>
        </w:tc>
        <w:tc>
          <w:tcPr>
            <w:tcW w:w="1584" w:type="dxa"/>
            <w:tcBorders>
              <w:top w:val="single" w:color="D9D9E0" w:sz="6" w:space="0"/>
              <w:left w:val="single" w:color="D9D9E0" w:sz="6" w:space="0"/>
              <w:bottom w:val="single" w:color="D9D9E0" w:sz="6" w:space="0"/>
              <w:right w:val="single" w:color="D9D9E0" w:sz="6" w:space="0"/>
            </w:tcBorders>
          </w:tcPr>
          <w:p w14:paraId="6AD859A3">
            <w:r>
              <w:t>After a full clean run (once quota allows one), to see whether the healthy confidence band's calibration gap (currently 0.013, essentially well calibrated) suggests moving the threshold.</w:t>
            </w:r>
          </w:p>
        </w:tc>
      </w:tr>
      <w:tr w14:paraId="2C93441C">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4EE40A00">
            <w:r>
              <w:t>Groq as the model provider, given it caused both the deprecation incident and the quota exhaustion.</w:t>
            </w:r>
          </w:p>
        </w:tc>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3169BD7C">
            <w:r>
              <w:t>NFR-03 constrains the project to a free tier. The pipeline's prompts and control flow in src/pipeline.py are provider agnostic, so this is a config change later, not a redesign now. Groq was also chosen specifically for inference speed relevant to NFR-01.</w:t>
            </w: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019738B9">
            <w:r>
              <w:t>Switching providers or paying for a higher tier is outside this project's stated budget and timeline constraint.</w:t>
            </w:r>
          </w:p>
        </w:tc>
        <w:tc>
          <w:tcPr>
            <w:tcW w:w="1584" w:type="dxa"/>
            <w:tcBorders>
              <w:top w:val="single" w:color="D9D9E0" w:sz="6" w:space="0"/>
              <w:left w:val="single" w:color="D9D9E0" w:sz="6" w:space="0"/>
              <w:bottom w:val="single" w:color="D9D9E0" w:sz="6" w:space="0"/>
              <w:right w:val="single" w:color="D9D9E0" w:sz="6" w:space="0"/>
            </w:tcBorders>
            <w:shd w:val="clear" w:color="auto" w:fill="F4F4F7"/>
          </w:tcPr>
          <w:p w14:paraId="7A88D413">
            <w:r>
              <w:t>If this becomes a real deployment beyond the capstone submission.</w:t>
            </w:r>
          </w:p>
        </w:tc>
      </w:tr>
      <w:tr w14:paraId="6B7EBA95">
        <w:trPr>
          <w:jc w:val="center"/>
        </w:trPr>
        <w:tc>
          <w:tcPr>
            <w:tcW w:w="2736" w:type="dxa"/>
            <w:tcBorders>
              <w:top w:val="single" w:color="D9D9E0" w:sz="6" w:space="0"/>
              <w:left w:val="single" w:color="D9D9E0" w:sz="6" w:space="0"/>
              <w:bottom w:val="single" w:color="D9D9E0" w:sz="6" w:space="0"/>
              <w:right w:val="single" w:color="D9D9E0" w:sz="6" w:space="0"/>
            </w:tcBorders>
          </w:tcPr>
          <w:p w14:paraId="5BC578CD">
            <w:r>
              <w:t>Building a resumable or checkpointed harness so a quota exhausted run could pick up where it left off instead of needing a full rerun.</w:t>
            </w:r>
          </w:p>
        </w:tc>
        <w:tc>
          <w:tcPr>
            <w:tcW w:w="2736" w:type="dxa"/>
            <w:tcBorders>
              <w:top w:val="single" w:color="D9D9E0" w:sz="6" w:space="0"/>
              <w:left w:val="single" w:color="D9D9E0" w:sz="6" w:space="0"/>
              <w:bottom w:val="single" w:color="D9D9E0" w:sz="6" w:space="0"/>
              <w:right w:val="single" w:color="D9D9E0" w:sz="6" w:space="0"/>
            </w:tcBorders>
          </w:tcPr>
          <w:p w14:paraId="30BDAA51">
            <w:r>
              <w:t>The graceful degradation behavior under a real failure is itself one of the two headline pieces of evidence in this report, not only an obstacle to route around. Building around it risks the report and video timeline for a feature that only helps re-running evaluations, not the system under evaluation.</w:t>
            </w:r>
          </w:p>
        </w:tc>
        <w:tc>
          <w:tcPr>
            <w:tcW w:w="2592" w:type="dxa"/>
            <w:tcBorders>
              <w:top w:val="single" w:color="D9D9E0" w:sz="6" w:space="0"/>
              <w:left w:val="single" w:color="D9D9E0" w:sz="6" w:space="0"/>
              <w:bottom w:val="single" w:color="D9D9E0" w:sz="6" w:space="0"/>
              <w:right w:val="single" w:color="D9D9E0" w:sz="6" w:space="0"/>
            </w:tcBorders>
          </w:tcPr>
          <w:p w14:paraId="27A1F478">
            <w:r>
              <w:t>Roughly 3 to 4 hours of new state management code plus tests, not budgeted in the remaining days before submission.</w:t>
            </w:r>
          </w:p>
        </w:tc>
        <w:tc>
          <w:tcPr>
            <w:tcW w:w="1584" w:type="dxa"/>
            <w:tcBorders>
              <w:top w:val="single" w:color="D9D9E0" w:sz="6" w:space="0"/>
              <w:left w:val="single" w:color="D9D9E0" w:sz="6" w:space="0"/>
              <w:bottom w:val="single" w:color="D9D9E0" w:sz="6" w:space="0"/>
              <w:right w:val="single" w:color="D9D9E0" w:sz="6" w:space="0"/>
            </w:tcBorders>
          </w:tcPr>
          <w:p w14:paraId="4983E9B8">
            <w:r>
              <w:t>If a genuinely clean full scale run is still needed before submission and the quota keeps interrupting single sittings.</w:t>
            </w:r>
          </w:p>
        </w:tc>
      </w:tr>
      <w:tr w14:paraId="267D517E">
        <w:trPr>
          <w:jc w:val="center"/>
        </w:trPr>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62F0CA4E">
            <w:pPr>
              <w:spacing w:before="50" w:after="50"/>
            </w:pPr>
          </w:p>
        </w:tc>
        <w:tc>
          <w:tcPr>
            <w:tcW w:w="2736" w:type="dxa"/>
            <w:tcBorders>
              <w:top w:val="single" w:color="D9D9E0" w:sz="6" w:space="0"/>
              <w:left w:val="single" w:color="D9D9E0" w:sz="6" w:space="0"/>
              <w:bottom w:val="single" w:color="D9D9E0" w:sz="6" w:space="0"/>
              <w:right w:val="single" w:color="D9D9E0" w:sz="6" w:space="0"/>
            </w:tcBorders>
            <w:shd w:val="clear" w:color="auto" w:fill="F4F4F7"/>
          </w:tcPr>
          <w:p w14:paraId="7E244353">
            <w:pPr>
              <w:spacing w:before="50" w:after="50"/>
            </w:pPr>
          </w:p>
        </w:tc>
        <w:tc>
          <w:tcPr>
            <w:tcW w:w="2592" w:type="dxa"/>
            <w:tcBorders>
              <w:top w:val="single" w:color="D9D9E0" w:sz="6" w:space="0"/>
              <w:left w:val="single" w:color="D9D9E0" w:sz="6" w:space="0"/>
              <w:bottom w:val="single" w:color="D9D9E0" w:sz="6" w:space="0"/>
              <w:right w:val="single" w:color="D9D9E0" w:sz="6" w:space="0"/>
            </w:tcBorders>
            <w:shd w:val="clear" w:color="auto" w:fill="F4F4F7"/>
          </w:tcPr>
          <w:p w14:paraId="22B76DE0">
            <w:pPr>
              <w:spacing w:before="50" w:after="50"/>
            </w:pPr>
          </w:p>
        </w:tc>
        <w:tc>
          <w:tcPr>
            <w:tcW w:w="1584" w:type="dxa"/>
            <w:tcBorders>
              <w:top w:val="single" w:color="D9D9E0" w:sz="6" w:space="0"/>
              <w:left w:val="single" w:color="D9D9E0" w:sz="6" w:space="0"/>
              <w:bottom w:val="single" w:color="D9D9E0" w:sz="6" w:space="0"/>
              <w:right w:val="single" w:color="D9D9E0" w:sz="6" w:space="0"/>
            </w:tcBorders>
            <w:shd w:val="clear" w:color="auto" w:fill="F4F4F7"/>
          </w:tcPr>
          <w:p w14:paraId="3C17D31E">
            <w:pPr>
              <w:spacing w:before="50" w:after="50"/>
            </w:pPr>
          </w:p>
        </w:tc>
      </w:tr>
      <w:tr w14:paraId="3B361F01">
        <w:trPr>
          <w:jc w:val="center"/>
        </w:trPr>
        <w:tc>
          <w:tcPr>
            <w:tcW w:w="2736" w:type="dxa"/>
            <w:tcBorders>
              <w:top w:val="single" w:color="D9D9E0" w:sz="6" w:space="0"/>
              <w:left w:val="single" w:color="D9D9E0" w:sz="6" w:space="0"/>
              <w:bottom w:val="single" w:color="D9D9E0" w:sz="6" w:space="0"/>
              <w:right w:val="single" w:color="D9D9E0" w:sz="6" w:space="0"/>
            </w:tcBorders>
          </w:tcPr>
          <w:p w14:paraId="37AF526F">
            <w:pPr>
              <w:spacing w:before="50" w:after="50"/>
            </w:pPr>
          </w:p>
        </w:tc>
        <w:tc>
          <w:tcPr>
            <w:tcW w:w="2736" w:type="dxa"/>
            <w:tcBorders>
              <w:top w:val="single" w:color="D9D9E0" w:sz="6" w:space="0"/>
              <w:left w:val="single" w:color="D9D9E0" w:sz="6" w:space="0"/>
              <w:bottom w:val="single" w:color="D9D9E0" w:sz="6" w:space="0"/>
              <w:right w:val="single" w:color="D9D9E0" w:sz="6" w:space="0"/>
            </w:tcBorders>
          </w:tcPr>
          <w:p w14:paraId="4371C524">
            <w:pPr>
              <w:spacing w:before="50" w:after="50"/>
            </w:pPr>
          </w:p>
        </w:tc>
        <w:tc>
          <w:tcPr>
            <w:tcW w:w="2592" w:type="dxa"/>
            <w:tcBorders>
              <w:top w:val="single" w:color="D9D9E0" w:sz="6" w:space="0"/>
              <w:left w:val="single" w:color="D9D9E0" w:sz="6" w:space="0"/>
              <w:bottom w:val="single" w:color="D9D9E0" w:sz="6" w:space="0"/>
              <w:right w:val="single" w:color="D9D9E0" w:sz="6" w:space="0"/>
            </w:tcBorders>
          </w:tcPr>
          <w:p w14:paraId="513B0702">
            <w:pPr>
              <w:spacing w:before="50" w:after="50"/>
            </w:pPr>
          </w:p>
        </w:tc>
        <w:tc>
          <w:tcPr>
            <w:tcW w:w="1584" w:type="dxa"/>
            <w:tcBorders>
              <w:top w:val="single" w:color="D9D9E0" w:sz="6" w:space="0"/>
              <w:left w:val="single" w:color="D9D9E0" w:sz="6" w:space="0"/>
              <w:bottom w:val="single" w:color="D9D9E0" w:sz="6" w:space="0"/>
              <w:right w:val="single" w:color="D9D9E0" w:sz="6" w:space="0"/>
            </w:tcBorders>
          </w:tcPr>
          <w:p w14:paraId="3E03DA28">
            <w:pPr>
              <w:spacing w:before="50" w:after="50"/>
            </w:pPr>
          </w:p>
        </w:tc>
      </w:tr>
    </w:tbl>
    <w:p w14:paraId="1B407FFD">
      <w:pPr>
        <w:spacing w:after="80"/>
      </w:pPr>
    </w:p>
    <w:p w14:paraId="3EC63D12">
      <w:pPr>
        <w:pBdr>
          <w:bottom w:val="single" w:color="E8660A" w:sz="8" w:space="6"/>
        </w:pBdr>
        <w:spacing w:before="440" w:after="60"/>
      </w:pPr>
      <w:r>
        <w:rPr>
          <w:b/>
          <w:color w:val="E8660A"/>
          <w:sz w:val="34"/>
        </w:rPr>
        <w:t xml:space="preserve">5   </w:t>
      </w:r>
      <w:r>
        <w:rPr>
          <w:b/>
          <w:color w:val="1A1A2E"/>
          <w:sz w:val="34"/>
        </w:rPr>
        <w:t>Section five: the reflection</w:t>
      </w:r>
    </w:p>
    <w:p w14:paraId="5B7F4783">
      <w:pPr>
        <w:spacing w:after="140"/>
      </w:pPr>
      <w:r>
        <w:rPr>
          <w:i w:val="0"/>
          <w:sz w:val="21"/>
        </w:rPr>
        <w:t>Answer these in full sentences. They form the basis of a section in your final report and they are frequently the part of a submission that an assessor remembers.</w:t>
      </w:r>
    </w:p>
    <w:tbl>
      <w:tblPr>
        <w:tblStyle w:val="12"/>
        <w:tblW w:w="0" w:type="auto"/>
        <w:jc w:val="center"/>
        <w:tblLayout w:type="fixed"/>
        <w:tblCellMar>
          <w:top w:w="0" w:type="dxa"/>
          <w:left w:w="108" w:type="dxa"/>
          <w:bottom w:w="0" w:type="dxa"/>
          <w:right w:w="108" w:type="dxa"/>
        </w:tblCellMar>
      </w:tblPr>
      <w:tblGrid>
        <w:gridCol w:w="4824"/>
        <w:gridCol w:w="4824"/>
      </w:tblGrid>
      <w:tr w14:paraId="527BD206">
        <w:trPr>
          <w:jc w:val="center"/>
        </w:trPr>
        <w:tc>
          <w:tcPr>
            <w:tcW w:w="3600" w:type="dxa"/>
            <w:tcBorders>
              <w:top w:val="single" w:color="D9D9E0" w:sz="6" w:space="0"/>
              <w:left w:val="single" w:color="D9D9E0" w:sz="6" w:space="0"/>
              <w:bottom w:val="single" w:color="D9D9E0" w:sz="6" w:space="0"/>
              <w:right w:val="single" w:color="D9D9E0" w:sz="6" w:space="0"/>
            </w:tcBorders>
            <w:shd w:val="clear" w:color="auto" w:fill="E8660A"/>
          </w:tcPr>
          <w:p w14:paraId="589C2D19">
            <w:pPr>
              <w:spacing w:before="60" w:after="60"/>
            </w:pPr>
            <w:r>
              <w:rPr>
                <w:b/>
                <w:color w:val="FFFFFF"/>
                <w:sz w:val="18"/>
              </w:rPr>
              <w:t>Question</w:t>
            </w:r>
          </w:p>
        </w:tc>
        <w:tc>
          <w:tcPr>
            <w:tcW w:w="6048" w:type="dxa"/>
            <w:tcBorders>
              <w:top w:val="single" w:color="D9D9E0" w:sz="6" w:space="0"/>
              <w:left w:val="single" w:color="D9D9E0" w:sz="6" w:space="0"/>
              <w:bottom w:val="single" w:color="D9D9E0" w:sz="6" w:space="0"/>
              <w:right w:val="single" w:color="D9D9E0" w:sz="6" w:space="0"/>
            </w:tcBorders>
            <w:shd w:val="clear" w:color="auto" w:fill="E8660A"/>
          </w:tcPr>
          <w:p w14:paraId="2A4277D6">
            <w:pPr>
              <w:spacing w:before="60" w:after="60"/>
            </w:pPr>
            <w:r>
              <w:rPr>
                <w:b/>
                <w:color w:val="FFFFFF"/>
                <w:sz w:val="18"/>
              </w:rPr>
              <w:t>Your answer</w:t>
            </w:r>
          </w:p>
        </w:tc>
      </w:tr>
      <w:tr w14:paraId="78C4B124">
        <w:trPr>
          <w:jc w:val="center"/>
        </w:trPr>
        <w:tc>
          <w:tcPr>
            <w:tcW w:w="3600" w:type="dxa"/>
            <w:tcBorders>
              <w:top w:val="single" w:color="D9D9E0" w:sz="6" w:space="0"/>
              <w:left w:val="single" w:color="D9D9E0" w:sz="6" w:space="0"/>
              <w:bottom w:val="single" w:color="D9D9E0" w:sz="6" w:space="0"/>
              <w:right w:val="single" w:color="D9D9E0" w:sz="6" w:space="0"/>
            </w:tcBorders>
          </w:tcPr>
          <w:p w14:paraId="15ABB655">
            <w:r>
              <w:t>What did you most misunderstand about the problem when you wrote version one?</w:t>
            </w:r>
          </w:p>
        </w:tc>
        <w:tc>
          <w:tcPr>
            <w:tcW w:w="6048" w:type="dxa"/>
            <w:tcBorders>
              <w:top w:val="single" w:color="D9D9E0" w:sz="6" w:space="0"/>
              <w:left w:val="single" w:color="D9D9E0" w:sz="6" w:space="0"/>
              <w:bottom w:val="single" w:color="D9D9E0" w:sz="6" w:space="0"/>
              <w:right w:val="single" w:color="D9D9E0" w:sz="6" w:space="0"/>
            </w:tcBorders>
          </w:tcPr>
          <w:p w14:paraId="1253089D">
            <w:r>
              <w:t>I underestimated how load bearing the model provider's real world constraints would be, first a deprecated model id, then a daily token quota, compared with the model's actual classification quality. Version one treated NFR-02, graceful degradation, as a theoretical spec to satisfy with a fallback branch and a unit test. It turned out to be the single most load bearing thing in the whole build: it fired for real, unprompted, twice in one day, and produced the two headline pieces of evidence in this report.</w:t>
            </w:r>
          </w:p>
        </w:tc>
      </w:tr>
      <w:tr w14:paraId="56EF6CAF">
        <w:trPr>
          <w:jc w:val="center"/>
        </w:trPr>
        <w:tc>
          <w:tcPr>
            <w:tcW w:w="3600" w:type="dxa"/>
            <w:tcBorders>
              <w:top w:val="single" w:color="D9D9E0" w:sz="6" w:space="0"/>
              <w:left w:val="single" w:color="D9D9E0" w:sz="6" w:space="0"/>
              <w:bottom w:val="single" w:color="D9D9E0" w:sz="6" w:space="0"/>
              <w:right w:val="single" w:color="D9D9E0" w:sz="6" w:space="0"/>
            </w:tcBorders>
            <w:shd w:val="clear" w:color="auto" w:fill="F4F4F7"/>
          </w:tcPr>
          <w:p w14:paraId="5D44ECE4">
            <w:r>
              <w:t>Which piece of discovery work would have caught it earlier?</w:t>
            </w:r>
          </w:p>
        </w:tc>
        <w:tc>
          <w:tcPr>
            <w:tcW w:w="6048" w:type="dxa"/>
            <w:tcBorders>
              <w:top w:val="single" w:color="D9D9E0" w:sz="6" w:space="0"/>
              <w:left w:val="single" w:color="D9D9E0" w:sz="6" w:space="0"/>
              <w:bottom w:val="single" w:color="D9D9E0" w:sz="6" w:space="0"/>
              <w:right w:val="single" w:color="D9D9E0" w:sz="6" w:space="0"/>
            </w:tcBorders>
            <w:shd w:val="clear" w:color="auto" w:fill="F4F4F7"/>
          </w:tcPr>
          <w:p w14:paraId="095AE1CB">
            <w:r>
              <w:t>Nothing in the stakeholder interviews or the ticket dataset would have caught this, since it is an infrastructure constraint of the specific free tier provider chosen during the build, not a requirem</w:t>
            </w:r>
            <w:bookmarkStart w:id="0" w:name="_GoBack"/>
            <w:bookmarkEnd w:id="0"/>
            <w:r>
              <w:t>ents gathering gap. The closer catch would have been reading Groq's own rate limit documentation before committing to a same day, unattended, 500 ticket run immediately after a smaller validation run had already used part of the daily budget.</w:t>
            </w:r>
          </w:p>
        </w:tc>
      </w:tr>
      <w:tr w14:paraId="4C337D17">
        <w:trPr>
          <w:jc w:val="center"/>
        </w:trPr>
        <w:tc>
          <w:tcPr>
            <w:tcW w:w="3600" w:type="dxa"/>
            <w:tcBorders>
              <w:top w:val="single" w:color="D9D9E0" w:sz="6" w:space="0"/>
              <w:left w:val="single" w:color="D9D9E0" w:sz="6" w:space="0"/>
              <w:bottom w:val="single" w:color="D9D9E0" w:sz="6" w:space="0"/>
              <w:right w:val="single" w:color="D9D9E0" w:sz="6" w:space="0"/>
            </w:tcBorders>
          </w:tcPr>
          <w:p w14:paraId="1E714CC6">
            <w:r>
              <w:t>What would you do differently if you started this project again on Monday?</w:t>
            </w:r>
          </w:p>
        </w:tc>
        <w:tc>
          <w:tcPr>
            <w:tcW w:w="6048" w:type="dxa"/>
            <w:tcBorders>
              <w:top w:val="single" w:color="D9D9E0" w:sz="6" w:space="0"/>
              <w:left w:val="single" w:color="D9D9E0" w:sz="6" w:space="0"/>
              <w:bottom w:val="single" w:color="D9D9E0" w:sz="6" w:space="0"/>
              <w:right w:val="single" w:color="D9D9E0" w:sz="6" w:space="0"/>
            </w:tcBorders>
          </w:tcPr>
          <w:p w14:paraId="5AAEE001">
            <w:r>
              <w:t>Run the evaluation harness on a small, 10 to 20 ticket canary first thing each session to check the day's remaining quota headroom before committing to a large unattended run, and split any run above roughly 100 tickets across two calendar days from the start rather than treating the 500 ticket development set as a single sitting stretch goal.</w:t>
            </w:r>
          </w:p>
        </w:tc>
      </w:tr>
      <w:tr w14:paraId="14C1D9B1">
        <w:trPr>
          <w:jc w:val="center"/>
        </w:trPr>
        <w:tc>
          <w:tcPr>
            <w:tcW w:w="3600" w:type="dxa"/>
            <w:tcBorders>
              <w:top w:val="single" w:color="D9D9E0" w:sz="6" w:space="0"/>
              <w:left w:val="single" w:color="D9D9E0" w:sz="6" w:space="0"/>
              <w:bottom w:val="single" w:color="D9D9E0" w:sz="6" w:space="0"/>
              <w:right w:val="single" w:color="D9D9E0" w:sz="6" w:space="0"/>
            </w:tcBorders>
            <w:shd w:val="clear" w:color="auto" w:fill="F4F4F7"/>
          </w:tcPr>
          <w:p w14:paraId="71E708F5">
            <w:r>
              <w:t>What is still uncertain, and what would you need to resolve it?</w:t>
            </w:r>
          </w:p>
        </w:tc>
        <w:tc>
          <w:tcPr>
            <w:tcW w:w="6048" w:type="dxa"/>
            <w:tcBorders>
              <w:top w:val="single" w:color="D9D9E0" w:sz="6" w:space="0"/>
              <w:left w:val="single" w:color="D9D9E0" w:sz="6" w:space="0"/>
              <w:bottom w:val="single" w:color="D9D9E0" w:sz="6" w:space="0"/>
              <w:right w:val="single" w:color="D9D9E0" w:sz="6" w:space="0"/>
            </w:tcBorders>
            <w:shd w:val="clear" w:color="auto" w:fill="F4F4F7"/>
          </w:tcPr>
          <w:p w14:paraId="61250B01">
            <w:r>
              <w:t>The true classification accuracy and FCR or escalation rate under normal, non quota exhausted, operating conditions are still not conclusively measured at n=500. The calibration table's 0.8 to 1.0 confidence band, 334 of 500 tickets that received a real classification, shows 90.4 percent observed accuracy, which is the best current estimate, but a full clean run split across two calendar days would be needed to state a single trustworthy top line FCR number with confidence.</w:t>
            </w:r>
          </w:p>
        </w:tc>
      </w:tr>
    </w:tbl>
    <w:p w14:paraId="728B3BA9">
      <w:pPr>
        <w:spacing w:after="80"/>
      </w:pPr>
    </w:p>
    <w:p w14:paraId="3EE73A2C">
      <w:pPr>
        <w:spacing w:before="440" w:after="60"/>
      </w:pPr>
      <w:r>
        <w:rPr>
          <w:b/>
          <w:color w:val="E8660A"/>
          <w:sz w:val="34"/>
        </w:rPr>
        <w:t xml:space="preserve">6   </w:t>
      </w:r>
      <w:r>
        <w:rPr>
          <w:b/>
          <w:color w:val="1A1A2E"/>
          <w:sz w:val="34"/>
        </w:rPr>
        <w:t>Addendum: later findings, 2026-09-17</w:t>
      </w:r>
    </w:p>
    <w:p w14:paraId="46857983">
      <w:pPr>
        <w:spacing w:after="140"/>
      </w:pPr>
      <w:r>
        <w:rPr>
          <w:sz w:val="21"/>
        </w:rPr>
        <w:t>Everything above was written on 2026-09-16, from two evaluation runs that both turned out to be dominated by Groq's daily token quota. Two things changed since then. Both are recorded here in full rather than left as a gap between this workbook and the project's own longer-form revision log, docs/PRD_REVISION_LOG.md, which carries the same two addenda with more supporting detail and a comparison table.</w:t>
      </w:r>
    </w:p>
    <w:p w14:paraId="602CFB2F">
      <w:pPr>
        <w:spacing w:after="140"/>
      </w:pPr>
      <w:r>
        <w:rPr>
          <w:b/>
          <w:sz w:val="21"/>
        </w:rPr>
        <w:t xml:space="preserve">A clean evaluation run, 2026-09-17. </w:t>
      </w:r>
      <w:r>
        <w:rPr>
          <w:sz w:val="21"/>
        </w:rPr>
        <w:t>On 2026-09-17, once that day's quota had reset, the 80-ticket validation set was rerun through the unchanged pipeline with zero fallbacks. It produced a real, non-quota-contaminated data point: 81.25% FCR and 18.75% escalation, both clearing the version-two targets in the changes table above. It also corrected the NFR-01 latency explanation: the dominant driver of tail latency is the generation call's own inference time on Groq's free tier, not retry backoff under rate limiting, since this clean run has zero retries yet a p95 (10.64s) close to the quota-contaminated 500-ticket run's (10.35s). It also reopened a question the 500-ticket run had appeared to settle: a 21.9-point customer-tier resolution spread (business 93.33%, standard 71.43%, enterprise 87.5%), well outside the 5-point NFR-07 threshold, though the segments here are small (n=30 to n=42) and this could be noise rather than a real effect. The fluency-fairness finding, by contrast, replicated cleanly in the same direction as the 500-ticket run.</w:t>
      </w:r>
    </w:p>
    <w:p w14:paraId="7E85BA7B">
      <w:pPr>
        <w:spacing w:after="140"/>
      </w:pPr>
      <w:r>
        <w:rPr>
          <w:b/>
          <w:sz w:val="21"/>
        </w:rPr>
        <w:t xml:space="preserve">The LangChain/LangGraph/LangSmith branch, 2026-09-17. </w:t>
      </w:r>
      <w:r>
        <w:rPr>
          <w:sz w:val="21"/>
        </w:rPr>
        <w:t>A second branch, langchain-langgraph-migration, was built on 2026-09-17 to demonstrate an alternative the capstone report's own "alternatives considered" table had already named and set aside: using LangChain and LangGraph for orchestration. It produced no entry in the changes table above because no functional or non-functional requirement changed: every public interface, the ChatClient protocol, the retriever's public methods, every component function's signature, and run_ticket()'s own signature and return type, stayed identical to master, and all 53 existing tests pass unchanged on the new branch. FR-10's decision-logging requirement is still met the same way, by the SQLite decision log, on both branches. The one new thing this branch adds, LangSmith tracing, is documented as an optional, off-by-default observability layer, not a requirement. master is kept as the comparison baseline; langchain-langgraph-migration is the branch used for demos going forward.</w:t>
      </w:r>
    </w:p>
    <w:sectPr>
      <w:footerReference r:id="rId5" w:type="default"/>
      <w:pgSz w:w="12240" w:h="15840"/>
      <w:pgMar w:top="1296" w:right="1296" w:bottom="1296"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111DF">
    <w:pPr>
      <w:pStyle w:val="18"/>
      <w:jc w:val="center"/>
    </w:pPr>
    <w:r>
      <w:rPr>
        <w:color w:val="4A4A63"/>
        <w:sz w:val="15"/>
      </w:rPr>
      <w:t>Forward Deployed AI Engineering  ·  Stage Five  ·  Requirements Revision Log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F1EE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93" w:lineRule="auto"/>
    </w:pPr>
    <w:rPr>
      <w:rFonts w:ascii="Calibri" w:hAnsi="Calibri" w:eastAsiaTheme="minorEastAsia" w:cstheme="minorBidi"/>
      <w:color w:val="222233"/>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Dhanush Varanasi</cp:lastModifiedBy>
  <dcterms:modified xsi:type="dcterms:W3CDTF">2026-09-19T13:04:32Z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91A654B0CB6CF852083BAE6A3FC65BF4_42</vt:lpwstr>
  </property>
</Properties>
</file>