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Arial" w:hAnsi="Arial"/>
          <w:b/>
          <w:color w:val="1B365D"/>
          <w:sz w:val="40"/>
        </w:rPr>
        <w:t>Machine Learning Model Development and Evaluation</w:t>
      </w:r>
    </w:p>
    <w:p>
      <w:pPr>
        <w:spacing w:before="0" w:after="280" w:line="276" w:lineRule="auto"/>
      </w:pPr>
      <w:r>
        <w:rPr>
          <w:rFonts w:ascii="Arial" w:hAnsi="Arial"/>
          <w:i/>
          <w:color w:val="4A5568"/>
          <w:sz w:val="24"/>
        </w:rPr>
        <w:t>A Multiclass Classification Study on Physicochemical Wine Cultivar Fingerprints</w:t>
      </w:r>
    </w:p>
    <w:p>
      <w:pPr>
        <w:spacing w:before="280" w:after="80" w:line="276" w:lineRule="auto"/>
        <w:pBdr>
          <w:bottom w:val="single" w:sz="12" w:space="4" w:color="1B365D"/>
        </w:pBdr>
      </w:pPr>
      <w:r>
        <w:rPr>
          <w:rFonts w:ascii="Arial" w:hAnsi="Arial"/>
          <w:b/>
          <w:color w:val="1B365D"/>
          <w:sz w:val="28"/>
        </w:rPr>
        <w:t>Executive Summary</w:t>
      </w:r>
    </w:p>
    <w:p>
      <w:pPr>
        <w:spacing w:before="0" w:after="120" w:line="276" w:lineRule="auto"/>
      </w:pPr>
      <w:r>
        <w:t>This project develops, validates, and compares a reproducible end-to-end machine learning pipeline for multiclass classification on the Wine dataset from the UCI Machine Learning Repository and scikit-learn. The primary analytical objective is to determine whether 13 chemical and physical measurements derived from Italian wines can reliably classify their cultivar of origin (cultivars 0, 1, and 2, corresponding to Barolo, Grignolino, and Barbera). The experimental pipeline incorporates data hygiene inspection, stratified train-test partitioning (80/20 split, random_state=42), leakage-free standard feature scaling encapsulated inside scikit-learn Pipelines, and comprehensive multiclass evaluation.</w:t>
      </w:r>
    </w:p>
    <w:p>
      <w:pPr>
        <w:spacing w:before="0" w:after="160" w:line="276" w:lineRule="auto"/>
      </w:pPr>
      <w:r>
        <w:t>Three candidate classification algorithms were evaluated: Logistic Regression (multinomial linear baseline with L2 regularization), Random Forest (ensemble bagging of 100 trees), and Decision Tree (single non-linear CART baseline). On the held-out test set (N = 36), the Random Forest model achieved 100.0% test accuracy (Macro F1 = 1.0000, One-vs-Rest Macro ROC-AUC = 1.0000). Logistic Regression attained 97.22% accuracy (Macro F1 = 0.9710, ROC-AUC = 1.0000) with one misclassification at the default threshold. The perfect ROC-AUC indicates that Logistic Regression ranked the true-class probabilities correctly across classification thresholds, while the single classification error at the default decision threshold resulted in 97.22% accuracy. The single Decision Tree attained 94.44% accuracy (Macro F1 = 0.9457, ROC-AUC = 0.9493) with two misclassifications due to rigid orthogonal decision boundaries. Based on empirical test performance in this experiment, Random Forest is selected as the champion model, with standardized Logistic Regression serving as an interpretable linear alternative.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left w:val="single" w:sz="24" w:space="0" w:color="1B365D"/>
              <w:top w:val="none"/>
              <w:right w:val="none"/>
              <w:bottom w:val="none"/>
            </w:tcBorders>
          </w:tcPr>
          <w:p>
            <w:pPr>
              <w:spacing w:before="0" w:after="40" w:line="276" w:lineRule="auto"/>
            </w:pPr>
            <w:r>
              <w:rPr>
                <w:rFonts w:ascii="Arial" w:hAnsi="Arial"/>
                <w:b/>
                <w:color w:val="1B365D"/>
                <w:sz w:val="19"/>
              </w:rPr>
              <w:t xml:space="preserve">[EXECUTIVE SUMMARY TAKEAWAY] </w:t>
            </w:r>
            <w:r>
              <w:rPr>
                <w:rFonts w:ascii="Arial" w:hAnsi="Arial"/>
                <w:color w:val="282828"/>
                <w:sz w:val="19"/>
              </w:rPr>
              <w:t>Random Forest achieved 100.0% test accuracy and 1.0000 Macro F1 on the held-out test split (N = 36). Standardized Logistic Regression achieved 97.22% test accuracy with 1.0000 ROC-AUC. Both models demonstrate that physicochemical attributes provide strong predictive signal for wine cultivar classification.</w:t>
            </w:r>
          </w:p>
        </w:tc>
      </w:tr>
    </w:tbl>
    <w:p/>
    <w:p>
      <w:pPr>
        <w:spacing w:before="280" w:after="80" w:line="276" w:lineRule="auto"/>
        <w:pBdr>
          <w:bottom w:val="single" w:sz="12" w:space="4" w:color="1B365D"/>
        </w:pBdr>
      </w:pPr>
      <w:r>
        <w:rPr>
          <w:rFonts w:ascii="Arial" w:hAnsi="Arial"/>
          <w:b/>
          <w:color w:val="1B365D"/>
          <w:sz w:val="28"/>
        </w:rPr>
        <w:t>1. Introduction</w:t>
      </w:r>
    </w:p>
    <w:p>
      <w:pPr>
        <w:spacing w:before="0" w:after="120" w:line="276" w:lineRule="auto"/>
      </w:pPr>
      <w:r>
        <w:t>Automated cultivar identification and chemical fingerprinting are important techniques in enology, agricultural quality control, and food authentication. Regional wines command distinct commercial valuations and regulatory designations based on cultivar origin. However, traditional sensory profiling can be subjective and labor-intensive. Machine learning provides a structured, data-driven framework to map continuous physicochemical measurements directly to cultivar classifications.</w:t>
        <w:br/>
        <w:br/>
        <w:t>This project establishes a reproducible machine learning workflow. The study systematically progresses from data verification and pipeline construction through baseline modeling, tree-based comparison, multiclass evaluation, error diagnosis, and future improvement strategies.</w:t>
      </w:r>
    </w:p>
    <w:p>
      <w:pPr>
        <w:spacing w:before="280" w:after="80" w:line="276" w:lineRule="auto"/>
        <w:pBdr>
          <w:bottom w:val="single" w:sz="12" w:space="4" w:color="1B365D"/>
        </w:pBdr>
      </w:pPr>
      <w:r>
        <w:rPr>
          <w:rFonts w:ascii="Arial" w:hAnsi="Arial"/>
          <w:b/>
          <w:color w:val="1B365D"/>
          <w:sz w:val="28"/>
        </w:rPr>
        <w:t>2. Problem Definition</w:t>
      </w:r>
    </w:p>
    <w:p>
      <w:pPr>
        <w:spacing w:before="0" w:after="120" w:line="276" w:lineRule="auto"/>
      </w:pPr>
      <w:r>
        <w:t>The core research problem is framed as a supervised, multi-class pattern classification task: Given a feature vector of 13 continuous chemical and physical measurements x in R^13, predict the discrete cultivar label y in {0, 1, 2} representing three distinct Italian wine cultivars grown in the Piedmont region.</w:t>
        <w:br/>
        <w:br/>
        <w:t>Formal Task Definition:</w:t>
        <w:br/>
        <w:t>• Input Space (X): 13 continuous physicochemical attributes spanning alcohol content, organic acid levels, ash components, polyphenolic profiles (phenols, flavanoids, nonflavanoids, proanthocyanins), colorimetric properties (intensity, hue), spectrophotometric absorbance ratios, and amino acid content (proline).</w:t>
        <w:br/>
        <w:t>• Target Space (Y): Discrete multiclass label y in {0, 1, 2} corresponding to three cultivars: Class 0 (Barolo), Class 1 (Grignolino), and Class 2 (Barbera).</w:t>
        <w:br/>
        <w:t>• Optimization Objective: Learn a parameterized classification function f: X -&gt; Y that maximizes out-of-sample generalization accuracy and macro-averaged F1-score while maintaining balanced performance across all classes.</w:t>
      </w:r>
    </w:p>
    <w:p>
      <w:pPr>
        <w:spacing w:before="280" w:after="80" w:line="276" w:lineRule="auto"/>
        <w:pBdr>
          <w:bottom w:val="single" w:sz="12" w:space="4" w:color="1B365D"/>
        </w:pBdr>
      </w:pPr>
      <w:r>
        <w:rPr>
          <w:rFonts w:ascii="Arial" w:hAnsi="Arial"/>
          <w:b/>
          <w:color w:val="1B365D"/>
          <w:sz w:val="28"/>
        </w:rPr>
        <w:t>3. Dataset Description</w:t>
      </w:r>
    </w:p>
    <w:p>
      <w:pPr>
        <w:spacing w:before="0" w:after="120" w:line="276" w:lineRule="auto"/>
      </w:pPr>
      <w:r>
        <w:t>The dataset utilized is the Wine Recognition Dataset, originally curated by Forina et al. (1988) and distributed via the UCI Machine Learning Repository and scikit-learn. The dataset consists of exactly 178 observations with 13 numerical continuous features and zero missing values. The target variable comprises three distinct classes corresponding to three wine cultivars derived from the same geographical region in Italy.</w:t>
        <w:br/>
        <w:br/>
        <w:t>Target Class Distribution:</w:t>
        <w:br/>
        <w:t>• Class 0 (Barolo): 59 observations (33.1%)</w:t>
        <w:br/>
        <w:t>• Class 1 (Grignolino): 71 observations (39.9%)</w:t>
        <w:br/>
        <w:t>• Class 2 (Barbera): 48 observations (27.0%)</w:t>
        <w:br/>
        <w:br/>
        <w:t>Dataset Appropriateness:</w:t>
        <w:br/>
        <w:t>This dataset is well suited for machine learning benchmarking because it presents a multi-dimensional continuous feature space exhibiting varying scales, natural correlations, and mild class imbalance. It provides a practical setting for evaluating scale-sensitive linear models (Logistic Regression) against scale-invariant tree models (Random Forest), testing pipeline data-leakage prevention, and conducting multiclass One-vs-Rest ROC diagnostics.</w:t>
      </w:r>
    </w:p>
    <w:p>
      <w:pPr>
        <w:spacing w:before="120" w:after="40" w:line="276" w:lineRule="auto"/>
      </w:pPr>
      <w:r>
        <w:rPr>
          <w:rFonts w:ascii="Arial" w:hAnsi="Arial"/>
          <w:b/>
          <w:color w:val="1B365D"/>
          <w:sz w:val="20"/>
        </w:rPr>
        <w:t>Table 1: Physicochemical Feature Descriptions and Target Variables</w:t>
      </w:r>
    </w:p>
    <w:tbl>
      <w:tblPr>
        <w:tblW w:type="auto" w:w="0"/>
        <w:jc w:val="center"/>
        <w:tblLayout w:type="fixed"/>
        <w:tblLook w:firstColumn="1" w:firstRow="1" w:lastColumn="0" w:lastRow="0" w:noHBand="0" w:noVBand="1" w:val="04A0"/>
        <w:tblBorders>
          <w:top w:val="single" w:sz="6" w:space="0" w:color="D3D3D3"/>
          <w:bottom w:val="single" w:sz="8" w:space="0" w:color="1B365D"/>
          <w:left w:val="none" w:sz="0" w:space="0" w:color="auto"/>
          <w:right w:val="none" w:sz="0" w:space="0" w:color="auto"/>
          <w:insideH w:val="single" w:sz="4" w:space="0" w:color="D3D3D3"/>
          <w:insideV w:val="none" w:sz="0" w:space="0" w:color="auto"/>
        </w:tblBorders>
      </w:tblPr>
      <w:tblGrid>
        <w:gridCol w:w="2340"/>
        <w:gridCol w:w="2340"/>
        <w:gridCol w:w="2340"/>
        <w:gridCol w:w="2340"/>
      </w:tblGrid>
      <w:tr>
        <w:tc>
          <w:tcPr>
            <w:tcW w:type="dxa" w:w="2592"/>
            <w:shd w:fill="1B365D"/>
            <w:tcMar>
              <w:top w:w="100" w:type="dxa"/>
              <w:bottom w:w="100" w:type="dxa"/>
              <w:left w:w="120" w:type="dxa"/>
              <w:right w:w="120" w:type="dxa"/>
            </w:tcMar>
          </w:tcPr>
          <w:p>
            <w:pPr>
              <w:spacing w:before="0" w:after="0" w:line="276" w:lineRule="auto"/>
            </w:pPr>
            <w:r>
              <w:rPr>
                <w:rFonts w:ascii="Arial" w:hAnsi="Arial"/>
                <w:b/>
                <w:color w:val="FFFFFF"/>
                <w:sz w:val="18"/>
              </w:rPr>
              <w:t>Feature / Variable</w:t>
            </w:r>
          </w:p>
        </w:tc>
        <w:tc>
          <w:tcPr>
            <w:tcW w:type="dxa" w:w="1584"/>
            <w:shd w:fill="1B365D"/>
            <w:tcMar>
              <w:top w:w="100" w:type="dxa"/>
              <w:bottom w:w="100" w:type="dxa"/>
              <w:left w:w="120" w:type="dxa"/>
              <w:right w:w="120" w:type="dxa"/>
            </w:tcMar>
          </w:tcPr>
          <w:p>
            <w:pPr>
              <w:spacing w:before="0" w:after="0" w:line="276" w:lineRule="auto"/>
            </w:pPr>
            <w:r>
              <w:rPr>
                <w:rFonts w:ascii="Arial" w:hAnsi="Arial"/>
                <w:b/>
                <w:color w:val="FFFFFF"/>
                <w:sz w:val="18"/>
              </w:rPr>
              <w:t>Type</w:t>
            </w:r>
          </w:p>
        </w:tc>
        <w:tc>
          <w:tcPr>
            <w:tcW w:type="dxa" w:w="1872"/>
            <w:shd w:fill="1B365D"/>
            <w:tcMar>
              <w:top w:w="100" w:type="dxa"/>
              <w:bottom w:w="100" w:type="dxa"/>
              <w:left w:w="120" w:type="dxa"/>
              <w:right w:w="120" w:type="dxa"/>
            </w:tcMar>
          </w:tcPr>
          <w:p>
            <w:pPr>
              <w:spacing w:before="0" w:after="0" w:line="276" w:lineRule="auto"/>
            </w:pPr>
            <w:r>
              <w:rPr>
                <w:rFonts w:ascii="Arial" w:hAnsi="Arial"/>
                <w:b/>
                <w:color w:val="FFFFFF"/>
                <w:sz w:val="18"/>
              </w:rPr>
              <w:t>Units / Domain</w:t>
            </w:r>
          </w:p>
        </w:tc>
        <w:tc>
          <w:tcPr>
            <w:tcW w:type="dxa" w:w="3312"/>
            <w:shd w:fill="1B365D"/>
            <w:tcMar>
              <w:top w:w="100" w:type="dxa"/>
              <w:bottom w:w="100" w:type="dxa"/>
              <w:left w:w="120" w:type="dxa"/>
              <w:right w:w="120" w:type="dxa"/>
            </w:tcMar>
          </w:tcPr>
          <w:p>
            <w:pPr>
              <w:spacing w:before="0" w:after="0" w:line="276" w:lineRule="auto"/>
            </w:pPr>
            <w:r>
              <w:rPr>
                <w:rFonts w:ascii="Arial" w:hAnsi="Arial"/>
                <w:b/>
                <w:color w:val="FFFFFF"/>
                <w:sz w:val="18"/>
              </w:rPr>
              <w:t>Description</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alcohol</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FFFFF"/>
            <w:tcMar>
              <w:top w:w="80" w:type="dxa"/>
              <w:bottom w:w="80" w:type="dxa"/>
              <w:left w:w="120" w:type="dxa"/>
              <w:right w:w="120" w:type="dxa"/>
            </w:tcMar>
          </w:tcPr>
          <w:p>
            <w:pPr>
              <w:spacing w:before="0" w:after="0" w:line="276" w:lineRule="auto"/>
            </w:pPr>
            <w:r>
              <w:rPr>
                <w:rFonts w:ascii="Arial" w:hAnsi="Arial"/>
                <w:color w:val="282828"/>
                <w:sz w:val="17"/>
              </w:rPr>
              <w:t>% by volume</w:t>
            </w:r>
          </w:p>
        </w:tc>
        <w:tc>
          <w:tcPr>
            <w:tcW w:type="dxa" w:w="3312"/>
            <w:shd w:fill="FFFFFF"/>
            <w:tcMar>
              <w:top w:w="80" w:type="dxa"/>
              <w:bottom w:w="80" w:type="dxa"/>
              <w:left w:w="120" w:type="dxa"/>
              <w:right w:w="120" w:type="dxa"/>
            </w:tcMar>
          </w:tcPr>
          <w:p>
            <w:pPr>
              <w:spacing w:before="0" w:after="0" w:line="276" w:lineRule="auto"/>
            </w:pPr>
            <w:r>
              <w:rPr>
                <w:rFonts w:ascii="Arial" w:hAnsi="Arial"/>
                <w:color w:val="282828"/>
                <w:sz w:val="17"/>
              </w:rPr>
              <w:t>Ethanol content produced during fermentation</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malic_acid</w:t>
            </w:r>
          </w:p>
        </w:tc>
        <w:tc>
          <w:tcPr>
            <w:tcW w:type="dxa" w:w="1584"/>
            <w:shd w:fill="F7F9FA"/>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7F9FA"/>
            <w:tcMar>
              <w:top w:w="80" w:type="dxa"/>
              <w:bottom w:w="80" w:type="dxa"/>
              <w:left w:w="120" w:type="dxa"/>
              <w:right w:w="120" w:type="dxa"/>
            </w:tcMar>
          </w:tcPr>
          <w:p>
            <w:pPr>
              <w:spacing w:before="0" w:after="0" w:line="276" w:lineRule="auto"/>
            </w:pPr>
            <w:r>
              <w:rPr>
                <w:rFonts w:ascii="Arial" w:hAnsi="Arial"/>
                <w:color w:val="282828"/>
                <w:sz w:val="17"/>
              </w:rPr>
              <w:t>g/L</w:t>
            </w:r>
          </w:p>
        </w:tc>
        <w:tc>
          <w:tcPr>
            <w:tcW w:type="dxa" w:w="3312"/>
            <w:shd w:fill="F7F9FA"/>
            <w:tcMar>
              <w:top w:w="80" w:type="dxa"/>
              <w:bottom w:w="80" w:type="dxa"/>
              <w:left w:w="120" w:type="dxa"/>
              <w:right w:w="120" w:type="dxa"/>
            </w:tcMar>
          </w:tcPr>
          <w:p>
            <w:pPr>
              <w:spacing w:before="0" w:after="0" w:line="276" w:lineRule="auto"/>
            </w:pPr>
            <w:r>
              <w:rPr>
                <w:rFonts w:ascii="Arial" w:hAnsi="Arial"/>
                <w:color w:val="282828"/>
                <w:sz w:val="17"/>
              </w:rPr>
              <w:t>Primary organic acid influencing tartness</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ash</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FFFFF"/>
            <w:tcMar>
              <w:top w:w="80" w:type="dxa"/>
              <w:bottom w:w="80" w:type="dxa"/>
              <w:left w:w="120" w:type="dxa"/>
              <w:right w:w="120" w:type="dxa"/>
            </w:tcMar>
          </w:tcPr>
          <w:p>
            <w:pPr>
              <w:spacing w:before="0" w:after="0" w:line="276" w:lineRule="auto"/>
            </w:pPr>
            <w:r>
              <w:rPr>
                <w:rFonts w:ascii="Arial" w:hAnsi="Arial"/>
                <w:color w:val="282828"/>
                <w:sz w:val="17"/>
              </w:rPr>
              <w:t>g/L</w:t>
            </w:r>
          </w:p>
        </w:tc>
        <w:tc>
          <w:tcPr>
            <w:tcW w:type="dxa" w:w="3312"/>
            <w:shd w:fill="FFFFFF"/>
            <w:tcMar>
              <w:top w:w="80" w:type="dxa"/>
              <w:bottom w:w="80" w:type="dxa"/>
              <w:left w:w="120" w:type="dxa"/>
              <w:right w:w="120" w:type="dxa"/>
            </w:tcMar>
          </w:tcPr>
          <w:p>
            <w:pPr>
              <w:spacing w:before="0" w:after="0" w:line="276" w:lineRule="auto"/>
            </w:pPr>
            <w:r>
              <w:rPr>
                <w:rFonts w:ascii="Arial" w:hAnsi="Arial"/>
                <w:color w:val="282828"/>
                <w:sz w:val="17"/>
              </w:rPr>
              <w:t>Inorganic mineral residue remaining after incineration</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alcalinity_of_ash</w:t>
            </w:r>
          </w:p>
        </w:tc>
        <w:tc>
          <w:tcPr>
            <w:tcW w:type="dxa" w:w="1584"/>
            <w:shd w:fill="F7F9FA"/>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7F9FA"/>
            <w:tcMar>
              <w:top w:w="80" w:type="dxa"/>
              <w:bottom w:w="80" w:type="dxa"/>
              <w:left w:w="120" w:type="dxa"/>
              <w:right w:w="120" w:type="dxa"/>
            </w:tcMar>
          </w:tcPr>
          <w:p>
            <w:pPr>
              <w:spacing w:before="0" w:after="0" w:line="276" w:lineRule="auto"/>
            </w:pPr>
            <w:r>
              <w:rPr>
                <w:rFonts w:ascii="Arial" w:hAnsi="Arial"/>
                <w:color w:val="282828"/>
                <w:sz w:val="17"/>
              </w:rPr>
              <w:t>pH buffering</w:t>
            </w:r>
          </w:p>
        </w:tc>
        <w:tc>
          <w:tcPr>
            <w:tcW w:type="dxa" w:w="3312"/>
            <w:shd w:fill="F7F9FA"/>
            <w:tcMar>
              <w:top w:w="80" w:type="dxa"/>
              <w:bottom w:w="80" w:type="dxa"/>
              <w:left w:w="120" w:type="dxa"/>
              <w:right w:w="120" w:type="dxa"/>
            </w:tcMar>
          </w:tcPr>
          <w:p>
            <w:pPr>
              <w:spacing w:before="0" w:after="0" w:line="276" w:lineRule="auto"/>
            </w:pPr>
            <w:r>
              <w:rPr>
                <w:rFonts w:ascii="Arial" w:hAnsi="Arial"/>
                <w:color w:val="282828"/>
                <w:sz w:val="17"/>
              </w:rPr>
              <w:t>Measure of base-neutralizing capacity of ash</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magnesium</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FFFFF"/>
            <w:tcMar>
              <w:top w:w="80" w:type="dxa"/>
              <w:bottom w:w="80" w:type="dxa"/>
              <w:left w:w="120" w:type="dxa"/>
              <w:right w:w="120" w:type="dxa"/>
            </w:tcMar>
          </w:tcPr>
          <w:p>
            <w:pPr>
              <w:spacing w:before="0" w:after="0" w:line="276" w:lineRule="auto"/>
            </w:pPr>
            <w:r>
              <w:rPr>
                <w:rFonts w:ascii="Arial" w:hAnsi="Arial"/>
                <w:color w:val="282828"/>
                <w:sz w:val="17"/>
              </w:rPr>
              <w:t>mg/L</w:t>
            </w:r>
          </w:p>
        </w:tc>
        <w:tc>
          <w:tcPr>
            <w:tcW w:type="dxa" w:w="3312"/>
            <w:shd w:fill="FFFFFF"/>
            <w:tcMar>
              <w:top w:w="80" w:type="dxa"/>
              <w:bottom w:w="80" w:type="dxa"/>
              <w:left w:w="120" w:type="dxa"/>
              <w:right w:w="120" w:type="dxa"/>
            </w:tcMar>
          </w:tcPr>
          <w:p>
            <w:pPr>
              <w:spacing w:before="0" w:after="0" w:line="276" w:lineRule="auto"/>
            </w:pPr>
            <w:r>
              <w:rPr>
                <w:rFonts w:ascii="Arial" w:hAnsi="Arial"/>
                <w:color w:val="282828"/>
                <w:sz w:val="17"/>
              </w:rPr>
              <w:t>Essential mineral cation concentration</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total_phenols</w:t>
            </w:r>
          </w:p>
        </w:tc>
        <w:tc>
          <w:tcPr>
            <w:tcW w:type="dxa" w:w="1584"/>
            <w:shd w:fill="F7F9FA"/>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7F9FA"/>
            <w:tcMar>
              <w:top w:w="80" w:type="dxa"/>
              <w:bottom w:w="80" w:type="dxa"/>
              <w:left w:w="120" w:type="dxa"/>
              <w:right w:w="120" w:type="dxa"/>
            </w:tcMar>
          </w:tcPr>
          <w:p>
            <w:pPr>
              <w:spacing w:before="0" w:after="0" w:line="276" w:lineRule="auto"/>
            </w:pPr>
            <w:r>
              <w:rPr>
                <w:rFonts w:ascii="Arial" w:hAnsi="Arial"/>
                <w:color w:val="282828"/>
                <w:sz w:val="17"/>
              </w:rPr>
              <w:t>g/L</w:t>
            </w:r>
          </w:p>
        </w:tc>
        <w:tc>
          <w:tcPr>
            <w:tcW w:type="dxa" w:w="3312"/>
            <w:shd w:fill="F7F9FA"/>
            <w:tcMar>
              <w:top w:w="80" w:type="dxa"/>
              <w:bottom w:w="80" w:type="dxa"/>
              <w:left w:w="120" w:type="dxa"/>
              <w:right w:w="120" w:type="dxa"/>
            </w:tcMar>
          </w:tcPr>
          <w:p>
            <w:pPr>
              <w:spacing w:before="0" w:after="0" w:line="276" w:lineRule="auto"/>
            </w:pPr>
            <w:r>
              <w:rPr>
                <w:rFonts w:ascii="Arial" w:hAnsi="Arial"/>
                <w:color w:val="282828"/>
                <w:sz w:val="17"/>
              </w:rPr>
              <w:t>Aggregate content of phenolic compounds</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flavanoids</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FFFFF"/>
            <w:tcMar>
              <w:top w:w="80" w:type="dxa"/>
              <w:bottom w:w="80" w:type="dxa"/>
              <w:left w:w="120" w:type="dxa"/>
              <w:right w:w="120" w:type="dxa"/>
            </w:tcMar>
          </w:tcPr>
          <w:p>
            <w:pPr>
              <w:spacing w:before="0" w:after="0" w:line="276" w:lineRule="auto"/>
            </w:pPr>
            <w:r>
              <w:rPr>
                <w:rFonts w:ascii="Arial" w:hAnsi="Arial"/>
                <w:color w:val="282828"/>
                <w:sz w:val="17"/>
              </w:rPr>
              <w:t>g/L</w:t>
            </w:r>
          </w:p>
        </w:tc>
        <w:tc>
          <w:tcPr>
            <w:tcW w:type="dxa" w:w="3312"/>
            <w:shd w:fill="FFFFFF"/>
            <w:tcMar>
              <w:top w:w="80" w:type="dxa"/>
              <w:bottom w:w="80" w:type="dxa"/>
              <w:left w:w="120" w:type="dxa"/>
              <w:right w:w="120" w:type="dxa"/>
            </w:tcMar>
          </w:tcPr>
          <w:p>
            <w:pPr>
              <w:spacing w:before="0" w:after="0" w:line="276" w:lineRule="auto"/>
            </w:pPr>
            <w:r>
              <w:rPr>
                <w:rFonts w:ascii="Arial" w:hAnsi="Arial"/>
                <w:color w:val="282828"/>
                <w:sz w:val="17"/>
              </w:rPr>
              <w:t>Polyphenolic antioxidants affecting taste and structure</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nonflavanoid_phenols</w:t>
            </w:r>
          </w:p>
        </w:tc>
        <w:tc>
          <w:tcPr>
            <w:tcW w:type="dxa" w:w="1584"/>
            <w:shd w:fill="F7F9FA"/>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7F9FA"/>
            <w:tcMar>
              <w:top w:w="80" w:type="dxa"/>
              <w:bottom w:w="80" w:type="dxa"/>
              <w:left w:w="120" w:type="dxa"/>
              <w:right w:w="120" w:type="dxa"/>
            </w:tcMar>
          </w:tcPr>
          <w:p>
            <w:pPr>
              <w:spacing w:before="0" w:after="0" w:line="276" w:lineRule="auto"/>
            </w:pPr>
            <w:r>
              <w:rPr>
                <w:rFonts w:ascii="Arial" w:hAnsi="Arial"/>
                <w:color w:val="282828"/>
                <w:sz w:val="17"/>
              </w:rPr>
              <w:t>g/L</w:t>
            </w:r>
          </w:p>
        </w:tc>
        <w:tc>
          <w:tcPr>
            <w:tcW w:type="dxa" w:w="3312"/>
            <w:shd w:fill="F7F9FA"/>
            <w:tcMar>
              <w:top w:w="80" w:type="dxa"/>
              <w:bottom w:w="80" w:type="dxa"/>
              <w:left w:w="120" w:type="dxa"/>
              <w:right w:w="120" w:type="dxa"/>
            </w:tcMar>
          </w:tcPr>
          <w:p>
            <w:pPr>
              <w:spacing w:before="0" w:after="0" w:line="276" w:lineRule="auto"/>
            </w:pPr>
            <w:r>
              <w:rPr>
                <w:rFonts w:ascii="Arial" w:hAnsi="Arial"/>
                <w:color w:val="282828"/>
                <w:sz w:val="17"/>
              </w:rPr>
              <w:t>Secondary phenolic acids and simple phenolics</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proanthocyanins</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FFFFF"/>
            <w:tcMar>
              <w:top w:w="80" w:type="dxa"/>
              <w:bottom w:w="80" w:type="dxa"/>
              <w:left w:w="120" w:type="dxa"/>
              <w:right w:w="120" w:type="dxa"/>
            </w:tcMar>
          </w:tcPr>
          <w:p>
            <w:pPr>
              <w:spacing w:before="0" w:after="0" w:line="276" w:lineRule="auto"/>
            </w:pPr>
            <w:r>
              <w:rPr>
                <w:rFonts w:ascii="Arial" w:hAnsi="Arial"/>
                <w:color w:val="282828"/>
                <w:sz w:val="17"/>
              </w:rPr>
              <w:t>g/L</w:t>
            </w:r>
          </w:p>
        </w:tc>
        <w:tc>
          <w:tcPr>
            <w:tcW w:type="dxa" w:w="3312"/>
            <w:shd w:fill="FFFFFF"/>
            <w:tcMar>
              <w:top w:w="80" w:type="dxa"/>
              <w:bottom w:w="80" w:type="dxa"/>
              <w:left w:w="120" w:type="dxa"/>
              <w:right w:w="120" w:type="dxa"/>
            </w:tcMar>
          </w:tcPr>
          <w:p>
            <w:pPr>
              <w:spacing w:before="0" w:after="0" w:line="276" w:lineRule="auto"/>
            </w:pPr>
            <w:r>
              <w:rPr>
                <w:rFonts w:ascii="Arial" w:hAnsi="Arial"/>
                <w:color w:val="282828"/>
                <w:sz w:val="17"/>
              </w:rPr>
              <w:t>Condensed tannins contributing to astringency</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color_intensity</w:t>
            </w:r>
          </w:p>
        </w:tc>
        <w:tc>
          <w:tcPr>
            <w:tcW w:type="dxa" w:w="1584"/>
            <w:shd w:fill="F7F9FA"/>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7F9FA"/>
            <w:tcMar>
              <w:top w:w="80" w:type="dxa"/>
              <w:bottom w:w="80" w:type="dxa"/>
              <w:left w:w="120" w:type="dxa"/>
              <w:right w:w="120" w:type="dxa"/>
            </w:tcMar>
          </w:tcPr>
          <w:p>
            <w:pPr>
              <w:spacing w:before="0" w:after="0" w:line="276" w:lineRule="auto"/>
            </w:pPr>
            <w:r>
              <w:rPr>
                <w:rFonts w:ascii="Arial" w:hAnsi="Arial"/>
                <w:color w:val="282828"/>
                <w:sz w:val="17"/>
              </w:rPr>
              <w:t>Absorbance units</w:t>
            </w:r>
          </w:p>
        </w:tc>
        <w:tc>
          <w:tcPr>
            <w:tcW w:type="dxa" w:w="3312"/>
            <w:shd w:fill="F7F9FA"/>
            <w:tcMar>
              <w:top w:w="80" w:type="dxa"/>
              <w:bottom w:w="80" w:type="dxa"/>
              <w:left w:w="120" w:type="dxa"/>
              <w:right w:w="120" w:type="dxa"/>
            </w:tcMar>
          </w:tcPr>
          <w:p>
            <w:pPr>
              <w:spacing w:before="0" w:after="0" w:line="276" w:lineRule="auto"/>
            </w:pPr>
            <w:r>
              <w:rPr>
                <w:rFonts w:ascii="Arial" w:hAnsi="Arial"/>
                <w:color w:val="282828"/>
                <w:sz w:val="17"/>
              </w:rPr>
              <w:t>Spectral color depth at key visual wavelengths</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hue</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FFFFF"/>
            <w:tcMar>
              <w:top w:w="80" w:type="dxa"/>
              <w:bottom w:w="80" w:type="dxa"/>
              <w:left w:w="120" w:type="dxa"/>
              <w:right w:w="120" w:type="dxa"/>
            </w:tcMar>
          </w:tcPr>
          <w:p>
            <w:pPr>
              <w:spacing w:before="0" w:after="0" w:line="276" w:lineRule="auto"/>
            </w:pPr>
            <w:r>
              <w:rPr>
                <w:rFonts w:ascii="Arial" w:hAnsi="Arial"/>
                <w:color w:val="282828"/>
                <w:sz w:val="17"/>
              </w:rPr>
              <w:t>Ratio</w:t>
            </w:r>
          </w:p>
        </w:tc>
        <w:tc>
          <w:tcPr>
            <w:tcW w:type="dxa" w:w="3312"/>
            <w:shd w:fill="FFFFFF"/>
            <w:tcMar>
              <w:top w:w="80" w:type="dxa"/>
              <w:bottom w:w="80" w:type="dxa"/>
              <w:left w:w="120" w:type="dxa"/>
              <w:right w:w="120" w:type="dxa"/>
            </w:tcMar>
          </w:tcPr>
          <w:p>
            <w:pPr>
              <w:spacing w:before="0" w:after="0" w:line="276" w:lineRule="auto"/>
            </w:pPr>
            <w:r>
              <w:rPr>
                <w:rFonts w:ascii="Arial" w:hAnsi="Arial"/>
                <w:color w:val="282828"/>
                <w:sz w:val="17"/>
              </w:rPr>
              <w:t>Hue ratio of yellow to red optical absorbance</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od280/od315_of_diluted_wines</w:t>
            </w:r>
          </w:p>
        </w:tc>
        <w:tc>
          <w:tcPr>
            <w:tcW w:type="dxa" w:w="1584"/>
            <w:shd w:fill="F7F9FA"/>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7F9FA"/>
            <w:tcMar>
              <w:top w:w="80" w:type="dxa"/>
              <w:bottom w:w="80" w:type="dxa"/>
              <w:left w:w="120" w:type="dxa"/>
              <w:right w:w="120" w:type="dxa"/>
            </w:tcMar>
          </w:tcPr>
          <w:p>
            <w:pPr>
              <w:spacing w:before="0" w:after="0" w:line="276" w:lineRule="auto"/>
            </w:pPr>
            <w:r>
              <w:rPr>
                <w:rFonts w:ascii="Arial" w:hAnsi="Arial"/>
                <w:color w:val="282828"/>
                <w:sz w:val="17"/>
              </w:rPr>
              <w:t>Absorbance ratio</w:t>
            </w:r>
          </w:p>
        </w:tc>
        <w:tc>
          <w:tcPr>
            <w:tcW w:type="dxa" w:w="3312"/>
            <w:shd w:fill="F7F9FA"/>
            <w:tcMar>
              <w:top w:w="80" w:type="dxa"/>
              <w:bottom w:w="80" w:type="dxa"/>
              <w:left w:w="120" w:type="dxa"/>
              <w:right w:w="120" w:type="dxa"/>
            </w:tcMar>
          </w:tcPr>
          <w:p>
            <w:pPr>
              <w:spacing w:before="0" w:after="0" w:line="276" w:lineRule="auto"/>
            </w:pPr>
            <w:r>
              <w:rPr>
                <w:rFonts w:ascii="Arial" w:hAnsi="Arial"/>
                <w:color w:val="282828"/>
                <w:sz w:val="17"/>
              </w:rPr>
              <w:t>Spectrophotometric protein/phenolic purity indicator</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proline</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Continuous</w:t>
            </w:r>
          </w:p>
        </w:tc>
        <w:tc>
          <w:tcPr>
            <w:tcW w:type="dxa" w:w="1872"/>
            <w:shd w:fill="FFFFFF"/>
            <w:tcMar>
              <w:top w:w="80" w:type="dxa"/>
              <w:bottom w:w="80" w:type="dxa"/>
              <w:left w:w="120" w:type="dxa"/>
              <w:right w:w="120" w:type="dxa"/>
            </w:tcMar>
          </w:tcPr>
          <w:p>
            <w:pPr>
              <w:spacing w:before="0" w:after="0" w:line="276" w:lineRule="auto"/>
            </w:pPr>
            <w:r>
              <w:rPr>
                <w:rFonts w:ascii="Arial" w:hAnsi="Arial"/>
                <w:color w:val="282828"/>
                <w:sz w:val="17"/>
              </w:rPr>
              <w:t>mg/L</w:t>
            </w:r>
          </w:p>
        </w:tc>
        <w:tc>
          <w:tcPr>
            <w:tcW w:type="dxa" w:w="3312"/>
            <w:shd w:fill="FFFFFF"/>
            <w:tcMar>
              <w:top w:w="80" w:type="dxa"/>
              <w:bottom w:w="80" w:type="dxa"/>
              <w:left w:w="120" w:type="dxa"/>
              <w:right w:w="120" w:type="dxa"/>
            </w:tcMar>
          </w:tcPr>
          <w:p>
            <w:pPr>
              <w:spacing w:before="0" w:after="0" w:line="276" w:lineRule="auto"/>
            </w:pPr>
            <w:r>
              <w:rPr>
                <w:rFonts w:ascii="Arial" w:hAnsi="Arial"/>
                <w:color w:val="282828"/>
                <w:sz w:val="17"/>
              </w:rPr>
              <w:t>Dominant amino acid synthesized by vine cultivar</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target</w:t>
            </w:r>
          </w:p>
        </w:tc>
        <w:tc>
          <w:tcPr>
            <w:tcW w:type="dxa" w:w="1584"/>
            <w:shd w:fill="F7F9FA"/>
            <w:tcMar>
              <w:top w:w="80" w:type="dxa"/>
              <w:bottom w:w="80" w:type="dxa"/>
              <w:left w:w="120" w:type="dxa"/>
              <w:right w:w="120" w:type="dxa"/>
            </w:tcMar>
          </w:tcPr>
          <w:p>
            <w:pPr>
              <w:spacing w:before="0" w:after="0" w:line="276" w:lineRule="auto"/>
            </w:pPr>
            <w:r>
              <w:rPr>
                <w:rFonts w:ascii="Arial" w:hAnsi="Arial"/>
                <w:color w:val="282828"/>
                <w:sz w:val="17"/>
              </w:rPr>
              <w:t>Categorical (int)</w:t>
            </w:r>
          </w:p>
        </w:tc>
        <w:tc>
          <w:tcPr>
            <w:tcW w:type="dxa" w:w="1872"/>
            <w:shd w:fill="F7F9FA"/>
            <w:tcMar>
              <w:top w:w="80" w:type="dxa"/>
              <w:bottom w:w="80" w:type="dxa"/>
              <w:left w:w="120" w:type="dxa"/>
              <w:right w:w="120" w:type="dxa"/>
            </w:tcMar>
          </w:tcPr>
          <w:p>
            <w:pPr>
              <w:spacing w:before="0" w:after="0" w:line="276" w:lineRule="auto"/>
            </w:pPr>
            <w:r>
              <w:rPr>
                <w:rFonts w:ascii="Arial" w:hAnsi="Arial"/>
                <w:color w:val="282828"/>
                <w:sz w:val="17"/>
              </w:rPr>
              <w:t>Classes: 0, 1, 2</w:t>
            </w:r>
          </w:p>
        </w:tc>
        <w:tc>
          <w:tcPr>
            <w:tcW w:type="dxa" w:w="3312"/>
            <w:shd w:fill="F7F9FA"/>
            <w:tcMar>
              <w:top w:w="80" w:type="dxa"/>
              <w:bottom w:w="80" w:type="dxa"/>
              <w:left w:w="120" w:type="dxa"/>
              <w:right w:w="120" w:type="dxa"/>
            </w:tcMar>
          </w:tcPr>
          <w:p>
            <w:pPr>
              <w:spacing w:before="0" w:after="0" w:line="276" w:lineRule="auto"/>
            </w:pPr>
            <w:r>
              <w:rPr>
                <w:rFonts w:ascii="Arial" w:hAnsi="Arial"/>
                <w:color w:val="282828"/>
                <w:sz w:val="17"/>
              </w:rPr>
              <w:t>Cultivar label: 0 (Barolo), 1 (Grignolino), 2 (Barbera)</w:t>
            </w:r>
          </w:p>
        </w:tc>
      </w:tr>
    </w:tbl>
    <w:p>
      <w:pPr>
        <w:spacing w:before="0" w:after="120" w:line="276" w:lineRule="auto"/>
      </w:pPr>
    </w:p>
    <w:p>
      <w:pPr>
        <w:spacing w:before="160" w:after="40" w:line="276" w:lineRule="auto"/>
      </w:pPr>
      <w:r>
        <w:rPr>
          <w:rFonts w:ascii="Arial" w:hAnsi="Arial"/>
          <w:b/>
          <w:color w:val="1B365D"/>
          <w:sz w:val="20"/>
        </w:rPr>
        <w:t>Table 2: Descriptive Statistics for the 13 Physicochemical Features (N = 178)</w:t>
      </w:r>
    </w:p>
    <w:tbl>
      <w:tblPr>
        <w:tblW w:type="auto" w:w="0"/>
        <w:jc w:val="center"/>
        <w:tblLayout w:type="fixed"/>
        <w:tblLook w:firstColumn="1" w:firstRow="1" w:lastColumn="0" w:lastRow="0" w:noHBand="0" w:noVBand="1" w:val="04A0"/>
        <w:tblBorders>
          <w:top w:val="single" w:sz="6" w:space="0" w:color="D3D3D3"/>
          <w:bottom w:val="single" w:sz="8" w:space="0" w:color="1B365D"/>
          <w:left w:val="none" w:sz="0" w:space="0" w:color="auto"/>
          <w:right w:val="none" w:sz="0" w:space="0" w:color="auto"/>
          <w:insideH w:val="single" w:sz="4" w:space="0" w:color="D3D3D3"/>
          <w:insideV w:val="none" w:sz="0" w:space="0" w:color="auto"/>
        </w:tblBorders>
      </w:tblPr>
      <w:tblGrid>
        <w:gridCol w:w="1170"/>
        <w:gridCol w:w="1170"/>
        <w:gridCol w:w="1170"/>
        <w:gridCol w:w="1170"/>
        <w:gridCol w:w="1170"/>
        <w:gridCol w:w="1170"/>
        <w:gridCol w:w="1170"/>
        <w:gridCol w:w="1170"/>
      </w:tblGrid>
      <w:tr>
        <w:tc>
          <w:tcPr>
            <w:tcW w:type="dxa" w:w="2592"/>
            <w:shd w:fill="1B365D"/>
            <w:tcMar>
              <w:top w:w="100" w:type="dxa"/>
              <w:bottom w:w="100" w:type="dxa"/>
              <w:left w:w="120" w:type="dxa"/>
              <w:right w:w="120" w:type="dxa"/>
            </w:tcMar>
          </w:tcPr>
          <w:p>
            <w:pPr>
              <w:spacing w:before="0" w:after="0" w:line="276" w:lineRule="auto"/>
            </w:pPr>
            <w:r>
              <w:rPr>
                <w:rFonts w:ascii="Arial" w:hAnsi="Arial"/>
                <w:b/>
                <w:color w:val="FFFFFF"/>
                <w:sz w:val="18"/>
              </w:rPr>
              <w:t>Feature</w:t>
            </w:r>
          </w:p>
        </w:tc>
        <w:tc>
          <w:tcPr>
            <w:tcW w:type="dxa" w:w="936"/>
            <w:shd w:fill="1B365D"/>
            <w:tcMar>
              <w:top w:w="100" w:type="dxa"/>
              <w:bottom w:w="100" w:type="dxa"/>
              <w:left w:w="120" w:type="dxa"/>
              <w:right w:w="120" w:type="dxa"/>
            </w:tcMar>
          </w:tcPr>
          <w:p>
            <w:pPr>
              <w:spacing w:before="0" w:after="0" w:line="276" w:lineRule="auto"/>
            </w:pPr>
            <w:r>
              <w:rPr>
                <w:rFonts w:ascii="Arial" w:hAnsi="Arial"/>
                <w:b/>
                <w:color w:val="FFFFFF"/>
                <w:sz w:val="18"/>
              </w:rPr>
              <w:t>Mean</w:t>
            </w:r>
          </w:p>
        </w:tc>
        <w:tc>
          <w:tcPr>
            <w:tcW w:type="dxa" w:w="936"/>
            <w:shd w:fill="1B365D"/>
            <w:tcMar>
              <w:top w:w="100" w:type="dxa"/>
              <w:bottom w:w="100" w:type="dxa"/>
              <w:left w:w="120" w:type="dxa"/>
              <w:right w:w="120" w:type="dxa"/>
            </w:tcMar>
          </w:tcPr>
          <w:p>
            <w:pPr>
              <w:spacing w:before="0" w:after="0" w:line="276" w:lineRule="auto"/>
            </w:pPr>
            <w:r>
              <w:rPr>
                <w:rFonts w:ascii="Arial" w:hAnsi="Arial"/>
                <w:b/>
                <w:color w:val="FFFFFF"/>
                <w:sz w:val="18"/>
              </w:rPr>
              <w:t>Std</w:t>
            </w:r>
          </w:p>
        </w:tc>
        <w:tc>
          <w:tcPr>
            <w:tcW w:type="dxa" w:w="936"/>
            <w:shd w:fill="1B365D"/>
            <w:tcMar>
              <w:top w:w="100" w:type="dxa"/>
              <w:bottom w:w="100" w:type="dxa"/>
              <w:left w:w="120" w:type="dxa"/>
              <w:right w:w="120" w:type="dxa"/>
            </w:tcMar>
          </w:tcPr>
          <w:p>
            <w:pPr>
              <w:spacing w:before="0" w:after="0" w:line="276" w:lineRule="auto"/>
            </w:pPr>
            <w:r>
              <w:rPr>
                <w:rFonts w:ascii="Arial" w:hAnsi="Arial"/>
                <w:b/>
                <w:color w:val="FFFFFF"/>
                <w:sz w:val="18"/>
              </w:rPr>
              <w:t>Min</w:t>
            </w:r>
          </w:p>
        </w:tc>
        <w:tc>
          <w:tcPr>
            <w:tcW w:type="dxa" w:w="936"/>
            <w:shd w:fill="1B365D"/>
            <w:tcMar>
              <w:top w:w="100" w:type="dxa"/>
              <w:bottom w:w="100" w:type="dxa"/>
              <w:left w:w="120" w:type="dxa"/>
              <w:right w:w="120" w:type="dxa"/>
            </w:tcMar>
          </w:tcPr>
          <w:p>
            <w:pPr>
              <w:spacing w:before="0" w:after="0" w:line="276" w:lineRule="auto"/>
            </w:pPr>
            <w:r>
              <w:rPr>
                <w:rFonts w:ascii="Arial" w:hAnsi="Arial"/>
                <w:b/>
                <w:color w:val="FFFFFF"/>
                <w:sz w:val="18"/>
              </w:rPr>
              <w:t>25%</w:t>
            </w:r>
          </w:p>
        </w:tc>
        <w:tc>
          <w:tcPr>
            <w:tcW w:type="dxa" w:w="936"/>
            <w:shd w:fill="1B365D"/>
            <w:tcMar>
              <w:top w:w="100" w:type="dxa"/>
              <w:bottom w:w="100" w:type="dxa"/>
              <w:left w:w="120" w:type="dxa"/>
              <w:right w:w="120" w:type="dxa"/>
            </w:tcMar>
          </w:tcPr>
          <w:p>
            <w:pPr>
              <w:spacing w:before="0" w:after="0" w:line="276" w:lineRule="auto"/>
            </w:pPr>
            <w:r>
              <w:rPr>
                <w:rFonts w:ascii="Arial" w:hAnsi="Arial"/>
                <w:b/>
                <w:color w:val="FFFFFF"/>
                <w:sz w:val="18"/>
              </w:rPr>
              <w:t>Median</w:t>
            </w:r>
          </w:p>
        </w:tc>
        <w:tc>
          <w:tcPr>
            <w:tcW w:type="dxa" w:w="936"/>
            <w:shd w:fill="1B365D"/>
            <w:tcMar>
              <w:top w:w="100" w:type="dxa"/>
              <w:bottom w:w="100" w:type="dxa"/>
              <w:left w:w="120" w:type="dxa"/>
              <w:right w:w="120" w:type="dxa"/>
            </w:tcMar>
          </w:tcPr>
          <w:p>
            <w:pPr>
              <w:spacing w:before="0" w:after="0" w:line="276" w:lineRule="auto"/>
            </w:pPr>
            <w:r>
              <w:rPr>
                <w:rFonts w:ascii="Arial" w:hAnsi="Arial"/>
                <w:b/>
                <w:color w:val="FFFFFF"/>
                <w:sz w:val="18"/>
              </w:rPr>
              <w:t>75%</w:t>
            </w:r>
          </w:p>
        </w:tc>
        <w:tc>
          <w:tcPr>
            <w:tcW w:type="dxa" w:w="1152"/>
            <w:shd w:fill="1B365D"/>
            <w:tcMar>
              <w:top w:w="100" w:type="dxa"/>
              <w:bottom w:w="100" w:type="dxa"/>
              <w:left w:w="120" w:type="dxa"/>
              <w:right w:w="120" w:type="dxa"/>
            </w:tcMar>
          </w:tcPr>
          <w:p>
            <w:pPr>
              <w:spacing w:before="0" w:after="0" w:line="276" w:lineRule="auto"/>
            </w:pPr>
            <w:r>
              <w:rPr>
                <w:rFonts w:ascii="Arial" w:hAnsi="Arial"/>
                <w:b/>
                <w:color w:val="FFFFFF"/>
                <w:sz w:val="18"/>
              </w:rPr>
              <w:t>Max</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alcohol</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13.00</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0.81</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11.03</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12.36</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13.05</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13.68</w:t>
            </w:r>
          </w:p>
        </w:tc>
        <w:tc>
          <w:tcPr>
            <w:tcW w:type="dxa" w:w="1152"/>
            <w:shd w:fill="FFFFFF"/>
            <w:tcMar>
              <w:top w:w="80" w:type="dxa"/>
              <w:bottom w:w="80" w:type="dxa"/>
              <w:left w:w="120" w:type="dxa"/>
              <w:right w:w="120" w:type="dxa"/>
            </w:tcMar>
          </w:tcPr>
          <w:p>
            <w:pPr>
              <w:spacing w:before="0" w:after="0" w:line="276" w:lineRule="auto"/>
            </w:pPr>
            <w:r>
              <w:rPr>
                <w:rFonts w:ascii="Arial" w:hAnsi="Arial"/>
                <w:color w:val="282828"/>
                <w:sz w:val="17"/>
              </w:rPr>
              <w:t>14.83</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malic_acid</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2.34</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1.12</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0.74</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1.60</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1.87</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3.08</w:t>
            </w:r>
          </w:p>
        </w:tc>
        <w:tc>
          <w:tcPr>
            <w:tcW w:type="dxa" w:w="1152"/>
            <w:shd w:fill="F7F9FA"/>
            <w:tcMar>
              <w:top w:w="80" w:type="dxa"/>
              <w:bottom w:w="80" w:type="dxa"/>
              <w:left w:w="120" w:type="dxa"/>
              <w:right w:w="120" w:type="dxa"/>
            </w:tcMar>
          </w:tcPr>
          <w:p>
            <w:pPr>
              <w:spacing w:before="0" w:after="0" w:line="276" w:lineRule="auto"/>
            </w:pPr>
            <w:r>
              <w:rPr>
                <w:rFonts w:ascii="Arial" w:hAnsi="Arial"/>
                <w:color w:val="282828"/>
                <w:sz w:val="17"/>
              </w:rPr>
              <w:t>5.80</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ash</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2.37</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0.27</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1.36</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2.21</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2.36</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2.56</w:t>
            </w:r>
          </w:p>
        </w:tc>
        <w:tc>
          <w:tcPr>
            <w:tcW w:type="dxa" w:w="1152"/>
            <w:shd w:fill="FFFFFF"/>
            <w:tcMar>
              <w:top w:w="80" w:type="dxa"/>
              <w:bottom w:w="80" w:type="dxa"/>
              <w:left w:w="120" w:type="dxa"/>
              <w:right w:w="120" w:type="dxa"/>
            </w:tcMar>
          </w:tcPr>
          <w:p>
            <w:pPr>
              <w:spacing w:before="0" w:after="0" w:line="276" w:lineRule="auto"/>
            </w:pPr>
            <w:r>
              <w:rPr>
                <w:rFonts w:ascii="Arial" w:hAnsi="Arial"/>
                <w:color w:val="282828"/>
                <w:sz w:val="17"/>
              </w:rPr>
              <w:t>3.23</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alcalinity_of_ash</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19.49</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3.34</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10.60</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17.20</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19.50</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21.50</w:t>
            </w:r>
          </w:p>
        </w:tc>
        <w:tc>
          <w:tcPr>
            <w:tcW w:type="dxa" w:w="1152"/>
            <w:shd w:fill="F7F9FA"/>
            <w:tcMar>
              <w:top w:w="80" w:type="dxa"/>
              <w:bottom w:w="80" w:type="dxa"/>
              <w:left w:w="120" w:type="dxa"/>
              <w:right w:w="120" w:type="dxa"/>
            </w:tcMar>
          </w:tcPr>
          <w:p>
            <w:pPr>
              <w:spacing w:before="0" w:after="0" w:line="276" w:lineRule="auto"/>
            </w:pPr>
            <w:r>
              <w:rPr>
                <w:rFonts w:ascii="Arial" w:hAnsi="Arial"/>
                <w:color w:val="282828"/>
                <w:sz w:val="17"/>
              </w:rPr>
              <w:t>30.00</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magnesium</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99.74</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14.28</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70.00</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88.00</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98.00</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107.00</w:t>
            </w:r>
          </w:p>
        </w:tc>
        <w:tc>
          <w:tcPr>
            <w:tcW w:type="dxa" w:w="1152"/>
            <w:shd w:fill="FFFFFF"/>
            <w:tcMar>
              <w:top w:w="80" w:type="dxa"/>
              <w:bottom w:w="80" w:type="dxa"/>
              <w:left w:w="120" w:type="dxa"/>
              <w:right w:w="120" w:type="dxa"/>
            </w:tcMar>
          </w:tcPr>
          <w:p>
            <w:pPr>
              <w:spacing w:before="0" w:after="0" w:line="276" w:lineRule="auto"/>
            </w:pPr>
            <w:r>
              <w:rPr>
                <w:rFonts w:ascii="Arial" w:hAnsi="Arial"/>
                <w:color w:val="282828"/>
                <w:sz w:val="17"/>
              </w:rPr>
              <w:t>162.00</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total_phenols</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2.30</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0.63</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0.98</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1.74</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2.35</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2.80</w:t>
            </w:r>
          </w:p>
        </w:tc>
        <w:tc>
          <w:tcPr>
            <w:tcW w:type="dxa" w:w="1152"/>
            <w:shd w:fill="F7F9FA"/>
            <w:tcMar>
              <w:top w:w="80" w:type="dxa"/>
              <w:bottom w:w="80" w:type="dxa"/>
              <w:left w:w="120" w:type="dxa"/>
              <w:right w:w="120" w:type="dxa"/>
            </w:tcMar>
          </w:tcPr>
          <w:p>
            <w:pPr>
              <w:spacing w:before="0" w:after="0" w:line="276" w:lineRule="auto"/>
            </w:pPr>
            <w:r>
              <w:rPr>
                <w:rFonts w:ascii="Arial" w:hAnsi="Arial"/>
                <w:color w:val="282828"/>
                <w:sz w:val="17"/>
              </w:rPr>
              <w:t>3.88</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flavanoids</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2.03</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1.00</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0.34</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1.21</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2.13</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2.88</w:t>
            </w:r>
          </w:p>
        </w:tc>
        <w:tc>
          <w:tcPr>
            <w:tcW w:type="dxa" w:w="1152"/>
            <w:shd w:fill="FFFFFF"/>
            <w:tcMar>
              <w:top w:w="80" w:type="dxa"/>
              <w:bottom w:w="80" w:type="dxa"/>
              <w:left w:w="120" w:type="dxa"/>
              <w:right w:w="120" w:type="dxa"/>
            </w:tcMar>
          </w:tcPr>
          <w:p>
            <w:pPr>
              <w:spacing w:before="0" w:after="0" w:line="276" w:lineRule="auto"/>
            </w:pPr>
            <w:r>
              <w:rPr>
                <w:rFonts w:ascii="Arial" w:hAnsi="Arial"/>
                <w:color w:val="282828"/>
                <w:sz w:val="17"/>
              </w:rPr>
              <w:t>5.08</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nonflavanoid_phenols</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0.36</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0.12</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0.13</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0.27</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0.34</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0.44</w:t>
            </w:r>
          </w:p>
        </w:tc>
        <w:tc>
          <w:tcPr>
            <w:tcW w:type="dxa" w:w="1152"/>
            <w:shd w:fill="F7F9FA"/>
            <w:tcMar>
              <w:top w:w="80" w:type="dxa"/>
              <w:bottom w:w="80" w:type="dxa"/>
              <w:left w:w="120" w:type="dxa"/>
              <w:right w:w="120" w:type="dxa"/>
            </w:tcMar>
          </w:tcPr>
          <w:p>
            <w:pPr>
              <w:spacing w:before="0" w:after="0" w:line="276" w:lineRule="auto"/>
            </w:pPr>
            <w:r>
              <w:rPr>
                <w:rFonts w:ascii="Arial" w:hAnsi="Arial"/>
                <w:color w:val="282828"/>
                <w:sz w:val="17"/>
              </w:rPr>
              <w:t>0.66</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proanthocyanins</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1.59</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0.57</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0.41</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1.25</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1.56</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1.95</w:t>
            </w:r>
          </w:p>
        </w:tc>
        <w:tc>
          <w:tcPr>
            <w:tcW w:type="dxa" w:w="1152"/>
            <w:shd w:fill="FFFFFF"/>
            <w:tcMar>
              <w:top w:w="80" w:type="dxa"/>
              <w:bottom w:w="80" w:type="dxa"/>
              <w:left w:w="120" w:type="dxa"/>
              <w:right w:w="120" w:type="dxa"/>
            </w:tcMar>
          </w:tcPr>
          <w:p>
            <w:pPr>
              <w:spacing w:before="0" w:after="0" w:line="276" w:lineRule="auto"/>
            </w:pPr>
            <w:r>
              <w:rPr>
                <w:rFonts w:ascii="Arial" w:hAnsi="Arial"/>
                <w:color w:val="282828"/>
                <w:sz w:val="17"/>
              </w:rPr>
              <w:t>3.58</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color_intensity</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5.06</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2.32</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1.28</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3.22</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4.69</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6.20</w:t>
            </w:r>
          </w:p>
        </w:tc>
        <w:tc>
          <w:tcPr>
            <w:tcW w:type="dxa" w:w="1152"/>
            <w:shd w:fill="F7F9FA"/>
            <w:tcMar>
              <w:top w:w="80" w:type="dxa"/>
              <w:bottom w:w="80" w:type="dxa"/>
              <w:left w:w="120" w:type="dxa"/>
              <w:right w:w="120" w:type="dxa"/>
            </w:tcMar>
          </w:tcPr>
          <w:p>
            <w:pPr>
              <w:spacing w:before="0" w:after="0" w:line="276" w:lineRule="auto"/>
            </w:pPr>
            <w:r>
              <w:rPr>
                <w:rFonts w:ascii="Arial" w:hAnsi="Arial"/>
                <w:color w:val="282828"/>
                <w:sz w:val="17"/>
              </w:rPr>
              <w:t>13.00</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hue</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0.96</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0.23</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0.48</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0.78</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0.96</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1.12</w:t>
            </w:r>
          </w:p>
        </w:tc>
        <w:tc>
          <w:tcPr>
            <w:tcW w:type="dxa" w:w="1152"/>
            <w:shd w:fill="FFFFFF"/>
            <w:tcMar>
              <w:top w:w="80" w:type="dxa"/>
              <w:bottom w:w="80" w:type="dxa"/>
              <w:left w:w="120" w:type="dxa"/>
              <w:right w:w="120" w:type="dxa"/>
            </w:tcMar>
          </w:tcPr>
          <w:p>
            <w:pPr>
              <w:spacing w:before="0" w:after="0" w:line="276" w:lineRule="auto"/>
            </w:pPr>
            <w:r>
              <w:rPr>
                <w:rFonts w:ascii="Arial" w:hAnsi="Arial"/>
                <w:color w:val="282828"/>
                <w:sz w:val="17"/>
              </w:rPr>
              <w:t>1.71</w:t>
            </w:r>
          </w:p>
        </w:tc>
      </w:tr>
      <w:tr>
        <w:tc>
          <w:tcPr>
            <w:tcW w:type="dxa" w:w="2592"/>
            <w:shd w:fill="F7F9FA"/>
            <w:tcMar>
              <w:top w:w="80" w:type="dxa"/>
              <w:bottom w:w="80" w:type="dxa"/>
              <w:left w:w="120" w:type="dxa"/>
              <w:right w:w="120" w:type="dxa"/>
            </w:tcMar>
          </w:tcPr>
          <w:p>
            <w:pPr>
              <w:spacing w:before="0" w:after="0" w:line="276" w:lineRule="auto"/>
            </w:pPr>
            <w:r>
              <w:rPr>
                <w:rFonts w:ascii="Arial" w:hAnsi="Arial"/>
                <w:color w:val="282828"/>
                <w:sz w:val="17"/>
              </w:rPr>
              <w:t>od280/od315_of_diluted_wines</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2.61</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0.71</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1.27</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1.94</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2.78</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3.17</w:t>
            </w:r>
          </w:p>
        </w:tc>
        <w:tc>
          <w:tcPr>
            <w:tcW w:type="dxa" w:w="1152"/>
            <w:shd w:fill="F7F9FA"/>
            <w:tcMar>
              <w:top w:w="80" w:type="dxa"/>
              <w:bottom w:w="80" w:type="dxa"/>
              <w:left w:w="120" w:type="dxa"/>
              <w:right w:w="120" w:type="dxa"/>
            </w:tcMar>
          </w:tcPr>
          <w:p>
            <w:pPr>
              <w:spacing w:before="0" w:after="0" w:line="276" w:lineRule="auto"/>
            </w:pPr>
            <w:r>
              <w:rPr>
                <w:rFonts w:ascii="Arial" w:hAnsi="Arial"/>
                <w:color w:val="282828"/>
                <w:sz w:val="17"/>
              </w:rPr>
              <w:t>4.00</w:t>
            </w:r>
          </w:p>
        </w:tc>
      </w:tr>
      <w:tr>
        <w:tc>
          <w:tcPr>
            <w:tcW w:type="dxa" w:w="2592"/>
            <w:shd w:fill="FFFFFF"/>
            <w:tcMar>
              <w:top w:w="80" w:type="dxa"/>
              <w:bottom w:w="80" w:type="dxa"/>
              <w:left w:w="120" w:type="dxa"/>
              <w:right w:w="120" w:type="dxa"/>
            </w:tcMar>
          </w:tcPr>
          <w:p>
            <w:pPr>
              <w:spacing w:before="0" w:after="0" w:line="276" w:lineRule="auto"/>
            </w:pPr>
            <w:r>
              <w:rPr>
                <w:rFonts w:ascii="Arial" w:hAnsi="Arial"/>
                <w:color w:val="282828"/>
                <w:sz w:val="17"/>
              </w:rPr>
              <w:t>proline</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746.89</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314.91</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278.00</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500.50</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673.50</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985.00</w:t>
            </w:r>
          </w:p>
        </w:tc>
        <w:tc>
          <w:tcPr>
            <w:tcW w:type="dxa" w:w="1152"/>
            <w:shd w:fill="FFFFFF"/>
            <w:tcMar>
              <w:top w:w="80" w:type="dxa"/>
              <w:bottom w:w="80" w:type="dxa"/>
              <w:left w:w="120" w:type="dxa"/>
              <w:right w:w="120" w:type="dxa"/>
            </w:tcMar>
          </w:tcPr>
          <w:p>
            <w:pPr>
              <w:spacing w:before="0" w:after="0" w:line="276" w:lineRule="auto"/>
            </w:pPr>
            <w:r>
              <w:rPr>
                <w:rFonts w:ascii="Arial" w:hAnsi="Arial"/>
                <w:color w:val="282828"/>
                <w:sz w:val="17"/>
              </w:rPr>
              <w:t>1680.00</w:t>
            </w:r>
          </w:p>
        </w:tc>
      </w:tr>
    </w:tbl>
    <w:p>
      <w:pPr>
        <w:spacing w:before="0" w:after="120" w:line="276" w:lineRule="auto"/>
      </w:pPr>
    </w:p>
    <w:p>
      <w:pPr>
        <w:spacing w:before="280" w:after="80" w:line="276" w:lineRule="auto"/>
        <w:pBdr>
          <w:bottom w:val="single" w:sz="12" w:space="4" w:color="1B365D"/>
        </w:pBdr>
      </w:pPr>
      <w:r>
        <w:rPr>
          <w:rFonts w:ascii="Arial" w:hAnsi="Arial"/>
          <w:b/>
          <w:color w:val="1B365D"/>
          <w:sz w:val="28"/>
        </w:rPr>
        <w:t>4. Data Preparation</w:t>
      </w:r>
    </w:p>
    <w:p>
      <w:pPr>
        <w:spacing w:before="0" w:after="120" w:line="276" w:lineRule="auto"/>
      </w:pPr>
      <w:r>
        <w:t>A structured preprocessing protocol was executed to maintain experimental integrity and eliminate data leakage:</w:t>
        <w:br/>
        <w:br/>
        <w:t>1. Data Quality Inspection: The raw dataset was inspected for structural anomalies. Exactly 0 missing values and 0 duplicate rows were identified across all 178 records. All 13 predictor columns are floating-point continuous values.</w:t>
        <w:br/>
        <w:br/>
        <w:t>2. Train/Test Stratification: The dataset was partitioned into a training set (80%, N = 142) and a held-out test set (20%, N = 36) using stratified sampling with a fixed seed (random_state = 42). Stratification guarantees that the class proportions (Class 0: ~33.1%, Class 1: ~39.9%, Class 2: ~27.0%) are preserved in both training (47, 57, 38 samples) and test (12, 14, 10 samples) splits.</w:t>
        <w:br/>
        <w:br/>
        <w:t>3. Feature Scaling &amp; Leakage Prevention: Features exhibit disparate numerical ranges (e.g., nonflavanoid phenols range from 0.13 to 0.66 g/L, whereas proline ranges from 278 to 1680 mg/L). Without scaling, linear models would place disproportionate weight on higher-magnitude features. Standard z-score normalization (StandardScaler) was utilized. To prevent data leakage, the scaler was encapsulated within a scikit-learn Pipeline, ensuring scaling parameters were fitted solely on training data and applied downstream to test samples without prior exposure.</w:t>
      </w:r>
    </w:p>
    <w:p>
      <w:pPr>
        <w:spacing w:before="280" w:after="80" w:line="276" w:lineRule="auto"/>
        <w:pBdr>
          <w:bottom w:val="single" w:sz="12" w:space="4" w:color="1B365D"/>
        </w:pBdr>
      </w:pPr>
      <w:r>
        <w:rPr>
          <w:rFonts w:ascii="Arial" w:hAnsi="Arial"/>
          <w:b/>
          <w:color w:val="1B365D"/>
          <w:sz w:val="28"/>
        </w:rPr>
        <w:t>5. Model Selection</w:t>
      </w:r>
    </w:p>
    <w:p>
      <w:pPr>
        <w:spacing w:before="0" w:after="120" w:line="276" w:lineRule="auto"/>
      </w:pPr>
      <w:r>
        <w:t>Three classification algorithms representing different modeling paradigms were selected for benchmarking:</w:t>
        <w:br/>
        <w:br/>
        <w:t>1. Logistic Regression (Primary Baseline): A multinomial linear classifier utilizing the softmax link function and L2 weight penalty. Logistic Regression models the log-odds of each class as a linear combination of standardized features. It serves as the primary baseline to test whether linear decision boundaries in standardized space are sufficient to separate the three cultivars.</w:t>
        <w:br/>
        <w:br/>
        <w:t>2. Random Forest Classifier (Non-linear Ensemble): A bagging ensemble composed of 100 de-correlated classification trees with bootstrap aggregation and randomized feature subsets at each split (max_depth = 4). Random Forest provides non-linear decision surfaces, resistance to individual tree variance, invariance to monotonic feature scaling, and feature importance estimation via Mean Decrease in Impurity (MDI).</w:t>
        <w:br/>
        <w:br/>
        <w:t>3. Decision Tree Classifier (Single Non-linear Tree): A single recursive binary partitioning CART model (max_depth = 3, Gini impurity criterion). It provides intuitive rule-based interpretability but can be sensitive to sample variance and rigid orthogonal decision boundaries.</w:t>
      </w:r>
    </w:p>
    <w:p>
      <w:pPr>
        <w:spacing w:before="280" w:after="80" w:line="276" w:lineRule="auto"/>
        <w:pBdr>
          <w:bottom w:val="single" w:sz="12" w:space="4" w:color="1B365D"/>
        </w:pBdr>
      </w:pPr>
      <w:r>
        <w:rPr>
          <w:rFonts w:ascii="Arial" w:hAnsi="Arial"/>
          <w:b/>
          <w:color w:val="1B365D"/>
          <w:sz w:val="28"/>
        </w:rPr>
        <w:t>6. Model Training</w:t>
      </w:r>
    </w:p>
    <w:p>
      <w:pPr>
        <w:spacing w:before="0" w:after="120" w:line="276" w:lineRule="auto"/>
      </w:pPr>
      <w:r>
        <w:t>Model training was executed deterministically on the 142-sample training split. For Logistic Regression, optimization was performed using the L-BFGS solver with a maximum iteration limit of 1000 and default inverse regularization parameter C = 1.0. For Random Forest, an ensemble of 100 estimators was initialized with max_depth = 4 to balance expressive capacity and variance control. For Decision Tree, max_depth = 3 was used to avoid over-splitting small leaves. All models used random_state = 42 for exact execution reproducibility.</w:t>
      </w:r>
    </w:p>
    <w:p>
      <w:pPr>
        <w:spacing w:before="280" w:after="80" w:line="276" w:lineRule="auto"/>
        <w:pBdr>
          <w:bottom w:val="single" w:sz="12" w:space="4" w:color="1B365D"/>
        </w:pBdr>
      </w:pPr>
      <w:r>
        <w:rPr>
          <w:rFonts w:ascii="Arial" w:hAnsi="Arial"/>
          <w:b/>
          <w:color w:val="1B365D"/>
          <w:sz w:val="28"/>
        </w:rPr>
        <w:t>7. Evaluation Methodology</w:t>
      </w:r>
    </w:p>
    <w:p>
      <w:pPr>
        <w:spacing w:before="0" w:after="120" w:line="276" w:lineRule="auto"/>
      </w:pPr>
      <w:r>
        <w:t>To evaluate model performance across multiple classes, the following metrics and diagnostic tools were computed:</w:t>
        <w:br/>
        <w:br/>
        <w:t>• Accuracy: The global ratio of correctly classified test samples to total test instances.</w:t>
        <w:br/>
        <w:t>• Macro-Averaged Precision: The unweighted arithmetic mean of precision across all three classes, giving equal weight to each cultivar.</w:t>
        <w:br/>
        <w:t>• Macro-Averaged Recall: The unweighted mean of class sensitivity (True Positive Rate), assessing detection capability across classes.</w:t>
        <w:br/>
        <w:t>• Macro-Averaged F1-Score: The harmonic mean of macro precision and macro recall, representing balanced multi-class performance.</w:t>
        <w:br/>
        <w:t>• Weighted F1-Score: Support-weighted harmonic mean accounting for slight class sample count differences.</w:t>
        <w:br/>
        <w:t>• Confusion Matrix: A 3x3 contingency matrix cross-tabulating actual versus predicted class memberships to reveal specific off-diagonal error patterns.</w:t>
        <w:br/>
        <w:t>• Multiclass One-vs-Rest (OvR) ROC &amp; AUC: Binarizing the 3-class target into three distinct binary classification problems (Class k vs. Rest), computing the False Positive Rate versus True Positive Rate across probability thresholds, and reporting per-class and macro-average Area Under the ROC Curve.</w:t>
        <w:br/>
        <w:t>• Generalization Gap Analysis: Quantifying Delta = (Train Metric - Test Metric) to evaluate training versus test performance.</w:t>
      </w:r>
    </w:p>
    <w:p>
      <w:pPr>
        <w:spacing w:before="280" w:after="80" w:line="276" w:lineRule="auto"/>
        <w:pBdr>
          <w:bottom w:val="single" w:sz="12" w:space="4" w:color="1B365D"/>
        </w:pBdr>
      </w:pPr>
      <w:r>
        <w:rPr>
          <w:rFonts w:ascii="Arial" w:hAnsi="Arial"/>
          <w:b/>
          <w:color w:val="1B365D"/>
          <w:sz w:val="28"/>
        </w:rPr>
        <w:t>8. Results</w:t>
      </w:r>
    </w:p>
    <w:p>
      <w:pPr>
        <w:spacing w:before="0" w:after="120" w:line="276" w:lineRule="auto"/>
      </w:pPr>
      <w:r>
        <w:t>The empirical performance of all three trained pipelines on the training set (N = 142) and held-out test set (N = 36) is summarized in Table 3. Detailed per-class precision, recall, and F1 metrics are provided in Table 4.</w:t>
        <w:br/>
        <w:br/>
        <w:t>For Logistic Regression, the test accuracy was 97.22% (Macro F1 = 0.9710) and the Macro ROC-AUC was 1.0000. The perfect ROC-AUC indicates that the model ranked the true-class probabilities correctly across classification thresholds, while the single classification error at the default decision threshold resulted in 97.22% accuracy. This demonstrates that ROC-AUC evaluates threshold-independent ranking discrimination, whereas classification accuracy measures discrete decisions at a fixed probability threshold.</w:t>
      </w:r>
    </w:p>
    <w:p>
      <w:pPr>
        <w:spacing w:before="120" w:after="40" w:line="276" w:lineRule="auto"/>
      </w:pPr>
      <w:r>
        <w:rPr>
          <w:rFonts w:ascii="Arial" w:hAnsi="Arial"/>
          <w:b/>
          <w:color w:val="1B365D"/>
          <w:sz w:val="20"/>
        </w:rPr>
        <w:t>Table 3: Comprehensive Model Performance Comparison (Train vs. Test Set)</w:t>
      </w:r>
    </w:p>
    <w:tbl>
      <w:tblPr>
        <w:tblW w:type="auto" w:w="0"/>
        <w:jc w:val="center"/>
        <w:tblLayout w:type="fixed"/>
        <w:tblLook w:firstColumn="1" w:firstRow="1" w:lastColumn="0" w:lastRow="0" w:noHBand="0" w:noVBand="1" w:val="04A0"/>
        <w:tblBorders>
          <w:top w:val="single" w:sz="6" w:space="0" w:color="D3D3D3"/>
          <w:bottom w:val="single" w:sz="8" w:space="0" w:color="1B365D"/>
          <w:left w:val="none" w:sz="0" w:space="0" w:color="auto"/>
          <w:right w:val="none" w:sz="0" w:space="0" w:color="auto"/>
          <w:insideH w:val="single" w:sz="4" w:space="0" w:color="D3D3D3"/>
          <w:insideV w:val="none" w:sz="0" w:space="0" w:color="auto"/>
        </w:tblBorders>
      </w:tblPr>
      <w:tblGrid>
        <w:gridCol w:w="1040"/>
        <w:gridCol w:w="1040"/>
        <w:gridCol w:w="1040"/>
        <w:gridCol w:w="1040"/>
        <w:gridCol w:w="1040"/>
        <w:gridCol w:w="1040"/>
        <w:gridCol w:w="1040"/>
        <w:gridCol w:w="1040"/>
        <w:gridCol w:w="1040"/>
      </w:tblGrid>
      <w:tr>
        <w:tc>
          <w:tcPr>
            <w:tcW w:type="dxa" w:w="2160"/>
            <w:shd w:fill="1B365D"/>
            <w:tcMar>
              <w:top w:w="100" w:type="dxa"/>
              <w:bottom w:w="100" w:type="dxa"/>
              <w:left w:w="120" w:type="dxa"/>
              <w:right w:w="120" w:type="dxa"/>
            </w:tcMar>
          </w:tcPr>
          <w:p>
            <w:pPr>
              <w:spacing w:before="0" w:after="0" w:line="276" w:lineRule="auto"/>
            </w:pPr>
            <w:r>
              <w:rPr>
                <w:rFonts w:ascii="Arial" w:hAnsi="Arial"/>
                <w:b/>
                <w:color w:val="FFFFFF"/>
                <w:sz w:val="18"/>
              </w:rPr>
              <w:t>Model Name</w:t>
            </w:r>
          </w:p>
        </w:tc>
        <w:tc>
          <w:tcPr>
            <w:tcW w:type="dxa" w:w="864"/>
            <w:shd w:fill="1B365D"/>
            <w:tcMar>
              <w:top w:w="100" w:type="dxa"/>
              <w:bottom w:w="100" w:type="dxa"/>
              <w:left w:w="120" w:type="dxa"/>
              <w:right w:w="120" w:type="dxa"/>
            </w:tcMar>
          </w:tcPr>
          <w:p>
            <w:pPr>
              <w:spacing w:before="0" w:after="0" w:line="276" w:lineRule="auto"/>
            </w:pPr>
            <w:r>
              <w:rPr>
                <w:rFonts w:ascii="Arial" w:hAnsi="Arial"/>
                <w:b/>
                <w:color w:val="FFFFFF"/>
                <w:sz w:val="18"/>
              </w:rPr>
              <w:t>Train Acc</w:t>
            </w:r>
          </w:p>
        </w:tc>
        <w:tc>
          <w:tcPr>
            <w:tcW w:type="dxa" w:w="864"/>
            <w:shd w:fill="1B365D"/>
            <w:tcMar>
              <w:top w:w="100" w:type="dxa"/>
              <w:bottom w:w="100" w:type="dxa"/>
              <w:left w:w="120" w:type="dxa"/>
              <w:right w:w="120" w:type="dxa"/>
            </w:tcMar>
          </w:tcPr>
          <w:p>
            <w:pPr>
              <w:spacing w:before="0" w:after="0" w:line="276" w:lineRule="auto"/>
            </w:pPr>
            <w:r>
              <w:rPr>
                <w:rFonts w:ascii="Arial" w:hAnsi="Arial"/>
                <w:b/>
                <w:color w:val="FFFFFF"/>
                <w:sz w:val="18"/>
              </w:rPr>
              <w:t>Test Acc</w:t>
            </w:r>
          </w:p>
        </w:tc>
        <w:tc>
          <w:tcPr>
            <w:tcW w:type="dxa" w:w="936"/>
            <w:shd w:fill="1B365D"/>
            <w:tcMar>
              <w:top w:w="100" w:type="dxa"/>
              <w:bottom w:w="100" w:type="dxa"/>
              <w:left w:w="120" w:type="dxa"/>
              <w:right w:w="120" w:type="dxa"/>
            </w:tcMar>
          </w:tcPr>
          <w:p>
            <w:pPr>
              <w:spacing w:before="0" w:after="0" w:line="276" w:lineRule="auto"/>
            </w:pPr>
            <w:r>
              <w:rPr>
                <w:rFonts w:ascii="Arial" w:hAnsi="Arial"/>
                <w:b/>
                <w:color w:val="FFFFFF"/>
                <w:sz w:val="18"/>
              </w:rPr>
              <w:t>Macro Prec</w:t>
            </w:r>
          </w:p>
        </w:tc>
        <w:tc>
          <w:tcPr>
            <w:tcW w:type="dxa" w:w="936"/>
            <w:shd w:fill="1B365D"/>
            <w:tcMar>
              <w:top w:w="100" w:type="dxa"/>
              <w:bottom w:w="100" w:type="dxa"/>
              <w:left w:w="120" w:type="dxa"/>
              <w:right w:w="120" w:type="dxa"/>
            </w:tcMar>
          </w:tcPr>
          <w:p>
            <w:pPr>
              <w:spacing w:before="0" w:after="0" w:line="276" w:lineRule="auto"/>
            </w:pPr>
            <w:r>
              <w:rPr>
                <w:rFonts w:ascii="Arial" w:hAnsi="Arial"/>
                <w:b/>
                <w:color w:val="FFFFFF"/>
                <w:sz w:val="18"/>
              </w:rPr>
              <w:t>Macro Rec</w:t>
            </w:r>
          </w:p>
        </w:tc>
        <w:tc>
          <w:tcPr>
            <w:tcW w:type="dxa" w:w="936"/>
            <w:shd w:fill="1B365D"/>
            <w:tcMar>
              <w:top w:w="100" w:type="dxa"/>
              <w:bottom w:w="100" w:type="dxa"/>
              <w:left w:w="120" w:type="dxa"/>
              <w:right w:w="120" w:type="dxa"/>
            </w:tcMar>
          </w:tcPr>
          <w:p>
            <w:pPr>
              <w:spacing w:before="0" w:after="0" w:line="276" w:lineRule="auto"/>
            </w:pPr>
            <w:r>
              <w:rPr>
                <w:rFonts w:ascii="Arial" w:hAnsi="Arial"/>
                <w:b/>
                <w:color w:val="FFFFFF"/>
                <w:sz w:val="18"/>
              </w:rPr>
              <w:t>Macro F1</w:t>
            </w:r>
          </w:p>
        </w:tc>
        <w:tc>
          <w:tcPr>
            <w:tcW w:type="dxa" w:w="1008"/>
            <w:shd w:fill="1B365D"/>
            <w:tcMar>
              <w:top w:w="100" w:type="dxa"/>
              <w:bottom w:w="100" w:type="dxa"/>
              <w:left w:w="120" w:type="dxa"/>
              <w:right w:w="120" w:type="dxa"/>
            </w:tcMar>
          </w:tcPr>
          <w:p>
            <w:pPr>
              <w:spacing w:before="0" w:after="0" w:line="276" w:lineRule="auto"/>
            </w:pPr>
            <w:r>
              <w:rPr>
                <w:rFonts w:ascii="Arial" w:hAnsi="Arial"/>
                <w:b/>
                <w:color w:val="FFFFFF"/>
                <w:sz w:val="18"/>
              </w:rPr>
              <w:t>Weighted F1</w:t>
            </w:r>
          </w:p>
        </w:tc>
        <w:tc>
          <w:tcPr>
            <w:tcW w:type="dxa" w:w="1080"/>
            <w:shd w:fill="1B365D"/>
            <w:tcMar>
              <w:top w:w="100" w:type="dxa"/>
              <w:bottom w:w="100" w:type="dxa"/>
              <w:left w:w="120" w:type="dxa"/>
              <w:right w:w="120" w:type="dxa"/>
            </w:tcMar>
          </w:tcPr>
          <w:p>
            <w:pPr>
              <w:spacing w:before="0" w:after="0" w:line="276" w:lineRule="auto"/>
            </w:pPr>
            <w:r>
              <w:rPr>
                <w:rFonts w:ascii="Arial" w:hAnsi="Arial"/>
                <w:b/>
                <w:color w:val="FFFFFF"/>
                <w:sz w:val="18"/>
              </w:rPr>
              <w:t>OvR ROC-AUC</w:t>
            </w:r>
          </w:p>
        </w:tc>
        <w:tc>
          <w:tcPr>
            <w:tcW w:type="dxa" w:w="936"/>
            <w:shd w:fill="1B365D"/>
            <w:tcMar>
              <w:top w:w="100" w:type="dxa"/>
              <w:bottom w:w="100" w:type="dxa"/>
              <w:left w:w="120" w:type="dxa"/>
              <w:right w:w="120" w:type="dxa"/>
            </w:tcMar>
          </w:tcPr>
          <w:p>
            <w:pPr>
              <w:spacing w:before="0" w:after="0" w:line="276" w:lineRule="auto"/>
            </w:pPr>
            <w:r>
              <w:rPr>
                <w:rFonts w:ascii="Arial" w:hAnsi="Arial"/>
                <w:b/>
                <w:color w:val="FFFFFF"/>
                <w:sz w:val="18"/>
              </w:rPr>
              <w:t>Gap (Acc)</w:t>
            </w:r>
          </w:p>
        </w:tc>
      </w:tr>
      <w:tr>
        <w:tc>
          <w:tcPr>
            <w:tcW w:type="dxa" w:w="2160"/>
            <w:shd w:fill="FFFFFF"/>
            <w:tcMar>
              <w:top w:w="80" w:type="dxa"/>
              <w:bottom w:w="80" w:type="dxa"/>
              <w:left w:w="120" w:type="dxa"/>
              <w:right w:w="120" w:type="dxa"/>
            </w:tcMar>
          </w:tcPr>
          <w:p>
            <w:pPr>
              <w:spacing w:before="0" w:after="0" w:line="276" w:lineRule="auto"/>
            </w:pPr>
            <w:r>
              <w:rPr>
                <w:rFonts w:ascii="Arial" w:hAnsi="Arial"/>
                <w:color w:val="282828"/>
                <w:sz w:val="17"/>
              </w:rPr>
              <w:t>Logistic Regression</w:t>
            </w:r>
          </w:p>
        </w:tc>
        <w:tc>
          <w:tcPr>
            <w:tcW w:type="dxa" w:w="864"/>
            <w:shd w:fill="FFFFFF"/>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864"/>
            <w:shd w:fill="FFFFFF"/>
            <w:tcMar>
              <w:top w:w="80" w:type="dxa"/>
              <w:bottom w:w="80" w:type="dxa"/>
              <w:left w:w="120" w:type="dxa"/>
              <w:right w:w="120" w:type="dxa"/>
            </w:tcMar>
          </w:tcPr>
          <w:p>
            <w:pPr>
              <w:spacing w:before="0" w:after="0" w:line="276" w:lineRule="auto"/>
            </w:pPr>
            <w:r>
              <w:rPr>
                <w:rFonts w:ascii="Arial" w:hAnsi="Arial"/>
                <w:color w:val="282828"/>
                <w:sz w:val="17"/>
              </w:rPr>
              <w:t>0.9722</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0.9778</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0.9667</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0.9710</w:t>
            </w:r>
          </w:p>
        </w:tc>
        <w:tc>
          <w:tcPr>
            <w:tcW w:type="dxa" w:w="1008"/>
            <w:shd w:fill="FFFFFF"/>
            <w:tcMar>
              <w:top w:w="80" w:type="dxa"/>
              <w:bottom w:w="80" w:type="dxa"/>
              <w:left w:w="120" w:type="dxa"/>
              <w:right w:w="120" w:type="dxa"/>
            </w:tcMar>
          </w:tcPr>
          <w:p>
            <w:pPr>
              <w:spacing w:before="0" w:after="0" w:line="276" w:lineRule="auto"/>
            </w:pPr>
            <w:r>
              <w:rPr>
                <w:rFonts w:ascii="Arial" w:hAnsi="Arial"/>
                <w:color w:val="282828"/>
                <w:sz w:val="17"/>
              </w:rPr>
              <w:t>0.9720</w:t>
            </w:r>
          </w:p>
        </w:tc>
        <w:tc>
          <w:tcPr>
            <w:tcW w:type="dxa" w:w="1080"/>
            <w:shd w:fill="FFFFFF"/>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+2.78%</w:t>
            </w:r>
          </w:p>
        </w:tc>
      </w:tr>
      <w:tr>
        <w:tc>
          <w:tcPr>
            <w:tcW w:type="dxa" w:w="2160"/>
            <w:shd w:fill="F7F9FA"/>
            <w:tcMar>
              <w:top w:w="80" w:type="dxa"/>
              <w:bottom w:w="80" w:type="dxa"/>
              <w:left w:w="120" w:type="dxa"/>
              <w:right w:w="120" w:type="dxa"/>
            </w:tcMar>
          </w:tcPr>
          <w:p>
            <w:pPr>
              <w:spacing w:before="0" w:after="0" w:line="276" w:lineRule="auto"/>
            </w:pPr>
            <w:r>
              <w:rPr>
                <w:rFonts w:ascii="Arial" w:hAnsi="Arial"/>
                <w:color w:val="282828"/>
                <w:sz w:val="17"/>
              </w:rPr>
              <w:t>Random Forest</w:t>
            </w:r>
          </w:p>
        </w:tc>
        <w:tc>
          <w:tcPr>
            <w:tcW w:type="dxa" w:w="864"/>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864"/>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008"/>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080"/>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936"/>
            <w:shd w:fill="F7F9FA"/>
            <w:tcMar>
              <w:top w:w="80" w:type="dxa"/>
              <w:bottom w:w="80" w:type="dxa"/>
              <w:left w:w="120" w:type="dxa"/>
              <w:right w:w="120" w:type="dxa"/>
            </w:tcMar>
          </w:tcPr>
          <w:p>
            <w:pPr>
              <w:spacing w:before="0" w:after="0" w:line="276" w:lineRule="auto"/>
            </w:pPr>
            <w:r>
              <w:rPr>
                <w:rFonts w:ascii="Arial" w:hAnsi="Arial"/>
                <w:color w:val="282828"/>
                <w:sz w:val="17"/>
              </w:rPr>
              <w:t>+0.00%</w:t>
            </w:r>
          </w:p>
        </w:tc>
      </w:tr>
      <w:tr>
        <w:tc>
          <w:tcPr>
            <w:tcW w:type="dxa" w:w="2160"/>
            <w:shd w:fill="FFFFFF"/>
            <w:tcMar>
              <w:top w:w="80" w:type="dxa"/>
              <w:bottom w:w="80" w:type="dxa"/>
              <w:left w:w="120" w:type="dxa"/>
              <w:right w:w="120" w:type="dxa"/>
            </w:tcMar>
          </w:tcPr>
          <w:p>
            <w:pPr>
              <w:spacing w:before="0" w:after="0" w:line="276" w:lineRule="auto"/>
            </w:pPr>
            <w:r>
              <w:rPr>
                <w:rFonts w:ascii="Arial" w:hAnsi="Arial"/>
                <w:color w:val="282828"/>
                <w:sz w:val="17"/>
              </w:rPr>
              <w:t>Decision Tree</w:t>
            </w:r>
          </w:p>
        </w:tc>
        <w:tc>
          <w:tcPr>
            <w:tcW w:type="dxa" w:w="864"/>
            <w:shd w:fill="FFFFFF"/>
            <w:tcMar>
              <w:top w:w="80" w:type="dxa"/>
              <w:bottom w:w="80" w:type="dxa"/>
              <w:left w:w="120" w:type="dxa"/>
              <w:right w:w="120" w:type="dxa"/>
            </w:tcMar>
          </w:tcPr>
          <w:p>
            <w:pPr>
              <w:spacing w:before="0" w:after="0" w:line="276" w:lineRule="auto"/>
            </w:pPr>
            <w:r>
              <w:rPr>
                <w:rFonts w:ascii="Arial" w:hAnsi="Arial"/>
                <w:color w:val="282828"/>
                <w:sz w:val="17"/>
              </w:rPr>
              <w:t>0.9930</w:t>
            </w:r>
          </w:p>
        </w:tc>
        <w:tc>
          <w:tcPr>
            <w:tcW w:type="dxa" w:w="864"/>
            <w:shd w:fill="FFFFFF"/>
            <w:tcMar>
              <w:top w:w="80" w:type="dxa"/>
              <w:bottom w:w="80" w:type="dxa"/>
              <w:left w:w="120" w:type="dxa"/>
              <w:right w:w="120" w:type="dxa"/>
            </w:tcMar>
          </w:tcPr>
          <w:p>
            <w:pPr>
              <w:spacing w:before="0" w:after="0" w:line="276" w:lineRule="auto"/>
            </w:pPr>
            <w:r>
              <w:rPr>
                <w:rFonts w:ascii="Arial" w:hAnsi="Arial"/>
                <w:color w:val="282828"/>
                <w:sz w:val="17"/>
              </w:rPr>
              <w:t>0.9444</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0.9583</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0.9389</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0.9457</w:t>
            </w:r>
          </w:p>
        </w:tc>
        <w:tc>
          <w:tcPr>
            <w:tcW w:type="dxa" w:w="1008"/>
            <w:shd w:fill="FFFFFF"/>
            <w:tcMar>
              <w:top w:w="80" w:type="dxa"/>
              <w:bottom w:w="80" w:type="dxa"/>
              <w:left w:w="120" w:type="dxa"/>
              <w:right w:w="120" w:type="dxa"/>
            </w:tcMar>
          </w:tcPr>
          <w:p>
            <w:pPr>
              <w:spacing w:before="0" w:after="0" w:line="276" w:lineRule="auto"/>
            </w:pPr>
            <w:r>
              <w:rPr>
                <w:rFonts w:ascii="Arial" w:hAnsi="Arial"/>
                <w:color w:val="282828"/>
                <w:sz w:val="17"/>
              </w:rPr>
              <w:t>0.9450</w:t>
            </w:r>
          </w:p>
        </w:tc>
        <w:tc>
          <w:tcPr>
            <w:tcW w:type="dxa" w:w="1080"/>
            <w:shd w:fill="FFFFFF"/>
            <w:tcMar>
              <w:top w:w="80" w:type="dxa"/>
              <w:bottom w:w="80" w:type="dxa"/>
              <w:left w:w="120" w:type="dxa"/>
              <w:right w:w="120" w:type="dxa"/>
            </w:tcMar>
          </w:tcPr>
          <w:p>
            <w:pPr>
              <w:spacing w:before="0" w:after="0" w:line="276" w:lineRule="auto"/>
            </w:pPr>
            <w:r>
              <w:rPr>
                <w:rFonts w:ascii="Arial" w:hAnsi="Arial"/>
                <w:color w:val="282828"/>
                <w:sz w:val="17"/>
              </w:rPr>
              <w:t>0.9493</w:t>
            </w:r>
          </w:p>
        </w:tc>
        <w:tc>
          <w:tcPr>
            <w:tcW w:type="dxa" w:w="936"/>
            <w:shd w:fill="FFFFFF"/>
            <w:tcMar>
              <w:top w:w="80" w:type="dxa"/>
              <w:bottom w:w="80" w:type="dxa"/>
              <w:left w:w="120" w:type="dxa"/>
              <w:right w:w="120" w:type="dxa"/>
            </w:tcMar>
          </w:tcPr>
          <w:p>
            <w:pPr>
              <w:spacing w:before="0" w:after="0" w:line="276" w:lineRule="auto"/>
            </w:pPr>
            <w:r>
              <w:rPr>
                <w:rFonts w:ascii="Arial" w:hAnsi="Arial"/>
                <w:color w:val="282828"/>
                <w:sz w:val="17"/>
              </w:rPr>
              <w:t>+4.86%</w:t>
            </w:r>
          </w:p>
        </w:tc>
      </w:tr>
    </w:tbl>
    <w:p>
      <w:pPr>
        <w:spacing w:before="0" w:after="120" w:line="276" w:lineRule="auto"/>
      </w:pPr>
    </w:p>
    <w:p>
      <w:pPr>
        <w:spacing w:before="160" w:after="40" w:line="276" w:lineRule="auto"/>
      </w:pPr>
      <w:r>
        <w:rPr>
          <w:rFonts w:ascii="Arial" w:hAnsi="Arial"/>
          <w:b/>
          <w:color w:val="1B365D"/>
          <w:sz w:val="20"/>
        </w:rPr>
        <w:t>Table 4: Per-Class Classification Reports for Candidate Models</w:t>
      </w:r>
    </w:p>
    <w:tbl>
      <w:tblPr>
        <w:tblW w:type="auto" w:w="0"/>
        <w:jc w:val="center"/>
        <w:tblLayout w:type="fixed"/>
        <w:tblLook w:firstColumn="1" w:firstRow="1" w:lastColumn="0" w:lastRow="0" w:noHBand="0" w:noVBand="1" w:val="04A0"/>
        <w:tblBorders>
          <w:top w:val="single" w:sz="6" w:space="0" w:color="D3D3D3"/>
          <w:bottom w:val="single" w:sz="8" w:space="0" w:color="1B365D"/>
          <w:left w:val="none" w:sz="0" w:space="0" w:color="auto"/>
          <w:right w:val="none" w:sz="0" w:space="0" w:color="auto"/>
          <w:insideH w:val="single" w:sz="4" w:space="0" w:color="D3D3D3"/>
          <w:insideV w:val="none" w:sz="0" w:space="0" w:color="auto"/>
        </w:tblBorders>
      </w:tblPr>
      <w:tblGrid>
        <w:gridCol w:w="1560"/>
        <w:gridCol w:w="1560"/>
        <w:gridCol w:w="1560"/>
        <w:gridCol w:w="1560"/>
        <w:gridCol w:w="1560"/>
        <w:gridCol w:w="1560"/>
      </w:tblGrid>
      <w:tr>
        <w:tc>
          <w:tcPr>
            <w:tcW w:type="dxa" w:w="2304"/>
            <w:shd w:fill="1B365D"/>
            <w:tcMar>
              <w:top w:w="100" w:type="dxa"/>
              <w:bottom w:w="100" w:type="dxa"/>
              <w:left w:w="120" w:type="dxa"/>
              <w:right w:w="120" w:type="dxa"/>
            </w:tcMar>
          </w:tcPr>
          <w:p>
            <w:pPr>
              <w:spacing w:before="0" w:after="0" w:line="276" w:lineRule="auto"/>
            </w:pPr>
            <w:r>
              <w:rPr>
                <w:rFonts w:ascii="Arial" w:hAnsi="Arial"/>
                <w:b/>
                <w:color w:val="FFFFFF"/>
                <w:sz w:val="18"/>
              </w:rPr>
              <w:t>Model</w:t>
            </w:r>
          </w:p>
        </w:tc>
        <w:tc>
          <w:tcPr>
            <w:tcW w:type="dxa" w:w="1584"/>
            <w:shd w:fill="1B365D"/>
            <w:tcMar>
              <w:top w:w="100" w:type="dxa"/>
              <w:bottom w:w="100" w:type="dxa"/>
              <w:left w:w="120" w:type="dxa"/>
              <w:right w:w="120" w:type="dxa"/>
            </w:tcMar>
          </w:tcPr>
          <w:p>
            <w:pPr>
              <w:spacing w:before="0" w:after="0" w:line="276" w:lineRule="auto"/>
            </w:pPr>
            <w:r>
              <w:rPr>
                <w:rFonts w:ascii="Arial" w:hAnsi="Arial"/>
                <w:b/>
                <w:color w:val="FFFFFF"/>
                <w:sz w:val="18"/>
              </w:rPr>
              <w:t>Class Label</w:t>
            </w:r>
          </w:p>
        </w:tc>
        <w:tc>
          <w:tcPr>
            <w:tcW w:type="dxa" w:w="1368"/>
            <w:shd w:fill="1B365D"/>
            <w:tcMar>
              <w:top w:w="100" w:type="dxa"/>
              <w:bottom w:w="100" w:type="dxa"/>
              <w:left w:w="120" w:type="dxa"/>
              <w:right w:w="120" w:type="dxa"/>
            </w:tcMar>
          </w:tcPr>
          <w:p>
            <w:pPr>
              <w:spacing w:before="0" w:after="0" w:line="276" w:lineRule="auto"/>
            </w:pPr>
            <w:r>
              <w:rPr>
                <w:rFonts w:ascii="Arial" w:hAnsi="Arial"/>
                <w:b/>
                <w:color w:val="FFFFFF"/>
                <w:sz w:val="18"/>
              </w:rPr>
              <w:t>Precision</w:t>
            </w:r>
          </w:p>
        </w:tc>
        <w:tc>
          <w:tcPr>
            <w:tcW w:type="dxa" w:w="1368"/>
            <w:shd w:fill="1B365D"/>
            <w:tcMar>
              <w:top w:w="100" w:type="dxa"/>
              <w:bottom w:w="100" w:type="dxa"/>
              <w:left w:w="120" w:type="dxa"/>
              <w:right w:w="120" w:type="dxa"/>
            </w:tcMar>
          </w:tcPr>
          <w:p>
            <w:pPr>
              <w:spacing w:before="0" w:after="0" w:line="276" w:lineRule="auto"/>
            </w:pPr>
            <w:r>
              <w:rPr>
                <w:rFonts w:ascii="Arial" w:hAnsi="Arial"/>
                <w:b/>
                <w:color w:val="FFFFFF"/>
                <w:sz w:val="18"/>
              </w:rPr>
              <w:t>Recall</w:t>
            </w:r>
          </w:p>
        </w:tc>
        <w:tc>
          <w:tcPr>
            <w:tcW w:type="dxa" w:w="1368"/>
            <w:shd w:fill="1B365D"/>
            <w:tcMar>
              <w:top w:w="100" w:type="dxa"/>
              <w:bottom w:w="100" w:type="dxa"/>
              <w:left w:w="120" w:type="dxa"/>
              <w:right w:w="120" w:type="dxa"/>
            </w:tcMar>
          </w:tcPr>
          <w:p>
            <w:pPr>
              <w:spacing w:before="0" w:after="0" w:line="276" w:lineRule="auto"/>
            </w:pPr>
            <w:r>
              <w:rPr>
                <w:rFonts w:ascii="Arial" w:hAnsi="Arial"/>
                <w:b/>
                <w:color w:val="FFFFFF"/>
                <w:sz w:val="18"/>
              </w:rPr>
              <w:t>F1-Score</w:t>
            </w:r>
          </w:p>
        </w:tc>
        <w:tc>
          <w:tcPr>
            <w:tcW w:type="dxa" w:w="1368"/>
            <w:shd w:fill="1B365D"/>
            <w:tcMar>
              <w:top w:w="100" w:type="dxa"/>
              <w:bottom w:w="100" w:type="dxa"/>
              <w:left w:w="120" w:type="dxa"/>
              <w:right w:w="120" w:type="dxa"/>
            </w:tcMar>
          </w:tcPr>
          <w:p>
            <w:pPr>
              <w:spacing w:before="0" w:after="0" w:line="276" w:lineRule="auto"/>
            </w:pPr>
            <w:r>
              <w:rPr>
                <w:rFonts w:ascii="Arial" w:hAnsi="Arial"/>
                <w:b/>
                <w:color w:val="FFFFFF"/>
                <w:sz w:val="18"/>
              </w:rPr>
              <w:t>Support</w:t>
            </w:r>
          </w:p>
        </w:tc>
      </w:tr>
      <w:tr>
        <w:tc>
          <w:tcPr>
            <w:tcW w:type="dxa" w:w="2304"/>
            <w:shd w:fill="FFFFFF"/>
            <w:tcMar>
              <w:top w:w="80" w:type="dxa"/>
              <w:bottom w:w="80" w:type="dxa"/>
              <w:left w:w="120" w:type="dxa"/>
              <w:right w:w="120" w:type="dxa"/>
            </w:tcMar>
          </w:tcPr>
          <w:p>
            <w:pPr>
              <w:spacing w:before="0" w:after="0" w:line="276" w:lineRule="auto"/>
            </w:pPr>
            <w:r>
              <w:rPr>
                <w:rFonts w:ascii="Arial" w:hAnsi="Arial"/>
                <w:color w:val="282828"/>
                <w:sz w:val="17"/>
              </w:rPr>
              <w:t>Random Forest</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class_0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12</w:t>
            </w:r>
          </w:p>
        </w:tc>
      </w:tr>
      <w:tr>
        <w:tc>
          <w:tcPr>
            <w:tcW w:type="dxa" w:w="2304"/>
            <w:shd w:fill="F7F9FA"/>
            <w:tcMar>
              <w:top w:w="80" w:type="dxa"/>
              <w:bottom w:w="80" w:type="dxa"/>
              <w:left w:w="120" w:type="dxa"/>
              <w:right w:w="120" w:type="dxa"/>
            </w:tcMar>
          </w:tcPr>
          <w:p>
            <w:pPr>
              <w:spacing w:before="0" w:after="0" w:line="276" w:lineRule="auto"/>
            </w:pPr>
            <w:r>
              <w:rPr>
                <w:rFonts w:ascii="Arial" w:hAnsi="Arial"/>
                <w:color w:val="282828"/>
                <w:sz w:val="17"/>
              </w:rPr>
              <w:t>Random Forest</w:t>
            </w:r>
          </w:p>
        </w:tc>
        <w:tc>
          <w:tcPr>
            <w:tcW w:type="dxa" w:w="1584"/>
            <w:shd w:fill="F7F9FA"/>
            <w:tcMar>
              <w:top w:w="80" w:type="dxa"/>
              <w:bottom w:w="80" w:type="dxa"/>
              <w:left w:w="120" w:type="dxa"/>
              <w:right w:w="120" w:type="dxa"/>
            </w:tcMar>
          </w:tcPr>
          <w:p>
            <w:pPr>
              <w:spacing w:before="0" w:after="0" w:line="276" w:lineRule="auto"/>
            </w:pPr>
            <w:r>
              <w:rPr>
                <w:rFonts w:ascii="Arial" w:hAnsi="Arial"/>
                <w:color w:val="282828"/>
                <w:sz w:val="17"/>
              </w:rPr>
              <w:t>class_1</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14</w:t>
            </w:r>
          </w:p>
        </w:tc>
      </w:tr>
      <w:tr>
        <w:tc>
          <w:tcPr>
            <w:tcW w:type="dxa" w:w="2304"/>
            <w:shd w:fill="FFFFFF"/>
            <w:tcMar>
              <w:top w:w="80" w:type="dxa"/>
              <w:bottom w:w="80" w:type="dxa"/>
              <w:left w:w="120" w:type="dxa"/>
              <w:right w:w="120" w:type="dxa"/>
            </w:tcMar>
          </w:tcPr>
          <w:p>
            <w:pPr>
              <w:spacing w:before="0" w:after="0" w:line="276" w:lineRule="auto"/>
            </w:pPr>
            <w:r>
              <w:rPr>
                <w:rFonts w:ascii="Arial" w:hAnsi="Arial"/>
                <w:color w:val="282828"/>
                <w:sz w:val="17"/>
              </w:rPr>
              <w:t>Random Forest</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class_2</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10</w:t>
            </w:r>
          </w:p>
        </w:tc>
      </w:tr>
      <w:tr>
        <w:tc>
          <w:tcPr>
            <w:tcW w:type="dxa" w:w="2304"/>
            <w:shd w:fill="F7F9FA"/>
            <w:tcMar>
              <w:top w:w="80" w:type="dxa"/>
              <w:bottom w:w="80" w:type="dxa"/>
              <w:left w:w="120" w:type="dxa"/>
              <w:right w:w="120" w:type="dxa"/>
            </w:tcMar>
          </w:tcPr>
          <w:p>
            <w:pPr>
              <w:spacing w:before="0" w:after="0" w:line="276" w:lineRule="auto"/>
            </w:pPr>
            <w:r>
              <w:rPr>
                <w:rFonts w:ascii="Arial" w:hAnsi="Arial"/>
                <w:color w:val="282828"/>
                <w:sz w:val="17"/>
              </w:rPr>
              <w:t>Logistic Regression</w:t>
            </w:r>
          </w:p>
        </w:tc>
        <w:tc>
          <w:tcPr>
            <w:tcW w:type="dxa" w:w="1584"/>
            <w:shd w:fill="F7F9FA"/>
            <w:tcMar>
              <w:top w:w="80" w:type="dxa"/>
              <w:bottom w:w="80" w:type="dxa"/>
              <w:left w:w="120" w:type="dxa"/>
              <w:right w:w="120" w:type="dxa"/>
            </w:tcMar>
          </w:tcPr>
          <w:p>
            <w:pPr>
              <w:spacing w:before="0" w:after="0" w:line="276" w:lineRule="auto"/>
            </w:pPr>
            <w:r>
              <w:rPr>
                <w:rFonts w:ascii="Arial" w:hAnsi="Arial"/>
                <w:color w:val="282828"/>
                <w:sz w:val="17"/>
              </w:rPr>
              <w:t>class_0</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12</w:t>
            </w:r>
          </w:p>
        </w:tc>
      </w:tr>
      <w:tr>
        <w:tc>
          <w:tcPr>
            <w:tcW w:type="dxa" w:w="2304"/>
            <w:shd w:fill="FFFFFF"/>
            <w:tcMar>
              <w:top w:w="80" w:type="dxa"/>
              <w:bottom w:w="80" w:type="dxa"/>
              <w:left w:w="120" w:type="dxa"/>
              <w:right w:w="120" w:type="dxa"/>
            </w:tcMar>
          </w:tcPr>
          <w:p>
            <w:pPr>
              <w:spacing w:before="0" w:after="0" w:line="276" w:lineRule="auto"/>
            </w:pPr>
            <w:r>
              <w:rPr>
                <w:rFonts w:ascii="Arial" w:hAnsi="Arial"/>
                <w:color w:val="282828"/>
                <w:sz w:val="17"/>
              </w:rPr>
              <w:t>Logistic Regression</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class_1</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0.9333</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0.9655</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14</w:t>
            </w:r>
          </w:p>
        </w:tc>
      </w:tr>
      <w:tr>
        <w:tc>
          <w:tcPr>
            <w:tcW w:type="dxa" w:w="2304"/>
            <w:shd w:fill="F7F9FA"/>
            <w:tcMar>
              <w:top w:w="80" w:type="dxa"/>
              <w:bottom w:w="80" w:type="dxa"/>
              <w:left w:w="120" w:type="dxa"/>
              <w:right w:w="120" w:type="dxa"/>
            </w:tcMar>
          </w:tcPr>
          <w:p>
            <w:pPr>
              <w:spacing w:before="0" w:after="0" w:line="276" w:lineRule="auto"/>
            </w:pPr>
            <w:r>
              <w:rPr>
                <w:rFonts w:ascii="Arial" w:hAnsi="Arial"/>
                <w:color w:val="282828"/>
                <w:sz w:val="17"/>
              </w:rPr>
              <w:t>Logistic Regression</w:t>
            </w:r>
          </w:p>
        </w:tc>
        <w:tc>
          <w:tcPr>
            <w:tcW w:type="dxa" w:w="1584"/>
            <w:shd w:fill="F7F9FA"/>
            <w:tcMar>
              <w:top w:w="80" w:type="dxa"/>
              <w:bottom w:w="80" w:type="dxa"/>
              <w:left w:w="120" w:type="dxa"/>
              <w:right w:w="120" w:type="dxa"/>
            </w:tcMar>
          </w:tcPr>
          <w:p>
            <w:pPr>
              <w:spacing w:before="0" w:after="0" w:line="276" w:lineRule="auto"/>
            </w:pPr>
            <w:r>
              <w:rPr>
                <w:rFonts w:ascii="Arial" w:hAnsi="Arial"/>
                <w:color w:val="282828"/>
                <w:sz w:val="17"/>
              </w:rPr>
              <w:t>class_2</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0.9000</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0.9474</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10</w:t>
            </w:r>
          </w:p>
        </w:tc>
      </w:tr>
      <w:tr>
        <w:tc>
          <w:tcPr>
            <w:tcW w:type="dxa" w:w="2304"/>
            <w:shd w:fill="FFFFFF"/>
            <w:tcMar>
              <w:top w:w="80" w:type="dxa"/>
              <w:bottom w:w="80" w:type="dxa"/>
              <w:left w:w="120" w:type="dxa"/>
              <w:right w:w="120" w:type="dxa"/>
            </w:tcMar>
          </w:tcPr>
          <w:p>
            <w:pPr>
              <w:spacing w:before="0" w:after="0" w:line="276" w:lineRule="auto"/>
            </w:pPr>
            <w:r>
              <w:rPr>
                <w:rFonts w:ascii="Arial" w:hAnsi="Arial"/>
                <w:color w:val="282828"/>
                <w:sz w:val="17"/>
              </w:rPr>
              <w:t>Decision Tree</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class_0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0.9167</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0.9565</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12</w:t>
            </w:r>
          </w:p>
        </w:tc>
      </w:tr>
      <w:tr>
        <w:tc>
          <w:tcPr>
            <w:tcW w:type="dxa" w:w="2304"/>
            <w:shd w:fill="F7F9FA"/>
            <w:tcMar>
              <w:top w:w="80" w:type="dxa"/>
              <w:bottom w:w="80" w:type="dxa"/>
              <w:left w:w="120" w:type="dxa"/>
              <w:right w:w="120" w:type="dxa"/>
            </w:tcMar>
          </w:tcPr>
          <w:p>
            <w:pPr>
              <w:spacing w:before="0" w:after="0" w:line="276" w:lineRule="auto"/>
            </w:pPr>
            <w:r>
              <w:rPr>
                <w:rFonts w:ascii="Arial" w:hAnsi="Arial"/>
                <w:color w:val="282828"/>
                <w:sz w:val="17"/>
              </w:rPr>
              <w:t>Decision Tree</w:t>
            </w:r>
          </w:p>
        </w:tc>
        <w:tc>
          <w:tcPr>
            <w:tcW w:type="dxa" w:w="1584"/>
            <w:shd w:fill="F7F9FA"/>
            <w:tcMar>
              <w:top w:w="80" w:type="dxa"/>
              <w:bottom w:w="80" w:type="dxa"/>
              <w:left w:w="120" w:type="dxa"/>
              <w:right w:w="120" w:type="dxa"/>
            </w:tcMar>
          </w:tcPr>
          <w:p>
            <w:pPr>
              <w:spacing w:before="0" w:after="0" w:line="276" w:lineRule="auto"/>
            </w:pPr>
            <w:r>
              <w:rPr>
                <w:rFonts w:ascii="Arial" w:hAnsi="Arial"/>
                <w:color w:val="282828"/>
                <w:sz w:val="17"/>
              </w:rPr>
              <w:t>class_1</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0.8750</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0.9333</w:t>
            </w:r>
          </w:p>
        </w:tc>
        <w:tc>
          <w:tcPr>
            <w:tcW w:type="dxa" w:w="1368"/>
            <w:shd w:fill="F7F9FA"/>
            <w:tcMar>
              <w:top w:w="80" w:type="dxa"/>
              <w:bottom w:w="80" w:type="dxa"/>
              <w:left w:w="120" w:type="dxa"/>
              <w:right w:w="120" w:type="dxa"/>
            </w:tcMar>
          </w:tcPr>
          <w:p>
            <w:pPr>
              <w:spacing w:before="0" w:after="0" w:line="276" w:lineRule="auto"/>
            </w:pPr>
            <w:r>
              <w:rPr>
                <w:rFonts w:ascii="Arial" w:hAnsi="Arial"/>
                <w:color w:val="282828"/>
                <w:sz w:val="17"/>
              </w:rPr>
              <w:t>14</w:t>
            </w:r>
          </w:p>
        </w:tc>
      </w:tr>
      <w:tr>
        <w:tc>
          <w:tcPr>
            <w:tcW w:type="dxa" w:w="2304"/>
            <w:shd w:fill="FFFFFF"/>
            <w:tcMar>
              <w:top w:w="80" w:type="dxa"/>
              <w:bottom w:w="80" w:type="dxa"/>
              <w:left w:w="120" w:type="dxa"/>
              <w:right w:w="120" w:type="dxa"/>
            </w:tcMar>
          </w:tcPr>
          <w:p>
            <w:pPr>
              <w:spacing w:before="0" w:after="0" w:line="276" w:lineRule="auto"/>
            </w:pPr>
            <w:r>
              <w:rPr>
                <w:rFonts w:ascii="Arial" w:hAnsi="Arial"/>
                <w:color w:val="282828"/>
                <w:sz w:val="17"/>
              </w:rPr>
              <w:t>Decision Tree</w:t>
            </w:r>
          </w:p>
        </w:tc>
        <w:tc>
          <w:tcPr>
            <w:tcW w:type="dxa" w:w="1584"/>
            <w:shd w:fill="FFFFFF"/>
            <w:tcMar>
              <w:top w:w="80" w:type="dxa"/>
              <w:bottom w:w="80" w:type="dxa"/>
              <w:left w:w="120" w:type="dxa"/>
              <w:right w:w="120" w:type="dxa"/>
            </w:tcMar>
          </w:tcPr>
          <w:p>
            <w:pPr>
              <w:spacing w:before="0" w:after="0" w:line="276" w:lineRule="auto"/>
            </w:pPr>
            <w:r>
              <w:rPr>
                <w:rFonts w:ascii="Arial" w:hAnsi="Arial"/>
                <w:color w:val="282828"/>
                <w:sz w:val="17"/>
              </w:rPr>
              <w:t>class_2</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1.0000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0.9000</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0.9474</w:t>
            </w:r>
          </w:p>
        </w:tc>
        <w:tc>
          <w:tcPr>
            <w:tcW w:type="dxa" w:w="1368"/>
            <w:shd w:fill="FFFFFF"/>
            <w:tcMar>
              <w:top w:w="80" w:type="dxa"/>
              <w:bottom w:w="80" w:type="dxa"/>
              <w:left w:w="120" w:type="dxa"/>
              <w:right w:w="120" w:type="dxa"/>
            </w:tcMar>
          </w:tcPr>
          <w:p>
            <w:pPr>
              <w:spacing w:before="0" w:after="0" w:line="276" w:lineRule="auto"/>
            </w:pPr>
            <w:r>
              <w:rPr>
                <w:rFonts w:ascii="Arial" w:hAnsi="Arial"/>
                <w:color w:val="282828"/>
                <w:sz w:val="17"/>
              </w:rPr>
              <w:t>10</w:t>
            </w:r>
          </w:p>
        </w:tc>
      </w:tr>
    </w:tbl>
    <w:p>
      <w:pPr>
        <w:spacing w:before="0" w:after="120" w:line="276" w:lineRule="auto"/>
      </w:pPr>
    </w:p>
    <w:p>
      <w:pPr>
        <w:spacing w:before="280" w:after="80" w:line="276" w:lineRule="auto"/>
        <w:pBdr>
          <w:bottom w:val="single" w:sz="12" w:space="4" w:color="1B365D"/>
        </w:pBdr>
      </w:pPr>
      <w:r>
        <w:rPr>
          <w:rFonts w:ascii="Arial" w:hAnsi="Arial"/>
          <w:b/>
          <w:color w:val="1B365D"/>
          <w:sz w:val="28"/>
        </w:rPr>
        <w:t>9. Visual Evaluation</w:t>
      </w:r>
    </w:p>
    <w:p>
      <w:pPr>
        <w:spacing w:before="0" w:after="120" w:line="276" w:lineRule="auto"/>
      </w:pPr>
      <w:r>
        <w:t>Four dedicated visualizations were generated to analyze classification errors, cross-model performance, multiclass discrimination, and feature attribution. Each figure is displayed below with its technical interpretation.</w:t>
      </w:r>
    </w:p>
    <w:p>
      <w:pPr>
        <w:spacing w:before="120" w:after="40" w:line="276" w:lineRule="auto"/>
        <w:jc w:val="center"/>
      </w:pPr>
      <w:r>
        <w:drawing>
          <wp:inline xmlns:a="http://schemas.openxmlformats.org/drawingml/2006/main" xmlns:pic="http://schemas.openxmlformats.org/drawingml/2006/picture">
            <wp:extent cx="4389120" cy="3511296"/>
            <wp:docPr id="1" name="Picture 1"/>
            <wp:cNvGraphicFramePr>
              <a:graphicFrameLocks noChangeAspect="1"/>
            </wp:cNvGraphicFramePr>
            <a:graphic>
              <a:graphicData uri="http://schemas.openxmlformats.org/drawingml/2006/picture">
                <pic:pic>
                  <pic:nvPicPr>
                    <pic:cNvPr id="0" name="figure1_confusion_matrix.png"/>
                    <pic:cNvPicPr/>
                  </pic:nvPicPr>
                  <pic:blipFill>
                    <a:blip r:embed="rId9"/>
                    <a:stretch>
                      <a:fillRect/>
                    </a:stretch>
                  </pic:blipFill>
                  <pic:spPr>
                    <a:xfrm>
                      <a:off x="0" y="0"/>
                      <a:ext cx="4389120" cy="3511296"/>
                    </a:xfrm>
                    <a:prstGeom prst="rect"/>
                  </pic:spPr>
                </pic:pic>
              </a:graphicData>
            </a:graphic>
          </wp:inline>
        </w:drawing>
      </w:r>
    </w:p>
    <w:p>
      <w:pPr>
        <w:spacing w:before="40" w:after="160" w:line="276" w:lineRule="auto"/>
      </w:pPr>
      <w:r>
        <w:rPr>
          <w:rFonts w:ascii="Arial" w:hAnsi="Arial"/>
          <w:b/>
          <w:color w:val="1B365D"/>
          <w:sz w:val="18"/>
        </w:rPr>
        <w:t xml:space="preserve">Figure 1: Confusion Matrix for the Final Random Forest Model (Test Set, N = 36). </w:t>
      </w:r>
      <w:r>
        <w:rPr>
          <w:rFonts w:ascii="Arial" w:hAnsi="Arial"/>
          <w:i/>
          <w:color w:val="323232"/>
          <w:sz w:val="18"/>
        </w:rPr>
        <w:t>Interpretation: The heatmap displays a diagonal structure with 12/12 Class 0, 14/14 Class 1, and 10/10 Class 2 instances correctly classified. Zero off-diagonal errors were produced on this test split, demonstrating strong class separation across all three cultivars under the bagging ensemble.</w:t>
      </w:r>
    </w:p>
    <w:p>
      <w:pPr>
        <w:spacing w:before="120" w:after="40" w:line="276" w:lineRule="auto"/>
        <w:jc w:val="center"/>
      </w:pPr>
      <w:r>
        <w:drawing>
          <wp:inline xmlns:a="http://schemas.openxmlformats.org/drawingml/2006/main" xmlns:pic="http://schemas.openxmlformats.org/drawingml/2006/picture">
            <wp:extent cx="4937760" cy="2863901"/>
            <wp:docPr id="2" name="Picture 2"/>
            <wp:cNvGraphicFramePr>
              <a:graphicFrameLocks noChangeAspect="1"/>
            </wp:cNvGraphicFramePr>
            <a:graphic>
              <a:graphicData uri="http://schemas.openxmlformats.org/drawingml/2006/picture">
                <pic:pic>
                  <pic:nvPicPr>
                    <pic:cNvPr id="0" name="figure2_model_performance_comparison.png"/>
                    <pic:cNvPicPr/>
                  </pic:nvPicPr>
                  <pic:blipFill>
                    <a:blip r:embed="rId10"/>
                    <a:stretch>
                      <a:fillRect/>
                    </a:stretch>
                  </pic:blipFill>
                  <pic:spPr>
                    <a:xfrm>
                      <a:off x="0" y="0"/>
                      <a:ext cx="4937760" cy="2863901"/>
                    </a:xfrm>
                    <a:prstGeom prst="rect"/>
                  </pic:spPr>
                </pic:pic>
              </a:graphicData>
            </a:graphic>
          </wp:inline>
        </w:drawing>
      </w:r>
    </w:p>
    <w:p>
      <w:pPr>
        <w:spacing w:before="40" w:after="160" w:line="276" w:lineRule="auto"/>
      </w:pPr>
      <w:r>
        <w:rPr>
          <w:rFonts w:ascii="Arial" w:hAnsi="Arial"/>
          <w:b/>
          <w:color w:val="1B365D"/>
          <w:sz w:val="18"/>
        </w:rPr>
        <w:t xml:space="preserve">Figure 2: Cross-Model Metric Comparison across Train and Test Partitions. </w:t>
      </w:r>
      <w:r>
        <w:rPr>
          <w:rFonts w:ascii="Arial" w:hAnsi="Arial"/>
          <w:i/>
          <w:color w:val="323232"/>
          <w:sz w:val="18"/>
        </w:rPr>
        <w:t>Interpretation: Random Forest achieved 1.000 across test metrics on this partition. Logistic Regression showed strong generalization (0.972 test accuracy, 0.971 F1). Decision Tree displayed a measurable generalization drop (0.993 train vs. 0.944 test accuracy, gap = +4.86%), illustrating the higher variance typical of unregularized single-tree models.</w:t>
      </w:r>
    </w:p>
    <w:p>
      <w:pPr>
        <w:spacing w:before="120" w:after="40" w:line="276" w:lineRule="auto"/>
        <w:jc w:val="center"/>
      </w:pPr>
      <w:r>
        <w:drawing>
          <wp:inline xmlns:a="http://schemas.openxmlformats.org/drawingml/2006/main" xmlns:pic="http://schemas.openxmlformats.org/drawingml/2006/picture">
            <wp:extent cx="4572000" cy="3535680"/>
            <wp:docPr id="3" name="Picture 3"/>
            <wp:cNvGraphicFramePr>
              <a:graphicFrameLocks noChangeAspect="1"/>
            </wp:cNvGraphicFramePr>
            <a:graphic>
              <a:graphicData uri="http://schemas.openxmlformats.org/drawingml/2006/picture">
                <pic:pic>
                  <pic:nvPicPr>
                    <pic:cNvPr id="0" name="figure3_multiclass_roc_curve.png"/>
                    <pic:cNvPicPr/>
                  </pic:nvPicPr>
                  <pic:blipFill>
                    <a:blip r:embed="rId11"/>
                    <a:stretch>
                      <a:fillRect/>
                    </a:stretch>
                  </pic:blipFill>
                  <pic:spPr>
                    <a:xfrm>
                      <a:off x="0" y="0"/>
                      <a:ext cx="4572000" cy="3535680"/>
                    </a:xfrm>
                    <a:prstGeom prst="rect"/>
                  </pic:spPr>
                </pic:pic>
              </a:graphicData>
            </a:graphic>
          </wp:inline>
        </w:drawing>
      </w:r>
    </w:p>
    <w:p>
      <w:pPr>
        <w:spacing w:before="40" w:after="160" w:line="276" w:lineRule="auto"/>
      </w:pPr>
      <w:r>
        <w:rPr>
          <w:rFonts w:ascii="Arial" w:hAnsi="Arial"/>
          <w:b/>
          <w:color w:val="1B365D"/>
          <w:sz w:val="18"/>
        </w:rPr>
        <w:t xml:space="preserve">Figure 3: Multiclass One-vs-Rest ROC Curves for Logistic Regression Baseline. </w:t>
      </w:r>
      <w:r>
        <w:rPr>
          <w:rFonts w:ascii="Arial" w:hAnsi="Arial"/>
          <w:i/>
          <w:color w:val="323232"/>
          <w:sz w:val="18"/>
        </w:rPr>
        <w:t>Interpretation: The One-vs-Rest ROC analysis yields an Area Under the Curve (AUC) of 1.0000 across classes, achieving a Macro-Average ROC-AUC of 1.0000. The perfect ROC-AUC indicates that the model ranked the true-class probabilities correctly across classification thresholds, while the single classification error at the default decision threshold resulted in 97.22% accuracy. This illustrates that ROC-AUC evaluates threshold-independent ranking discrimination, whereas classification accuracy measures discrete decisions at a fixed threshold.</w:t>
      </w:r>
    </w:p>
    <w:p>
      <w:pPr>
        <w:spacing w:before="120" w:after="40" w:line="276" w:lineRule="auto"/>
        <w:jc w:val="center"/>
      </w:pPr>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figure4_feature_importance.png"/>
                    <pic:cNvPicPr/>
                  </pic:nvPicPr>
                  <pic:blipFill>
                    <a:blip r:embed="rId12"/>
                    <a:stretch>
                      <a:fillRect/>
                    </a:stretch>
                  </pic:blipFill>
                  <pic:spPr>
                    <a:xfrm>
                      <a:off x="0" y="0"/>
                      <a:ext cx="4572000" cy="3429000"/>
                    </a:xfrm>
                    <a:prstGeom prst="rect"/>
                  </pic:spPr>
                </pic:pic>
              </a:graphicData>
            </a:graphic>
          </wp:inline>
        </w:drawing>
      </w:r>
    </w:p>
    <w:p>
      <w:pPr>
        <w:spacing w:before="40" w:after="160" w:line="276" w:lineRule="auto"/>
      </w:pPr>
      <w:r>
        <w:rPr>
          <w:rFonts w:ascii="Arial" w:hAnsi="Arial"/>
          <w:b/>
          <w:color w:val="1B365D"/>
          <w:sz w:val="18"/>
        </w:rPr>
        <w:t xml:space="preserve">Figure 4: Random Forest Feature Importance (Mean Decrease in Impurity). </w:t>
      </w:r>
      <w:r>
        <w:rPr>
          <w:rFonts w:ascii="Arial" w:hAnsi="Arial"/>
          <w:i/>
          <w:color w:val="323232"/>
          <w:sz w:val="18"/>
        </w:rPr>
        <w:t>Interpretation: color_intensity (0.188), flavanoids (0.167), proline (0.146), and alcohol (0.125) constitute the top 4 most influential features in the Random Forest model, accounting for 62.7% of aggregate split impurity reduction. Conversely, ash (0.017) and nonflavanoid_phenols (0.007) provide the lowest relative split contributions. The feature-importance ranking identifies variables that contributed strongly to the Random Forest's decision structure. These rankings represent model-specific associations and should not be interpreted as evidence of causal biochemical effects.</w:t>
      </w:r>
    </w:p>
    <w:p>
      <w:pPr>
        <w:spacing w:before="280" w:after="80" w:line="276" w:lineRule="auto"/>
        <w:pBdr>
          <w:bottom w:val="single" w:sz="12" w:space="4" w:color="1B365D"/>
        </w:pBdr>
      </w:pPr>
      <w:r>
        <w:rPr>
          <w:rFonts w:ascii="Arial" w:hAnsi="Arial"/>
          <w:b/>
          <w:color w:val="1B365D"/>
          <w:sz w:val="28"/>
        </w:rPr>
        <w:t>10. Error Analysis</w:t>
      </w:r>
    </w:p>
    <w:p>
      <w:pPr>
        <w:spacing w:before="0" w:after="120" w:line="276" w:lineRule="auto"/>
      </w:pPr>
      <w:r>
        <w:t>A detailed examination of model predictions reveals specific error patterns:</w:t>
        <w:br/>
        <w:br/>
        <w:t>1. Random Forest Error Inspection: The Random Forest ensemble produced zero errors (0/36) on the held-out test split, achieving 100% precision and recall across all three classes in this experiment.</w:t>
        <w:br/>
        <w:br/>
        <w:t>2. Logistic Regression Error Inspection: Logistic Regression committed exactly one misclassification (1/36, Sample Index #123). A ground-truth Class 2 (Barbera) sample was predicted as Class 1 (Grignolino). Inspection of the predicted posterior probability distribution reveals: P(Class 0) = 0.0012, P(Class 1) = 0.5843, P(Class 2) = 0.4145. This observation lies near the linear decision boundary between Class 1 and Class 2, exhibiting an intermediate flavanoid measurement (1.20 g/L) and lower color intensity (5.00) relative to typical Class 2 samples.</w:t>
        <w:br/>
        <w:br/>
        <w:t>3. Decision Tree Error Inspection: The single Decision Tree produced two errors (2/36). It misclassified one Class 0 sample as Class 1 (due to an uncharacteristic proline measurement of 680 mg/L) and one Class 2 sample as Class 1. This illustrates how axis-aligned orthogonal partitions can struggle near overlapping regional boundaries.</w:t>
        <w:br/>
        <w:br/>
        <w:t>4. Class Imbalance Impact: The mild class imbalance (Class 0: 33.1%, Class 1: 39.9%, Class 2: 27.0%) did not induce majority-class bias. Stratified sampling preserved representative class proportions across partitions.</w:t>
      </w:r>
    </w:p>
    <w:p>
      <w:pPr>
        <w:spacing w:before="280" w:after="80" w:line="276" w:lineRule="auto"/>
        <w:pBdr>
          <w:bottom w:val="single" w:sz="12" w:space="4" w:color="1B365D"/>
        </w:pBdr>
      </w:pPr>
      <w:r>
        <w:rPr>
          <w:rFonts w:ascii="Arial" w:hAnsi="Arial"/>
          <w:b/>
          <w:color w:val="1B365D"/>
          <w:sz w:val="28"/>
        </w:rPr>
        <w:t>11. Overfitting and Underfitting</w:t>
      </w:r>
    </w:p>
    <w:p>
      <w:pPr>
        <w:spacing w:before="0" w:after="120" w:line="276" w:lineRule="auto"/>
      </w:pPr>
      <w:r>
        <w:t>Overfitting and underfitting were evaluated by comparing training performance against held-out test performance:</w:t>
        <w:br/>
        <w:br/>
        <w:t>• Underfitting Assessment: No clear evidence of underfitting was observed based on the training and test performance in this experiment. Training accuracies ranged from 99.30% (Decision Tree) to 100.0% (Logistic Regression and Random Forest), indicating that the candidate models had sufficient expressive capacity to learn the classification patterns in the training data.</w:t>
        <w:br/>
        <w:br/>
        <w:t>• Overfitting Assessment:</w:t>
        <w:br/>
        <w:t xml:space="preserve">  - Decision Tree: The Decision Tree showed a noticeable generalization gap of Delta = +4.86% (Train Acc = 99.30%, Test Acc = 94.44%; Train F1 = 0.9935, Test F1 = 0.9457), reflecting the variance typical of unregularized single tree models on small sample splits.</w:t>
        <w:br/>
        <w:t xml:space="preserve">  - Logistic Regression: Logistic Regression demonstrated stable performance with a modest generalization gap of Delta = +2.78% (Train Acc = 100.00%, Test Acc = 97.22%; Train F1 = 1.0000, Test F1 = 0.9710). The L2 weight penalty controlled parameter magnitude.</w:t>
        <w:br/>
        <w:t xml:space="preserve">  - Random Forest: The Random Forest showed no observed train-test accuracy gap on this fixed split (Train Acc = 100.0%, Test Acc = 100.0%), suggesting strong generalization in this experiment. However, this result should be interpreted cautiously because evaluation was performed on a single held-out test set.</w:t>
      </w:r>
    </w:p>
    <w:p>
      <w:pPr>
        <w:spacing w:before="280" w:after="80" w:line="276" w:lineRule="auto"/>
        <w:pBdr>
          <w:bottom w:val="single" w:sz="12" w:space="4" w:color="1B365D"/>
        </w:pBdr>
      </w:pPr>
      <w:r>
        <w:rPr>
          <w:rFonts w:ascii="Arial" w:hAnsi="Arial"/>
          <w:b/>
          <w:color w:val="1B365D"/>
          <w:sz w:val="28"/>
        </w:rPr>
        <w:t>12. Model Comparison</w:t>
      </w:r>
    </w:p>
    <w:p>
      <w:pPr>
        <w:spacing w:before="0" w:after="120" w:line="276" w:lineRule="auto"/>
      </w:pPr>
      <w:r>
        <w:t>Comparing the candidate algorithms highlights key trade-offs between predictive performance, variance, and interpretability:</w:t>
        <w:br/>
        <w:br/>
        <w:t>• Logistic Regression vs. Tree Ensembles: Logistic Regression provides direct coefficient interpretability through standardized regression weights and predicted class probabilities. However, it relies on linear decision boundaries in feature space. Random Forest aggregates multiple decision trees to capture non-linear interactions (such as relationships between flavanoids and color intensity) without requiring manual interaction terms.</w:t>
        <w:br/>
        <w:br/>
        <w:t>• Single Decision Tree vs. Random Forest: The single Decision Tree is simple and produces clear if-then rules. However, its empirical test score (94.44% accuracy, 0.9457 F1) was lower than Random Forest (100.0% accuracy, 1.0000 F1). Averaging across 100 randomized trees reduced individual tree variance and improved test performance.</w:t>
      </w:r>
    </w:p>
    <w:p>
      <w:pPr>
        <w:spacing w:before="280" w:after="80" w:line="276" w:lineRule="auto"/>
        <w:pBdr>
          <w:bottom w:val="single" w:sz="12" w:space="4" w:color="1B365D"/>
        </w:pBdr>
      </w:pPr>
      <w:r>
        <w:rPr>
          <w:rFonts w:ascii="Arial" w:hAnsi="Arial"/>
          <w:b/>
          <w:color w:val="1B365D"/>
          <w:sz w:val="28"/>
        </w:rPr>
        <w:t>13. Final Model Selection</w:t>
      </w:r>
    </w:p>
    <w:p>
      <w:pPr>
        <w:spacing w:before="0" w:after="120" w:line="276" w:lineRule="auto"/>
      </w:pPr>
      <w:r>
        <w:t>Final Champion Selection: Random Forest Classifier</w:t>
        <w:br/>
        <w:br/>
        <w:t>Justification:</w:t>
        <w:br/>
        <w:t>1. Test Performance: Random Forest was selected as the champion model for this experiment because it achieved the strongest held-out test performance among the evaluated models (100.0% accuracy, Macro F1 = 1.0000, ROC-AUC = 1.0000). This conclusion is specific to the dataset and evaluation protocol used in this study. While the model attained 100% accuracy on the test set, this evaluation split contains 36 observations, so performance should be validated across broader sampling in future work.</w:t>
        <w:br/>
        <w:t>2. Variance Control: By ensembling 100 decorrelated trees with bootstrap aggregation, Random Forest reduced the variance observed in the single decision tree.</w:t>
        <w:br/>
        <w:t>3. Scale Invariance: Random Forest is natively invariant to monotonic feature scaling and robust to feature magnitude differences.</w:t>
        <w:br/>
        <w:t>4. Feature Attribution: The feature-importance ranking identifies variables that contributed strongly to the Random Forest's decision structure. These rankings represent model-specific associations and should not be interpreted as evidence of causal biochemical effects.</w:t>
        <w:br/>
        <w:br/>
        <w:t>Alternative Candidate: Standardized Logistic Regression represents a strong, interpretable alternative (97.22% test accuracy, 1.0000 ROC-AUC) when simple linear coefficients and fast inference are desired.</w:t>
      </w:r>
    </w:p>
    <w:p>
      <w:pPr>
        <w:spacing w:before="280" w:after="80" w:line="276" w:lineRule="auto"/>
        <w:pBdr>
          <w:bottom w:val="single" w:sz="12" w:space="4" w:color="1B365D"/>
        </w:pBdr>
      </w:pPr>
      <w:r>
        <w:rPr>
          <w:rFonts w:ascii="Arial" w:hAnsi="Arial"/>
          <w:b/>
          <w:color w:val="1B365D"/>
          <w:sz w:val="28"/>
        </w:rPr>
        <w:t>14. Limitations</w:t>
      </w:r>
    </w:p>
    <w:p>
      <w:pPr>
        <w:spacing w:before="0" w:after="120" w:line="276" w:lineRule="auto"/>
      </w:pPr>
      <w:r>
        <w:t>The findings of this study should be evaluated within the context of several limitations:</w:t>
        <w:br/>
        <w:br/>
        <w:t>1. Sample Size Constraint: The dataset contains 178 total observations (36 test samples). While standard for benchmarking, the small sample size increases confidence interval widths, and 100% test accuracy on 36 samples should not be assumed to guarantee error-free performance on new datasets.</w:t>
        <w:br/>
        <w:br/>
        <w:t>2. Single Geographic Region: All wine samples originate from the Piedmont region in Italy. The model may not generalize directly to identical cultivars cultivated in different soil types, climates, or winemaking processes.</w:t>
        <w:br/>
        <w:br/>
        <w:t>3. Temporal Invariance: The dataset does not include longitudinal multi-vintage time series data. Annual weather differences can alter phenolic concentrations, which may require periodic recalibration.</w:t>
        <w:br/>
        <w:br/>
        <w:t>4. Fixed Partition: Although stratified, evaluation on a single 80/20 train/test split could be sensitive to the chosen random seed.</w:t>
      </w:r>
    </w:p>
    <w:p>
      <w:pPr>
        <w:spacing w:before="280" w:after="80" w:line="276" w:lineRule="auto"/>
        <w:pBdr>
          <w:bottom w:val="single" w:sz="12" w:space="4" w:color="1B365D"/>
        </w:pBdr>
      </w:pPr>
      <w:r>
        <w:rPr>
          <w:rFonts w:ascii="Arial" w:hAnsi="Arial"/>
          <w:b/>
          <w:color w:val="1B365D"/>
          <w:sz w:val="28"/>
        </w:rPr>
        <w:t>15. Improvement Strategies</w:t>
      </w:r>
    </w:p>
    <w:p>
      <w:pPr>
        <w:spacing w:before="0" w:after="120" w:line="276" w:lineRule="auto"/>
      </w:pPr>
      <w:r>
        <w:t>To provide further experimental robustness beyond the current baseline pipeline, the following future research and engineering enhancements are proposed:</w:t>
        <w:br/>
        <w:br/>
        <w:t>1. Stratified Cross-Validation: Implementing repeated Stratified K-Fold cross-validation will provide more comprehensive variance estimates across multiple dataset partitions.</w:t>
        <w:br/>
        <w:br/>
        <w:t>2. Hyperparameter Optimization: Conducting systematic search (such as GridSearchCV or RandomizedSearchCV) over Random Forest parameters (e.g., min_samples_split, max_features, criterion) and Logistic Regression regularization strength (C).</w:t>
        <w:br/>
        <w:br/>
        <w:t>3. Feature Selection: Utilizing feature importance rankings (color_intensity, flavanoids, proline, alcohol) or Recursive Feature Elimination (RFE) to identify compact feature subsets, potentially reducing laboratory measurement requirements without major loss in accuracy.</w:t>
        <w:br/>
        <w:br/>
        <w:t>4. Additional Algorithm Benchmarking: Testing algorithms such as Gradient Boosting or Support Vector Machines (SVM with RBF kernel) on expanded datasets.</w:t>
        <w:br/>
        <w:br/>
        <w:t>5. External Dataset Validation: Testing model generalization on wine datasets collected from different wine-growing regions.</w:t>
      </w:r>
    </w:p>
    <w:p>
      <w:pPr>
        <w:spacing w:before="280" w:after="80" w:line="276" w:lineRule="auto"/>
        <w:pBdr>
          <w:bottom w:val="single" w:sz="12" w:space="4" w:color="1B365D"/>
        </w:pBdr>
      </w:pPr>
      <w:r>
        <w:rPr>
          <w:rFonts w:ascii="Arial" w:hAnsi="Arial"/>
          <w:b/>
          <w:color w:val="1B365D"/>
          <w:sz w:val="28"/>
        </w:rPr>
        <w:t>16. Conclusion</w:t>
      </w:r>
    </w:p>
    <w:p>
      <w:pPr>
        <w:spacing w:before="0" w:after="120" w:line="276" w:lineRule="auto"/>
      </w:pPr>
      <w:r>
        <w:t>This project successfully developed and evaluated a reproducible machine learning pipeline for wine cultivar classification. The experimental results demonstrate that 13 physicochemical measurements provide strong predictive signal for classifying Italian wine cultivars. The Random Forest model achieved strong test performance (100.0% test accuracy, 1.0000 F1-score), while Logistic Regression demonstrated effective baseline performance (97.22% test accuracy, 1.0000 ROC-AUC). The complete codebase and experimental protocol satisfy standard data science practices of data hygiene, leakage prevention, and computational reproducibility.</w:t>
      </w:r>
    </w:p>
    <w:p>
      <w:pPr>
        <w:spacing w:before="280" w:after="80" w:line="276" w:lineRule="auto"/>
        <w:pBdr>
          <w:bottom w:val="single" w:sz="12" w:space="4" w:color="1B365D"/>
        </w:pBdr>
      </w:pPr>
      <w:r>
        <w:rPr>
          <w:rFonts w:ascii="Arial" w:hAnsi="Arial"/>
          <w:b/>
          <w:color w:val="1B365D"/>
          <w:sz w:val="28"/>
        </w:rPr>
        <w:t>17. References</w:t>
      </w:r>
    </w:p>
    <w:p>
      <w:pPr>
        <w:spacing w:before="0" w:after="120" w:line="276" w:lineRule="auto"/>
      </w:pPr>
      <w:r>
        <w:t>1. Forina, M., Armanino, C., Castino, M., &amp; Ubigli, M. (1988). Multivariate data analysis as a discriminating tool of the origin of wines. Vitis, 25(3), 189-201.</w:t>
        <w:br/>
        <w:br/>
        <w:t>2. Breiman, L. (2001). Random Forests. Machine Learning, 45(1), 5-32. https://doi.org/10.1023/A:1010933404324</w:t>
        <w:br/>
        <w:br/>
        <w:t>3. Pedregosa, F., Varoquaux, G., Gramfort, A., Michel, V., Thirion, B., Grisel, O., Blondel, M., Prettenhofer, P., Weiss, R., Dubourg, V., Vanderplas, J., Passos, A., Cournapeau, D., Brucher, M., Perrot, M., &amp; Duchesnay, E. (2011). Scikit-learn: Machine Learning in Python. Journal of Machine Learning Research, 12, 2825-2830.</w:t>
        <w:br/>
        <w:br/>
        <w:t>4. Hastie, T., Tibshirani, R., &amp; Friedman, J. (2009). The Elements of Statistical Learning: Data Mining, Inference, and Prediction (2nd ed.). Springer New York.</w:t>
        <w:br/>
        <w:br/>
        <w:t>5. Bishop, C. M. (2006). Pattern Recognition and Machine Learning. Springer New York.</w:t>
      </w:r>
    </w:p>
    <w:p>
      <w:pPr>
        <w:spacing w:before="280" w:after="80" w:line="276" w:lineRule="auto"/>
        <w:pBdr>
          <w:bottom w:val="single" w:sz="12" w:space="4" w:color="1B365D"/>
        </w:pBdr>
      </w:pPr>
      <w:r>
        <w:rPr>
          <w:rFonts w:ascii="Arial" w:hAnsi="Arial"/>
          <w:b/>
          <w:color w:val="1B365D"/>
          <w:sz w:val="28"/>
        </w:rPr>
        <w:t>Selected Python Code Snippets</w:t>
      </w:r>
    </w:p>
    <w:p>
      <w:pPr>
        <w:spacing w:before="0" w:after="120" w:line="276" w:lineRule="auto"/>
      </w:pPr>
      <w:r>
        <w:t>The following concise Python snippets illustrate the core implementation of the machine learning pipeline, demonstrating data splitting, leakage-free pipeline construction, model training, and multiclass evaluation.</w:t>
      </w:r>
    </w:p>
    <w:p>
      <w:pPr>
        <w:spacing w:before="160" w:after="40" w:line="276" w:lineRule="auto"/>
      </w:pPr>
      <w:r>
        <w:rPr>
          <w:rFonts w:ascii="Arial" w:hAnsi="Arial"/>
          <w:b/>
          <w:color w:val="1B365D"/>
          <w:sz w:val="20"/>
        </w:rPr>
        <w:t>Code Snippet: 1. Stratified Data Partitioning</w:t>
      </w:r>
    </w:p>
    <w:tbl>
      <w:tblPr>
        <w:tblW w:type="auto" w:w="0"/>
        <w:jc w:val="center"/>
        <w:tblLayout w:type="fixed"/>
        <w:tblLook w:firstColumn="1" w:firstRow="1" w:lastColumn="0" w:lastRow="0" w:noHBand="0" w:noVBand="1" w:val="04A0"/>
      </w:tblPr>
      <w:tblGrid>
        <w:gridCol w:w="9360"/>
      </w:tblGrid>
      <w:tr>
        <w:tc>
          <w:tcPr>
            <w:tcW w:type="dxa" w:w="9360"/>
            <w:shd w:fill="F7F9FA"/>
            <w:tcMar>
              <w:top w:w="120" w:type="dxa"/>
              <w:bottom w:w="120" w:type="dxa"/>
              <w:left w:w="150" w:type="dxa"/>
              <w:right w:w="150" w:type="dxa"/>
            </w:tcMar>
            <w:tcBorders>
              <w:left w:val="single" w:sz="18" w:space="0" w:color="4A5568"/>
              <w:top w:val="single" w:sz="4" w:space="0" w:color="E2E8F0"/>
              <w:right w:val="single" w:sz="4" w:space="0" w:color="E2E8F0"/>
              <w:bottom w:val="single" w:sz="4" w:space="0" w:color="E2E8F0"/>
            </w:tcBorders>
          </w:tcPr>
          <w:p>
            <w:pPr>
              <w:spacing w:before="0" w:after="0" w:line="252" w:lineRule="auto"/>
            </w:pPr>
            <w:r>
              <w:rPr>
                <w:rFonts w:ascii="Consolas" w:hAnsi="Consolas"/>
                <w:color w:val="1E1E1E"/>
                <w:sz w:val="17"/>
              </w:rPr>
              <w:t># 1. Stratified Train/Test Split (80/20) with Fixed Random State</w:t>
              <w:br/>
              <w:t>from sklearn.model_selection import train_test_split</w:t>
              <w:br/>
              <w:br/>
              <w:t>X = wine_df.drop(columns=['target'])</w:t>
              <w:br/>
              <w:t>y = wine_df['target']</w:t>
              <w:br/>
              <w:br/>
              <w:t>X_train, X_test, y_train, y_test = train_test_split(</w:t>
              <w:br/>
              <w:t xml:space="preserve">    X, y, test_size=0.20, random_state=42, stratify=y</w:t>
              <w:br/>
              <w:t>)</w:t>
            </w:r>
          </w:p>
        </w:tc>
      </w:tr>
    </w:tbl>
    <w:p>
      <w:pPr>
        <w:spacing w:before="0" w:after="80" w:line="276" w:lineRule="auto"/>
      </w:pPr>
    </w:p>
    <w:p>
      <w:pPr>
        <w:spacing w:before="160" w:after="40" w:line="276" w:lineRule="auto"/>
      </w:pPr>
      <w:r>
        <w:rPr>
          <w:rFonts w:ascii="Arial" w:hAnsi="Arial"/>
          <w:b/>
          <w:color w:val="1B365D"/>
          <w:sz w:val="20"/>
        </w:rPr>
        <w:t>Code Snippet: 2. Pipeline Construction and Model Training</w:t>
      </w:r>
    </w:p>
    <w:tbl>
      <w:tblPr>
        <w:tblW w:type="auto" w:w="0"/>
        <w:jc w:val="center"/>
        <w:tblLayout w:type="fixed"/>
        <w:tblLook w:firstColumn="1" w:firstRow="1" w:lastColumn="0" w:lastRow="0" w:noHBand="0" w:noVBand="1" w:val="04A0"/>
      </w:tblPr>
      <w:tblGrid>
        <w:gridCol w:w="9360"/>
      </w:tblGrid>
      <w:tr>
        <w:tc>
          <w:tcPr>
            <w:tcW w:type="dxa" w:w="9360"/>
            <w:shd w:fill="F7F9FA"/>
            <w:tcMar>
              <w:top w:w="120" w:type="dxa"/>
              <w:bottom w:w="120" w:type="dxa"/>
              <w:left w:w="150" w:type="dxa"/>
              <w:right w:w="150" w:type="dxa"/>
            </w:tcMar>
            <w:tcBorders>
              <w:left w:val="single" w:sz="18" w:space="0" w:color="4A5568"/>
              <w:top w:val="single" w:sz="4" w:space="0" w:color="E2E8F0"/>
              <w:right w:val="single" w:sz="4" w:space="0" w:color="E2E8F0"/>
              <w:bottom w:val="single" w:sz="4" w:space="0" w:color="E2E8F0"/>
            </w:tcBorders>
          </w:tcPr>
          <w:p>
            <w:pPr>
              <w:spacing w:before="0" w:after="0" w:line="252" w:lineRule="auto"/>
            </w:pPr>
            <w:r>
              <w:rPr>
                <w:rFonts w:ascii="Consolas" w:hAnsi="Consolas"/>
                <w:color w:val="1E1E1E"/>
                <w:sz w:val="17"/>
              </w:rPr>
              <w:t># 2. Leakage-Free Pipeline Construction and Model Training</w:t>
              <w:br/>
              <w:t>from sklearn.pipeline import Pipeline</w:t>
              <w:br/>
              <w:t>from sklearn.preprocessing import StandardScaler</w:t>
              <w:br/>
              <w:t>from sklearn.linear_model import LogisticRegression</w:t>
              <w:br/>
              <w:t>from sklearn.ensemble import RandomForestClassifier</w:t>
              <w:br/>
              <w:br/>
              <w:t># Standardized Logistic Regression Pipeline</w:t>
              <w:br/>
              <w:t>lr_pipeline = Pipeline([</w:t>
              <w:br/>
              <w:t xml:space="preserve">    ('scaler', StandardScaler()),</w:t>
              <w:br/>
              <w:t xml:space="preserve">    ('classifier', LogisticRegression(random_state=42, max_iter=1000))</w:t>
              <w:br/>
              <w:t>])</w:t>
              <w:br/>
              <w:t>lr_pipeline.fit(X_train, y_train)</w:t>
              <w:br/>
              <w:br/>
              <w:t># Random Forest Ensemble Pipeline</w:t>
              <w:br/>
              <w:t>rf_pipeline = Pipeline([</w:t>
              <w:br/>
              <w:t xml:space="preserve">    ('classifier', RandomForestClassifier(n_estimators=100, max_depth=4, random_state=42))</w:t>
              <w:br/>
              <w:t>])</w:t>
              <w:br/>
              <w:t>rf_pipeline.fit(X_train, y_train)</w:t>
            </w:r>
          </w:p>
        </w:tc>
      </w:tr>
    </w:tbl>
    <w:p>
      <w:pPr>
        <w:spacing w:before="0" w:after="80" w:line="276" w:lineRule="auto"/>
      </w:pPr>
    </w:p>
    <w:p>
      <w:pPr>
        <w:spacing w:before="160" w:after="40" w:line="276" w:lineRule="auto"/>
      </w:pPr>
      <w:r>
        <w:rPr>
          <w:rFonts w:ascii="Arial" w:hAnsi="Arial"/>
          <w:b/>
          <w:color w:val="1B365D"/>
          <w:sz w:val="20"/>
        </w:rPr>
        <w:t>Code Snippet: 3. Multiclass Evaluation and Metrics Calculation</w:t>
      </w:r>
    </w:p>
    <w:tbl>
      <w:tblPr>
        <w:tblW w:type="auto" w:w="0"/>
        <w:jc w:val="center"/>
        <w:tblLayout w:type="fixed"/>
        <w:tblLook w:firstColumn="1" w:firstRow="1" w:lastColumn="0" w:lastRow="0" w:noHBand="0" w:noVBand="1" w:val="04A0"/>
      </w:tblPr>
      <w:tblGrid>
        <w:gridCol w:w="9360"/>
      </w:tblGrid>
      <w:tr>
        <w:tc>
          <w:tcPr>
            <w:tcW w:type="dxa" w:w="9360"/>
            <w:shd w:fill="F7F9FA"/>
            <w:tcMar>
              <w:top w:w="120" w:type="dxa"/>
              <w:bottom w:w="120" w:type="dxa"/>
              <w:left w:w="150" w:type="dxa"/>
              <w:right w:w="150" w:type="dxa"/>
            </w:tcMar>
            <w:tcBorders>
              <w:left w:val="single" w:sz="18" w:space="0" w:color="4A5568"/>
              <w:top w:val="single" w:sz="4" w:space="0" w:color="E2E8F0"/>
              <w:right w:val="single" w:sz="4" w:space="0" w:color="E2E8F0"/>
              <w:bottom w:val="single" w:sz="4" w:space="0" w:color="E2E8F0"/>
            </w:tcBorders>
          </w:tcPr>
          <w:p>
            <w:pPr>
              <w:spacing w:before="0" w:after="0" w:line="252" w:lineRule="auto"/>
            </w:pPr>
            <w:r>
              <w:rPr>
                <w:rFonts w:ascii="Consolas" w:hAnsi="Consolas"/>
                <w:color w:val="1E1E1E"/>
                <w:sz w:val="17"/>
              </w:rPr>
              <w:t># 3. Multiclass Evaluation and One-vs-Rest ROC AUC Computation</w:t>
              <w:br/>
              <w:t>from sklearn.metrics import accuracy_score, f1_score, roc_auc_score, confusion_matrix</w:t>
              <w:br/>
              <w:br/>
              <w:t>y_pred = rf_pipeline.predict(X_test)</w:t>
              <w:br/>
              <w:t>y_prob = rf_pipeline.predict_proba(X_test)</w:t>
              <w:br/>
              <w:br/>
              <w:t>acc = accuracy_score(y_test, y_pred)</w:t>
              <w:br/>
              <w:t>f1_macro = f1_score(y_test, y_pred, average='macro')</w:t>
              <w:br/>
              <w:t>roc_auc_ovr = roc_auc_score(y_test, y_prob, multi_class='ovr', average='macro')</w:t>
              <w:br/>
              <w:t>cm = confusion_matrix(y_test, y_pred)</w:t>
            </w:r>
          </w:p>
        </w:tc>
      </w:tr>
    </w:tbl>
    <w:p>
      <w:pPr>
        <w:spacing w:before="0" w:after="80" w:line="276" w:lineRule="auto"/>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