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280" w:after="80"/>
        <w:jc w:val="center"/>
      </w:pPr>
      <w:r>
        <w:rPr>
          <w:rFonts w:ascii="Calibri" w:hAnsi="Calibri"/>
          <w:b/>
          <w:color w:val="1B365D"/>
          <w:sz w:val="36"/>
        </w:rPr>
        <w:t>Week 3: Statistical Analysis &amp; Hypothesis Testing</w:t>
        <w:br/>
      </w:r>
      <w:r>
        <w:rPr>
          <w:rFonts w:ascii="Calibri" w:hAnsi="Calibri"/>
          <w:i/>
          <w:color w:val="008080"/>
          <w:sz w:val="23"/>
        </w:rPr>
        <w:t>An Empirical Investigation into Physicochemical Determinants of Sensory Wine Quality</w:t>
      </w:r>
    </w:p>
    <w:p>
      <w:pPr>
        <w:spacing w:before="0" w:after="160"/>
      </w:pPr>
    </w:p>
    <w:p>
      <w:pPr>
        <w:keepNext/>
        <w:widowControl/>
        <w:spacing w:before="280" w:after="80"/>
      </w:pPr>
      <w:r>
        <w:rPr>
          <w:rFonts w:ascii="Calibri" w:hAnsi="Calibri"/>
          <w:b/>
          <w:color w:val="1B365D"/>
          <w:sz w:val="26"/>
        </w:rPr>
        <w:t>Executive Summary</w:t>
      </w:r>
    </w:p>
    <w:p>
      <w:pPr>
        <w:widowControl/>
        <w:spacing w:before="0" w:after="100" w:line="276" w:lineRule="auto"/>
      </w:pPr>
      <w:r>
        <w:rPr>
          <w:rFonts w:ascii="Calibri" w:hAnsi="Calibri"/>
          <w:color w:val="2D3748"/>
          <w:sz w:val="19"/>
        </w:rPr>
        <w:t>This study presents an end-to-end, rigorous inferential statistical analysis evaluating whether ethanol concentration (alcohol percentage by volume) differs significantly across sensory quality ratings in red wine. Utilizing the authoritative University of California, Irvine (UCI) Wine Quality dataset (N = 1,599 observations), we systematically formulate testable scientific hypotheses, assess critical mathematical assumptions (normality of residuals, variance homogeneity, and observational independence), conduct omnibus parametric and non-parametric hypothesis tests, compute multiple-comparison post-hoc confidence intervals, and evaluate effect sizes.</w:t>
      </w:r>
    </w:p>
    <w:p>
      <w:pPr>
        <w:widowControl/>
        <w:spacing w:before="0" w:after="100" w:line="276" w:lineRule="auto"/>
      </w:pPr>
      <w:r>
        <w:rPr>
          <w:rFonts w:ascii="Calibri" w:hAnsi="Calibri"/>
          <w:color w:val="2D3748"/>
          <w:sz w:val="19"/>
        </w:rPr>
        <w:t>The primary research hypothesis was evaluated using a One-Way Analysis of Variance (ANOVA). The omnibus test yielded a statistically significant result, F(5, 1593) = 115.85, p = 1.21e-104 (α = 0.05). The effect size indicated substantial practical importance, with Eta-squared (η²) = 0.2667 and Omega-squared (ω²) = 0.2642, demonstrating that approximately 26.4% of total population variance in alcohol concentration is explained by quality tier. Post-hoc Tukey Honestly Significant Difference (HSD) tests established that higher-quality wines (ratings 7 and 8) possess significantly greater mean alcohol content (μ = 11.47% and μ = 12.09%) than lower-quality wines (ratings 3, 4, and 5; μ = 9.96%, 10.27%, and 9.90%).</w:t>
      </w:r>
    </w:p>
    <w:p>
      <w:pPr>
        <w:widowControl/>
        <w:spacing w:before="0" w:after="100" w:line="276" w:lineRule="auto"/>
      </w:pPr>
      <w:r>
        <w:rPr>
          <w:rFonts w:ascii="Calibri" w:hAnsi="Calibri"/>
          <w:color w:val="2D3748"/>
          <w:sz w:val="19"/>
        </w:rPr>
        <w:t>Secondary hypothesis testing via Welch's independent samples t-test confirmed that high-quality wines (quality ≥ 7, n = 217) exhibit a significantly higher mean alcohol level than lower-quality wines (quality ≤ 5, n = 744), with a mean difference of +1.59% vol (95% CI: [1.45%, 1.74%]), t(292.4) = 21.73, p = 5.44e-63, and an exceptionally large standardized effect size (Cohen's d = 1.95, Hedges' g = 1.94). Robustness checks utilizing the Kruskal-Wallis H-test (H = 412.38, p &lt; 0.001) and Mann-Whitney U test (p &lt; 0.001) confirmed that conclusions remain invariant under non-parametric conditions. While statistical significance is overwhelming, we explicitly differentiate statistical association from causal attribution, discussing chemical kinetics, fermentation completeness, and viticultural constraints.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bottom w:w="140" w:type="dxa"/>
              <w:left w:w="200" w:type="dxa"/>
              <w:right w:w="200" w:type="dxa"/>
            </w:tcMar>
            <w:tcBorders>
              <w:left w:val="single" w:sz="24" w:color="1B365D"/>
              <w:top w:val="none"/>
              <w:right w:val="none"/>
              <w:bottom w:val="none"/>
            </w:tcBorders>
          </w:tcPr>
          <w:p>
            <w:pPr>
              <w:widowControl/>
              <w:spacing w:before="0" w:after="80"/>
            </w:pPr>
            <w:r>
              <w:rPr>
                <w:rFonts w:ascii="Calibri" w:hAnsi="Calibri"/>
                <w:b/>
                <w:color w:val="1B365D"/>
                <w:sz w:val="21"/>
              </w:rPr>
              <w:t>EXECUTIVE SUMMARY DECISION MATRIX</w:t>
              <w:br/>
            </w:r>
            <w:r>
              <w:rPr>
                <w:rFonts w:ascii="Calibri" w:hAnsi="Calibri"/>
                <w:color w:val="2D3748"/>
                <w:sz w:val="19"/>
              </w:rPr>
              <w:t>Primary ANOVA Decision: Reject H₀ (F(5, 1593) = 115.85, p &lt; 0.001, η² = 0.2667, ω² = 0.2642).</w:t>
              <w:br/>
              <w:t>Secondary Welch t-Test: Reject H₀,sec (Mean Diff = +1.59% vol, 95% CI: [1.45%, 1.74%], t(292.4) = 21.73, p &lt; 0.001, Cohen's d = 1.95).</w:t>
              <w:br/>
              <w:t>Conclusion: Higher sensory wine quality is strongly associated with elevated ethanol content, reflecting grape physiological maturity, complete fermentation, and structural body.</w:t>
            </w:r>
          </w:p>
        </w:tc>
      </w:tr>
    </w:tbl>
    <w:p>
      <w:pPr>
        <w:spacing w:before="0" w:after="80"/>
      </w:pPr>
    </w:p>
    <w:p>
      <w:pPr>
        <w:keepNext/>
        <w:widowControl/>
        <w:spacing w:before="280" w:after="80"/>
      </w:pPr>
      <w:r>
        <w:rPr>
          <w:rFonts w:ascii="Calibri" w:hAnsi="Calibri"/>
          <w:b/>
          <w:color w:val="1B365D"/>
          <w:sz w:val="26"/>
        </w:rPr>
        <w:t>1. Introduction</w:t>
      </w:r>
    </w:p>
    <w:p>
      <w:pPr>
        <w:widowControl/>
        <w:spacing w:before="0" w:after="100" w:line="276" w:lineRule="auto"/>
      </w:pPr>
      <w:r>
        <w:rPr>
          <w:rFonts w:ascii="Calibri" w:hAnsi="Calibri"/>
          <w:color w:val="2D3748"/>
          <w:sz w:val="19"/>
        </w:rPr>
        <w:t>In oenology and food science, quantitative chemical profiles govern the sensory perception, mouthfeel, and overall consumer acceptance of commercial wines. Among all physicochemical properties, ethanol concentration (alcohol content % vol) plays a multidimensional role: it acts as a primary solvent for volatile aromatic esters, modulates perceived acidity and sweetness, contributes to viscosity ('body'), and serves as an indicator of grape maturity and fermentation completeness. Despite its prominence, the precise quantitative relationship between laboratory-measured alcohol content and blind sensory quality ratings requires formal statistical evaluation.</w:t>
      </w:r>
    </w:p>
    <w:p>
      <w:pPr>
        <w:widowControl/>
        <w:spacing w:before="0" w:after="100" w:line="276" w:lineRule="auto"/>
      </w:pPr>
      <w:r>
        <w:rPr>
          <w:rFonts w:ascii="Calibri" w:hAnsi="Calibri"/>
          <w:color w:val="2D3748"/>
          <w:sz w:val="19"/>
        </w:rPr>
        <w:t>Hypothesis testing provides an essential mathematical framework for testing whether observed differences between experimental groups reflect genuine population-level phenomena or merely random sampling fluctuations. This study executes a complete inferential pipeline, adhering strictly to reproducible research principles, mathematical rigor, diagnostic assumption verification, and nuanced practical interpretation.</w:t>
      </w:r>
    </w:p>
    <w:p>
      <w:pPr>
        <w:keepNext/>
        <w:widowControl/>
        <w:spacing w:before="280" w:after="80"/>
      </w:pPr>
      <w:r>
        <w:rPr>
          <w:rFonts w:ascii="Calibri" w:hAnsi="Calibri"/>
          <w:b/>
          <w:color w:val="1B365D"/>
          <w:sz w:val="26"/>
        </w:rPr>
        <w:t>2. Research Problem</w:t>
      </w:r>
    </w:p>
    <w:p>
      <w:pPr>
        <w:widowControl/>
        <w:spacing w:before="0" w:after="100" w:line="276" w:lineRule="auto"/>
      </w:pPr>
      <w:r>
        <w:rPr>
          <w:rFonts w:ascii="Calibri" w:hAnsi="Calibri"/>
          <w:color w:val="2D3748"/>
          <w:sz w:val="19"/>
        </w:rPr>
        <w:t>Winemakers and commercial distributors face critical decisions regarding grape harvest timing, fermentation management, and blend formulation. A persistent question in viticultural quality assurance is whether higher sensory wine ratings—assigned by certified oenology panels—are systematically associated with distinct levels of alcohol content, or whether wine quality is independent of ethanol percentage across the typical commercial spectrum.</w:t>
      </w:r>
    </w:p>
    <w:p>
      <w:pPr>
        <w:widowControl/>
        <w:spacing w:before="0" w:after="100" w:line="276" w:lineRule="auto"/>
      </w:pPr>
      <w:r>
        <w:rPr>
          <w:rFonts w:ascii="Calibri" w:hAnsi="Calibri"/>
          <w:color w:val="2D3748"/>
          <w:sz w:val="19"/>
        </w:rPr>
        <w:t>From an inferential standpoint, answering this question requires addressing two core analytical challenges: (1) evaluating group-wise differences across the entire multi-level quality rating hierarchy without inflating the Family-Wise Error Rate (FWER), and (2) comparing polarized quality tiers (premium vs. commercial baseline) while properly handling unequal sample sizes and potential variance heterogeneity.</w:t>
      </w:r>
    </w:p>
    <w:p>
      <w:pPr>
        <w:keepNext/>
        <w:widowControl/>
        <w:spacing w:before="280" w:after="80"/>
      </w:pPr>
      <w:r>
        <w:rPr>
          <w:rFonts w:ascii="Calibri" w:hAnsi="Calibri"/>
          <w:b/>
          <w:color w:val="1B365D"/>
          <w:sz w:val="26"/>
        </w:rPr>
        <w:t>3. Dataset and Data Source</w:t>
      </w:r>
    </w:p>
    <w:p>
      <w:pPr>
        <w:widowControl/>
        <w:spacing w:before="0" w:after="100" w:line="276" w:lineRule="auto"/>
      </w:pPr>
      <w:r>
        <w:rPr>
          <w:rFonts w:ascii="Calibri" w:hAnsi="Calibri"/>
          <w:color w:val="2D3748"/>
          <w:sz w:val="19"/>
        </w:rPr>
        <w:t>This project utilizes the authoritative Red Wine Quality dataset compiled by Cortez, Cerdeira, Almeida, Matos, and Reis (2009), hosted publicly on the University of California, Irvine (UCI) Machine Learning Repository. The dataset comprises N = 1,599 red wine samples of the Portuguese 'Vinho Verde' denomination. Each observation consists of 11 objective physicochemical laboratory measurements and one sensory quality score.</w:t>
      </w:r>
    </w:p>
    <w:p>
      <w:pPr>
        <w:widowControl/>
        <w:spacing w:before="0" w:after="100" w:line="276" w:lineRule="auto"/>
      </w:pPr>
      <w:r>
        <w:rPr>
          <w:rFonts w:ascii="Calibri" w:hAnsi="Calibri"/>
          <w:color w:val="2D3748"/>
          <w:sz w:val="19"/>
        </w:rPr>
        <w:t>Physicochemical features include: fixed acidity (g(tartaric acid)/dm³), volatile acidity (g(acetic acid)/dm³), citric acid (g/dm³), residual sugar (g/dm³), chlorides (g(sodium chloride)/dm³), free sulfur dioxide (mg/dm³), total sulfur dioxide (mg/dm³), density (g/cm³), pH, sulphates (g(potassium sulphate)/dm³), and alcohol (% by volume). The sensory quality score is an integer scale from 0 (very bad) to 10 (very excellent), determined by the median evaluation of at least three trained sensory assessors in standardized blind tastings.</w:t>
      </w:r>
    </w:p>
    <w:p>
      <w:pPr>
        <w:keepNext/>
        <w:widowControl/>
        <w:spacing w:before="280" w:after="80"/>
      </w:pPr>
      <w:r>
        <w:rPr>
          <w:rFonts w:ascii="Calibri" w:hAnsi="Calibri"/>
          <w:b/>
          <w:color w:val="1B365D"/>
          <w:sz w:val="26"/>
        </w:rPr>
        <w:t>4. Research Questions</w:t>
      </w:r>
    </w:p>
    <w:p>
      <w:pPr>
        <w:widowControl/>
        <w:spacing w:before="0" w:after="100" w:line="276" w:lineRule="auto"/>
      </w:pPr>
      <w:r>
        <w:rPr>
          <w:rFonts w:ascii="Calibri" w:hAnsi="Calibri"/>
          <w:color w:val="2D3748"/>
          <w:sz w:val="19"/>
        </w:rPr>
        <w:t>We establish two formal research questions to guide our empirical investigation:</w:t>
      </w:r>
    </w:p>
    <w:p>
      <w:pPr>
        <w:widowControl/>
        <w:spacing w:before="0" w:after="100" w:line="276" w:lineRule="auto"/>
      </w:pPr>
      <w:r>
        <w:rPr>
          <w:rFonts w:ascii="Calibri" w:hAnsi="Calibri"/>
          <w:color w:val="2D3748"/>
          <w:sz w:val="19"/>
        </w:rPr>
        <w:t>• Primary Research Question: Does the population mean alcohol content (% by volume) differ significantly across wine quality levels (scores 3 through 8)?</w:t>
      </w:r>
    </w:p>
    <w:p>
      <w:pPr>
        <w:widowControl/>
        <w:spacing w:before="0" w:after="100" w:line="276" w:lineRule="auto"/>
      </w:pPr>
      <w:r>
        <w:rPr>
          <w:rFonts w:ascii="Calibri" w:hAnsi="Calibri"/>
          <w:color w:val="2D3748"/>
          <w:sz w:val="19"/>
        </w:rPr>
        <w:t>• Secondary Research Question: Do premium, high-quality red wines (quality score ≥ 7) have a significantly higher mean alcohol content than low-to-moderate quality red wines (quality score ≤ 5)?</w:t>
      </w:r>
    </w:p>
    <w:p>
      <w:pPr>
        <w:keepNext/>
        <w:widowControl/>
        <w:spacing w:before="280" w:after="80"/>
      </w:pPr>
      <w:r>
        <w:rPr>
          <w:rFonts w:ascii="Calibri" w:hAnsi="Calibri"/>
          <w:b/>
          <w:color w:val="1B365D"/>
          <w:sz w:val="26"/>
        </w:rPr>
        <w:t>5. Hypotheses Formulation</w:t>
      </w:r>
    </w:p>
    <w:p>
      <w:pPr>
        <w:keepNext/>
        <w:widowControl/>
        <w:spacing w:before="200" w:after="60"/>
      </w:pPr>
      <w:r>
        <w:rPr>
          <w:rFonts w:ascii="Calibri" w:hAnsi="Calibri"/>
          <w:b/>
          <w:color w:val="008080"/>
          <w:sz w:val="22"/>
        </w:rPr>
        <w:t>5.1 Primary Omnibus Hypothesis (One-Way ANOVA)</w:t>
      </w:r>
    </w:p>
    <w:p>
      <w:pPr>
        <w:widowControl/>
        <w:spacing w:before="0" w:after="100" w:line="276" w:lineRule="auto"/>
      </w:pPr>
      <w:r>
        <w:rPr>
          <w:rFonts w:ascii="Calibri" w:hAnsi="Calibri"/>
          <w:color w:val="2D3748"/>
          <w:sz w:val="19"/>
        </w:rPr>
        <w:t>• Null Hypothesis (H₀): The population mean alcohol content is identical across all six wine quality groups:</w:t>
        <w:br/>
        <w:t xml:space="preserve">  H₀: μ₃ = μ₄ = μ₅ = μ₆ = μ₇ = μ₈</w:t>
      </w:r>
    </w:p>
    <w:p>
      <w:pPr>
        <w:widowControl/>
        <w:spacing w:before="0" w:after="100" w:line="276" w:lineRule="auto"/>
      </w:pPr>
      <w:r>
        <w:rPr>
          <w:rFonts w:ascii="Calibri" w:hAnsi="Calibri"/>
          <w:color w:val="2D3748"/>
          <w:sz w:val="19"/>
        </w:rPr>
        <w:t>• Alternative Hypothesis (H₁): At least one wine quality group possesses a population mean alcohol content that differs from the others:</w:t>
        <w:br/>
        <w:t xml:space="preserve">  H₁: ∃ i, j ∈ {3, 4, 5, 6, 7, 8} such that μᵢ ≠ μⱼ</w:t>
      </w:r>
    </w:p>
    <w:p>
      <w:pPr>
        <w:keepNext/>
        <w:widowControl/>
        <w:spacing w:before="200" w:after="60"/>
      </w:pPr>
      <w:r>
        <w:rPr>
          <w:rFonts w:ascii="Calibri" w:hAnsi="Calibri"/>
          <w:b/>
          <w:color w:val="008080"/>
          <w:sz w:val="22"/>
        </w:rPr>
        <w:t>5.2 Secondary Hypothesis (Two-Sample Welch t-Test)</w:t>
      </w:r>
    </w:p>
    <w:p>
      <w:pPr>
        <w:widowControl/>
        <w:spacing w:before="0" w:after="100" w:line="276" w:lineRule="auto"/>
      </w:pPr>
      <w:r>
        <w:rPr>
          <w:rFonts w:ascii="Calibri" w:hAnsi="Calibri"/>
          <w:color w:val="2D3748"/>
          <w:sz w:val="19"/>
        </w:rPr>
        <w:t>• Null Hypothesis (H₀,sec): The population mean alcohol content of high-quality wines (quality ≥ 7) is equal to that of lower-quality wines (quality ≤ 5):</w:t>
        <w:br/>
        <w:t xml:space="preserve">  H₀,sec: μ_high = μ_low  (or μ_high - μ_low = 0)</w:t>
      </w:r>
    </w:p>
    <w:p>
      <w:pPr>
        <w:widowControl/>
        <w:spacing w:before="0" w:after="100" w:line="276" w:lineRule="auto"/>
      </w:pPr>
      <w:r>
        <w:rPr>
          <w:rFonts w:ascii="Calibri" w:hAnsi="Calibri"/>
          <w:color w:val="2D3748"/>
          <w:sz w:val="19"/>
        </w:rPr>
        <w:t>• Alternative Hypothesis (H₁,sec): The population mean alcohol content of high-quality wines is significantly different from that of lower-quality wines:</w:t>
        <w:br/>
        <w:t xml:space="preserve">  H₁,sec: μ_high ≠ μ_low  (or μ_high - μ_low ≠ 0)</w:t>
      </w:r>
    </w:p>
    <w:p>
      <w:pPr>
        <w:widowControl/>
        <w:spacing w:before="0" w:after="100" w:line="276" w:lineRule="auto"/>
      </w:pPr>
      <w:r>
        <w:rPr>
          <w:rFonts w:ascii="Calibri" w:hAnsi="Calibri"/>
          <w:color w:val="2D3748"/>
          <w:sz w:val="19"/>
        </w:rPr>
        <w:t>Significance Level: α = 0.05. Rejection criterion: p-value &lt; α = 0.05.</w:t>
      </w:r>
    </w:p>
    <w:p>
      <w:pPr>
        <w:keepNext/>
        <w:widowControl/>
        <w:spacing w:before="280" w:after="80"/>
      </w:pPr>
      <w:r>
        <w:rPr>
          <w:rFonts w:ascii="Calibri" w:hAnsi="Calibri"/>
          <w:b/>
          <w:color w:val="1B365D"/>
          <w:sz w:val="26"/>
        </w:rPr>
        <w:t>6. Methodology</w:t>
      </w:r>
    </w:p>
    <w:p>
      <w:pPr>
        <w:widowControl/>
        <w:spacing w:before="0" w:after="100" w:line="276" w:lineRule="auto"/>
      </w:pPr>
      <w:r>
        <w:rPr>
          <w:rFonts w:ascii="Calibri" w:hAnsi="Calibri"/>
          <w:color w:val="2D3748"/>
          <w:sz w:val="19"/>
        </w:rPr>
        <w:t>Our analytical framework adheres to a structured, 7-stage methodological progression designed to guarantee statistical validity:</w:t>
      </w:r>
    </w:p>
    <w:p>
      <w:pPr>
        <w:widowControl/>
        <w:spacing w:before="0" w:after="100" w:line="276" w:lineRule="auto"/>
      </w:pPr>
      <w:r>
        <w:rPr>
          <w:rFonts w:ascii="Calibri" w:hAnsi="Calibri"/>
          <w:color w:val="2D3748"/>
          <w:sz w:val="19"/>
        </w:rPr>
        <w:t>1. Automated Programmatic Ingestion: Scripted HTTPS download from UCI Repository, automated schema verification, and local raw caching.</w:t>
        <w:br/>
        <w:t>2. Data Cleansing and Auditing: Missing value verification, duplicate audit, column standardization, and IQR outlier screening.</w:t>
        <w:br/>
        <w:t>3. Exploratory &amp; Descriptive Estimation: Sample sizes, point estimates (mean, median), dispersion metrics (variance, standard deviation, IQR), and 95% Student's t confidence intervals for each quality stratum.</w:t>
        <w:br/>
        <w:t>4. Assumption Diagnostics: Normality testing of model residuals via Shapiro-Wilk and Kolmogorov-Smirnov statistics, visual inspection via Normal Q-Q plots, and homoscedasticity evaluation via median-centered Levene and Bartlett tests.</w:t>
        <w:br/>
        <w:t>5. Primary Omnibus Hypothesis Testing: One-Way ANOVA F-test decomposition (Between-group vs. Within-group mean squares), effect size computation (Eta-squared η², Omega-squared ω²), and non-parametric Kruskal-Wallis validation.</w:t>
        <w:br/>
        <w:t>6. Post-Hoc Pairwise Comparisons: Tukey HSD procedure with Studentized Range Distribution critical values, controlling the Family-Wise Error Rate at α = 0.05.</w:t>
        <w:br/>
        <w:t>7. Secondary Stratified Testing: Welch's two-sample t-test with Welch-Satterthwaite adjusted degrees of freedom, Cohen's d standardized effect size, and non-parametric Mann-Whitney U test validation.</w:t>
      </w:r>
    </w:p>
    <w:p>
      <w:pPr>
        <w:keepNext/>
        <w:widowControl/>
        <w:spacing w:before="280" w:after="80"/>
      </w:pPr>
      <w:r>
        <w:rPr>
          <w:rFonts w:ascii="Calibri" w:hAnsi="Calibri"/>
          <w:b/>
          <w:color w:val="1B365D"/>
          <w:sz w:val="26"/>
        </w:rPr>
        <w:t>7. Data Preparation and Integrity Audit</w:t>
      </w:r>
    </w:p>
    <w:p>
      <w:pPr>
        <w:widowControl/>
        <w:spacing w:before="0" w:after="100" w:line="276" w:lineRule="auto"/>
      </w:pPr>
      <w:r>
        <w:rPr>
          <w:rFonts w:ascii="Calibri" w:hAnsi="Calibri"/>
          <w:color w:val="2D3748"/>
          <w:sz w:val="19"/>
        </w:rPr>
        <w:t>Data ingestion confirmed a complete dataset of 1,599 rows and 12 raw columns. Missing value analysis indicated 0 missing entries across all features (100% data completeness). An audit of duplicated rows identified 240 records sharing identical physicochemical attributes across all measured features. The dataset documentation (Cortez et al., 2009) does not provide batch or harvest identifiers to determine whether these observations represent separate production lots with identical laboratory measurements, legitimate repeated samplings, or data duplication. Because removing these records without definitive provenance metadata could introduce unwarranted selection bias, all 1,599 observations were retained for analysis, while acknowledging this ambiguity as a methodological consideration.</w:t>
      </w:r>
    </w:p>
    <w:p>
      <w:pPr>
        <w:widowControl/>
        <w:spacing w:before="0" w:after="100" w:line="276" w:lineRule="auto"/>
      </w:pPr>
      <w:r>
        <w:rPr>
          <w:rFonts w:ascii="Calibri" w:hAnsi="Calibri"/>
          <w:color w:val="2D3748"/>
          <w:sz w:val="19"/>
        </w:rPr>
        <w:t>Outlier screening on alcohol concentration utilizing the standard 1.5 × IQR rule established Q1 = 9.50%, Q3 = 11.10%, IQR = 1.60%, with lower inner fence = 7.10% and upper inner fence = 13.50%. A total of 13 observations exceeded the upper fence (max alcohol = 14.90%). Because these values represent plausible measurements within the natural spectrum of commercial red wines rather than erroneous recordings, they were retained in the dataset.</w:t>
      </w:r>
    </w:p>
    <w:p>
      <w:pPr>
        <w:keepNext/>
        <w:widowControl/>
        <w:spacing w:before="280" w:after="80"/>
      </w:pPr>
      <w:r>
        <w:rPr>
          <w:rFonts w:ascii="Calibri" w:hAnsi="Calibri"/>
          <w:b/>
          <w:color w:val="1B365D"/>
          <w:sz w:val="26"/>
        </w:rPr>
        <w:t>8. Descriptive Statistics</w:t>
      </w:r>
    </w:p>
    <w:p>
      <w:pPr>
        <w:widowControl/>
        <w:spacing w:before="0" w:after="100" w:line="276" w:lineRule="auto"/>
      </w:pPr>
      <w:r>
        <w:rPr>
          <w:rFonts w:ascii="Calibri" w:hAnsi="Calibri"/>
          <w:color w:val="2D3748"/>
          <w:sz w:val="19"/>
        </w:rPr>
        <w:t>Overall, the red wine samples exhibit a mean alcohol content of 10.42% vol (SD = 1.07%, range: 8.40% to 14.90%). The overall 95% confidence interval for the population mean alcohol content is [10.37%, 10.48%]. Table 1 details the group-wise descriptive metrics across quality ratings.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40"/>
        <w:gridCol w:w="1040"/>
        <w:gridCol w:w="1040"/>
        <w:gridCol w:w="1040"/>
        <w:gridCol w:w="1040"/>
        <w:gridCol w:w="1040"/>
        <w:gridCol w:w="1040"/>
        <w:gridCol w:w="1040"/>
        <w:gridCol w:w="1040"/>
      </w:tblGrid>
      <w:tr>
        <w:trPr>
          <w:cantSplit/>
          <w:tblHeader/>
        </w:trPr>
        <w:tc>
          <w:tcPr>
            <w:tcW w:type="dxa" w:w="1008"/>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Quality</w:t>
            </w:r>
          </w:p>
        </w:tc>
        <w:tc>
          <w:tcPr>
            <w:tcW w:type="dxa" w:w="86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N</w:t>
            </w:r>
          </w:p>
        </w:tc>
        <w:tc>
          <w:tcPr>
            <w:tcW w:type="dxa" w:w="1080"/>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w:t>
            </w:r>
          </w:p>
        </w:tc>
        <w:tc>
          <w:tcPr>
            <w:tcW w:type="dxa" w:w="1080"/>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Std Dev</w:t>
            </w:r>
          </w:p>
        </w:tc>
        <w:tc>
          <w:tcPr>
            <w:tcW w:type="dxa" w:w="100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Median</w:t>
            </w:r>
          </w:p>
        </w:tc>
        <w:tc>
          <w:tcPr>
            <w:tcW w:type="dxa" w:w="93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Q1</w:t>
            </w:r>
          </w:p>
        </w:tc>
        <w:tc>
          <w:tcPr>
            <w:tcW w:type="dxa" w:w="93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Q3</w:t>
            </w:r>
          </w:p>
        </w:tc>
        <w:tc>
          <w:tcPr>
            <w:tcW w:type="dxa" w:w="122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95% CI Lower</w:t>
            </w:r>
          </w:p>
        </w:tc>
        <w:tc>
          <w:tcPr>
            <w:tcW w:type="dxa" w:w="122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95% CI Upper</w:t>
            </w:r>
          </w:p>
        </w:tc>
      </w:tr>
      <w:tr>
        <w:trPr>
          <w:cantSplit/>
        </w:trPr>
        <w:tc>
          <w:tcPr>
            <w:tcW w:type="dxa" w:w="100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3</w:t>
            </w:r>
          </w:p>
        </w:tc>
        <w:tc>
          <w:tcPr>
            <w:tcW w:type="dxa" w:w="86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9.96</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0.82</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9.93</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9.72</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10.57</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9.37</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10.54</w:t>
            </w:r>
          </w:p>
        </w:tc>
      </w:tr>
      <w:tr>
        <w:trPr>
          <w:cantSplit/>
        </w:trPr>
        <w:tc>
          <w:tcPr>
            <w:tcW w:type="dxa" w:w="100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4</w:t>
            </w:r>
          </w:p>
        </w:tc>
        <w:tc>
          <w:tcPr>
            <w:tcW w:type="dxa" w:w="86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53</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10.27</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0.93</w:t>
            </w:r>
          </w:p>
        </w:tc>
        <w:tc>
          <w:tcPr>
            <w:tcW w:type="dxa" w:w="100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10.00</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9.60</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11.00</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10.01</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10.52</w:t>
            </w:r>
          </w:p>
        </w:tc>
      </w:tr>
      <w:tr>
        <w:trPr>
          <w:cantSplit/>
        </w:trPr>
        <w:tc>
          <w:tcPr>
            <w:tcW w:type="dxa" w:w="100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5</w:t>
            </w:r>
          </w:p>
        </w:tc>
        <w:tc>
          <w:tcPr>
            <w:tcW w:type="dxa" w:w="86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681</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9.90</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0.74</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9.70</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9.40</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10.20</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9.84</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9.96</w:t>
            </w:r>
          </w:p>
        </w:tc>
      </w:tr>
      <w:tr>
        <w:trPr>
          <w:cantSplit/>
        </w:trPr>
        <w:tc>
          <w:tcPr>
            <w:tcW w:type="dxa" w:w="100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6</w:t>
            </w:r>
          </w:p>
        </w:tc>
        <w:tc>
          <w:tcPr>
            <w:tcW w:type="dxa" w:w="86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638</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10.63</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1.05</w:t>
            </w:r>
          </w:p>
        </w:tc>
        <w:tc>
          <w:tcPr>
            <w:tcW w:type="dxa" w:w="100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10.50</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9.80</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11.30</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10.55</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10.71</w:t>
            </w:r>
          </w:p>
        </w:tc>
      </w:tr>
      <w:tr>
        <w:trPr>
          <w:cantSplit/>
        </w:trPr>
        <w:tc>
          <w:tcPr>
            <w:tcW w:type="dxa" w:w="100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7</w:t>
            </w:r>
          </w:p>
        </w:tc>
        <w:tc>
          <w:tcPr>
            <w:tcW w:type="dxa" w:w="86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199</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11.47</w:t>
            </w:r>
          </w:p>
        </w:tc>
        <w:tc>
          <w:tcPr>
            <w:tcW w:type="dxa" w:w="1080"/>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0.96</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11.50</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10.80</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12.10</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11.33</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11.60</w:t>
            </w:r>
          </w:p>
        </w:tc>
      </w:tr>
      <w:tr>
        <w:trPr>
          <w:cantSplit/>
        </w:trPr>
        <w:tc>
          <w:tcPr>
            <w:tcW w:type="dxa" w:w="100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8</w:t>
            </w:r>
          </w:p>
        </w:tc>
        <w:tc>
          <w:tcPr>
            <w:tcW w:type="dxa" w:w="86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18</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12.09</w:t>
            </w:r>
          </w:p>
        </w:tc>
        <w:tc>
          <w:tcPr>
            <w:tcW w:type="dxa" w:w="1080"/>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1.22</w:t>
            </w:r>
          </w:p>
        </w:tc>
        <w:tc>
          <w:tcPr>
            <w:tcW w:type="dxa" w:w="100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12.15</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11.32</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12.88</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11.49</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12.70</w:t>
            </w:r>
          </w:p>
        </w:tc>
      </w:tr>
    </w:tbl>
    <w:p>
      <w:pPr>
        <w:widowControl/>
        <w:spacing w:before="60" w:after="160"/>
        <w:jc w:val="center"/>
      </w:pPr>
      <w:r>
        <w:rPr>
          <w:rFonts w:ascii="Calibri" w:hAnsi="Calibri"/>
          <w:i/>
          <w:color w:val="64748B"/>
          <w:sz w:val="17"/>
        </w:rPr>
        <w:t>Table 1: Comprehensive group-wise descriptive statistics and 95% Student's t confidence intervals for alcohol content by wine quality rating.</w:t>
      </w:r>
    </w:p>
    <w:p>
      <w:pPr>
        <w:keepNext/>
        <w:widowControl/>
        <w:spacing w:before="160" w:after="40"/>
        <w:jc w:val="center"/>
      </w:pPr>
    </w:p>
    <w:p>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figure1_alcohol_distribution.png"/>
                    <pic:cNvPicPr/>
                  </pic:nvPicPr>
                  <pic:blipFill>
                    <a:blip r:embed="rId13"/>
                    <a:stretch>
                      <a:fillRect/>
                    </a:stretch>
                  </pic:blipFill>
                  <pic:spPr>
                    <a:xfrm>
                      <a:off x="0" y="0"/>
                      <a:ext cx="5669280" cy="3464560"/>
                    </a:xfrm>
                    <a:prstGeom prst="rect"/>
                  </pic:spPr>
                </pic:pic>
              </a:graphicData>
            </a:graphic>
          </wp:inline>
        </w:drawing>
      </w:r>
    </w:p>
    <w:p>
      <w:pPr>
        <w:widowControl/>
        <w:spacing w:before="40" w:after="160"/>
        <w:jc w:val="center"/>
      </w:pPr>
      <w:r>
        <w:rPr>
          <w:rFonts w:ascii="Calibri" w:hAnsi="Calibri"/>
          <w:i/>
          <w:color w:val="64748B"/>
          <w:sz w:val="17"/>
        </w:rPr>
        <w:t>Figure 1: Distribution of Alcohol Content — Probability density distribution, empirical KDE, and theoretical normal overlay across all red wine samples (N = 1,599).</w:t>
      </w:r>
    </w:p>
    <w:p>
      <w:pPr>
        <w:keepNext/>
        <w:widowControl/>
        <w:spacing w:before="160" w:after="40"/>
        <w:jc w:val="center"/>
      </w:pP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ure2_alcohol_by_quality_boxplot.png"/>
                    <pic:cNvPicPr/>
                  </pic:nvPicPr>
                  <pic:blipFill>
                    <a:blip r:embed="rId14"/>
                    <a:stretch>
                      <a:fillRect/>
                    </a:stretch>
                  </pic:blipFill>
                  <pic:spPr>
                    <a:xfrm>
                      <a:off x="0" y="0"/>
                      <a:ext cx="5669280" cy="3401568"/>
                    </a:xfrm>
                    <a:prstGeom prst="rect"/>
                  </pic:spPr>
                </pic:pic>
              </a:graphicData>
            </a:graphic>
          </wp:inline>
        </w:drawing>
      </w:r>
    </w:p>
    <w:p>
      <w:pPr>
        <w:widowControl/>
        <w:spacing w:before="40" w:after="160"/>
        <w:jc w:val="center"/>
      </w:pPr>
      <w:r>
        <w:rPr>
          <w:rFonts w:ascii="Calibri" w:hAnsi="Calibri"/>
          <w:i/>
          <w:color w:val="64748B"/>
          <w:sz w:val="17"/>
        </w:rPr>
        <w:t>Figure 2: Alcohol Content Across Quality Levels — Violin density envelopes, quartiles, and sample sizes across sensory quality ratings (scores 3 through 8).</w:t>
      </w:r>
    </w:p>
    <w:p>
      <w:pPr>
        <w:keepNext/>
        <w:widowControl/>
        <w:spacing w:before="280" w:after="80"/>
      </w:pPr>
      <w:r>
        <w:rPr>
          <w:rFonts w:ascii="Calibri" w:hAnsi="Calibri"/>
          <w:b/>
          <w:color w:val="1B365D"/>
          <w:sz w:val="26"/>
        </w:rPr>
        <w:t>9. Statistical Assumption Verification</w:t>
      </w:r>
    </w:p>
    <w:p>
      <w:pPr>
        <w:widowControl/>
        <w:spacing w:before="0" w:after="100" w:line="276" w:lineRule="auto"/>
      </w:pPr>
      <w:r>
        <w:rPr>
          <w:rFonts w:ascii="Calibri" w:hAnsi="Calibri"/>
          <w:color w:val="2D3748"/>
          <w:sz w:val="19"/>
        </w:rPr>
        <w:t>Before performing parametric hypothesis tests, three fundamental mathematical assumptions must be evaluated:</w:t>
      </w:r>
    </w:p>
    <w:p>
      <w:pPr>
        <w:widowControl/>
        <w:spacing w:before="0" w:after="100" w:line="276" w:lineRule="auto"/>
      </w:pPr>
      <w:r>
        <w:rPr>
          <w:rFonts w:ascii="Calibri" w:hAnsi="Calibri"/>
          <w:color w:val="2D3748"/>
          <w:sz w:val="19"/>
        </w:rPr>
        <w:t>1. Normality of Residuals: The Shapiro-Wilk test on ANOVA model residuals yielded W = 0.9670, p = 1.20e-18. The Kolmogorov-Smirnov test against standard normality returned D = 0.0963, p = 2.27e-13. Because p &lt; 0.05, the residuals exhibit slight right-skewness (see Section 13, Figure 6a for the Normal Q-Q diagnostic). However, according to the Central Limit Theorem (CLT) and extensive empirical literature on general linear models, the One-Way ANOVA F-test is extremely robust to moderate non-normality when sample sizes are large (N = 1,599). Moreover, we include the non-parametric Kruskal-Wallis test as an empirical safeguard.</w:t>
        <w:br/>
        <w:br/>
        <w:t>2. Homogeneity of Variance (Homoscedasticity): Levene's test (median-centered Brown-Forsythe) yielded W = 24.23, p = 1.45e-23. Bartlett's test yielded T = 85.74, p = 5.26e-17. Both tests reject the null hypothesis of equal variances across quality levels, demonstrating heteroscedasticity (e.g., SD = 0.74% in quality 5 vs. SD = 1.22% in quality 8; see Figure 6b–c). Consequently, for pairwise two-group comparisons, Welch's t-test (which does not assume equal variances) is mandated as the primary test.</w:t>
        <w:br/>
        <w:br/>
        <w:t>3. Observational Independence: In standard cross-sectional benchmarking studies, observations are treated as mutually independent under the assumption of distinct sampling units. However, because the published dataset does not disclose producer identifiers, vineyard lots, or temporal harvest sequences, observational independence must be treated as a working statistical assumption and an inherent limitation of secondary data analysis.</w:t>
      </w:r>
    </w:p>
    <w:p>
      <w:pPr>
        <w:keepNext/>
        <w:widowControl/>
        <w:spacing w:before="280" w:after="80"/>
      </w:pPr>
      <w:r>
        <w:rPr>
          <w:rFonts w:ascii="Calibri" w:hAnsi="Calibri"/>
          <w:b/>
          <w:color w:val="1B365D"/>
          <w:sz w:val="26"/>
        </w:rPr>
        <w:t>10. Primary Statistical Test: One-Way ANOVA</w:t>
      </w:r>
    </w:p>
    <w:p>
      <w:pPr>
        <w:widowControl/>
        <w:spacing w:before="0" w:after="100" w:line="276" w:lineRule="auto"/>
      </w:pPr>
      <w:r>
        <w:rPr>
          <w:rFonts w:ascii="Calibri" w:hAnsi="Calibri"/>
          <w:color w:val="2D3748"/>
          <w:sz w:val="19"/>
        </w:rPr>
        <w:t>To test the primary null hypothesis H₀ (equality of mean alcohol content across quality levels 3 through 8), a One-Way Analysis of Variance (ANOVA) was conducted. ANOVA partitions total sum of squares (SST) into between-group variation (SSB) and within-group error variation (SSW).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2304"/>
            <w:shd w:fill="1B365D"/>
            <w:tcMar>
              <w:top w:w="120" w:type="dxa"/>
              <w:bottom w:w="120" w:type="dxa"/>
              <w:left w:w="120" w:type="dxa"/>
              <w:right w:w="120" w:type="dxa"/>
            </w:tcMar>
            <w:vAlign w:val="center"/>
          </w:tcPr>
          <w:p>
            <w:pPr>
              <w:widowControl/>
              <w:spacing w:before="0" w:after="0"/>
              <w:jc w:val="left"/>
            </w:pPr>
            <w:r>
              <w:rPr>
                <w:rFonts w:ascii="Calibri" w:hAnsi="Calibri"/>
                <w:b/>
                <w:color w:val="FFFFFF"/>
                <w:sz w:val="18"/>
              </w:rPr>
              <w:t>Source of Variation</w:t>
            </w:r>
          </w:p>
        </w:tc>
        <w:tc>
          <w:tcPr>
            <w:tcW w:type="dxa" w:w="129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Sum of Sq (SS)</w:t>
            </w:r>
          </w:p>
        </w:tc>
        <w:tc>
          <w:tcPr>
            <w:tcW w:type="dxa" w:w="64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df</w:t>
            </w:r>
          </w:p>
        </w:tc>
        <w:tc>
          <w:tcPr>
            <w:tcW w:type="dxa" w:w="122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Sq (MS)</w:t>
            </w:r>
          </w:p>
        </w:tc>
        <w:tc>
          <w:tcPr>
            <w:tcW w:type="dxa" w:w="122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F-Statistic</w:t>
            </w:r>
          </w:p>
        </w:tc>
        <w:tc>
          <w:tcPr>
            <w:tcW w:type="dxa" w:w="1224"/>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p-value</w:t>
            </w:r>
          </w:p>
        </w:tc>
        <w:tc>
          <w:tcPr>
            <w:tcW w:type="dxa" w:w="1440"/>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Decision</w:t>
            </w:r>
          </w:p>
        </w:tc>
      </w:tr>
      <w:tr>
        <w:trPr>
          <w:cantSplit/>
        </w:trPr>
        <w:tc>
          <w:tcPr>
            <w:tcW w:type="dxa" w:w="2304"/>
            <w:shd w:fill="F8FAFC"/>
            <w:tcMar>
              <w:top w:w="90" w:type="dxa"/>
              <w:bottom w:w="90" w:type="dxa"/>
              <w:left w:w="120" w:type="dxa"/>
              <w:right w:w="120" w:type="dxa"/>
            </w:tcMar>
            <w:vAlign w:val="center"/>
          </w:tcPr>
          <w:p>
            <w:pPr>
              <w:widowControl/>
              <w:spacing w:before="0" w:after="0"/>
              <w:jc w:val="left"/>
            </w:pPr>
            <w:r>
              <w:rPr>
                <w:rFonts w:ascii="Calibri" w:hAnsi="Calibri"/>
                <w:color w:val="2D3748"/>
                <w:sz w:val="17"/>
              </w:rPr>
              <w:t>Between Quality Groups</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483.94</w:t>
            </w:r>
          </w:p>
        </w:tc>
        <w:tc>
          <w:tcPr>
            <w:tcW w:type="dxa" w:w="64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5</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96.79</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115.85</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1.21e-104</w:t>
            </w:r>
          </w:p>
        </w:tc>
        <w:tc>
          <w:tcPr>
            <w:tcW w:type="dxa" w:w="1440"/>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 (p &lt; 0.05)</w:t>
            </w:r>
          </w:p>
        </w:tc>
      </w:tr>
      <w:tr>
        <w:trPr>
          <w:cantSplit/>
        </w:trPr>
        <w:tc>
          <w:tcPr>
            <w:tcW w:type="dxa" w:w="2304"/>
            <w:shd w:fill="FFFFFF"/>
            <w:tcMar>
              <w:top w:w="90" w:type="dxa"/>
              <w:bottom w:w="90" w:type="dxa"/>
              <w:left w:w="120" w:type="dxa"/>
              <w:right w:w="120" w:type="dxa"/>
            </w:tcMar>
            <w:vAlign w:val="center"/>
          </w:tcPr>
          <w:p>
            <w:pPr>
              <w:widowControl/>
              <w:spacing w:before="0" w:after="0"/>
              <w:jc w:val="left"/>
            </w:pPr>
            <w:r>
              <w:rPr>
                <w:rFonts w:ascii="Calibri" w:hAnsi="Calibri"/>
                <w:color w:val="2D3748"/>
                <w:sz w:val="17"/>
              </w:rPr>
              <w:t>Within Quality Groups (Error)</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1330.83</w:t>
            </w:r>
          </w:p>
        </w:tc>
        <w:tc>
          <w:tcPr>
            <w:tcW w:type="dxa" w:w="64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1593</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0.84</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w:t>
            </w:r>
          </w:p>
        </w:tc>
        <w:tc>
          <w:tcPr>
            <w:tcW w:type="dxa" w:w="1224"/>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w:t>
            </w:r>
          </w:p>
        </w:tc>
        <w:tc>
          <w:tcPr>
            <w:tcW w:type="dxa" w:w="1440"/>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w:t>
            </w:r>
          </w:p>
        </w:tc>
      </w:tr>
      <w:tr>
        <w:trPr>
          <w:cantSplit/>
        </w:trPr>
        <w:tc>
          <w:tcPr>
            <w:tcW w:type="dxa" w:w="2304"/>
            <w:shd w:fill="F8FAFC"/>
            <w:tcMar>
              <w:top w:w="90" w:type="dxa"/>
              <w:bottom w:w="90" w:type="dxa"/>
              <w:left w:w="120" w:type="dxa"/>
              <w:right w:w="120" w:type="dxa"/>
            </w:tcMar>
            <w:vAlign w:val="center"/>
          </w:tcPr>
          <w:p>
            <w:pPr>
              <w:widowControl/>
              <w:spacing w:before="0" w:after="0"/>
              <w:jc w:val="left"/>
            </w:pPr>
            <w:r>
              <w:rPr>
                <w:rFonts w:ascii="Calibri" w:hAnsi="Calibri"/>
                <w:color w:val="2D3748"/>
                <w:sz w:val="17"/>
              </w:rPr>
              <w:t>Total Variation</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1814.76</w:t>
            </w:r>
          </w:p>
        </w:tc>
        <w:tc>
          <w:tcPr>
            <w:tcW w:type="dxa" w:w="64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1598</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w:t>
            </w:r>
          </w:p>
        </w:tc>
        <w:tc>
          <w:tcPr>
            <w:tcW w:type="dxa" w:w="1224"/>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w:t>
            </w:r>
          </w:p>
        </w:tc>
        <w:tc>
          <w:tcPr>
            <w:tcW w:type="dxa" w:w="1440"/>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w:t>
            </w:r>
          </w:p>
        </w:tc>
      </w:tr>
    </w:tbl>
    <w:p>
      <w:pPr>
        <w:widowControl/>
        <w:spacing w:before="60" w:after="160"/>
        <w:jc w:val="center"/>
      </w:pPr>
      <w:r>
        <w:rPr>
          <w:rFonts w:ascii="Calibri" w:hAnsi="Calibri"/>
          <w:i/>
          <w:color w:val="64748B"/>
          <w:sz w:val="17"/>
        </w:rPr>
        <w:t>Table 2: One-Way ANOVA summary table decomposing sum of squares, degrees of freedom, mean squares, F-statistic, and p-value.</w:t>
      </w:r>
    </w:p>
    <w:p>
      <w:pPr>
        <w:widowControl/>
        <w:spacing w:before="0" w:after="100" w:line="276" w:lineRule="auto"/>
      </w:pPr>
      <w:r>
        <w:rPr>
          <w:rFonts w:ascii="Calibri" w:hAnsi="Calibri"/>
          <w:color w:val="2D3748"/>
          <w:sz w:val="19"/>
        </w:rPr>
        <w:t>Statistical Decision: Because the obtained p-value (1.21e-104) is substantially less than the predefined significance level α = 0.05, we formally reject the null hypothesis H₀. We conclude that there is overwhelming statistical evidence that population mean alcohol content differs significantly across wine quality ratings, F(5, 1593) = 115.85, p &lt; 0.001.</w:t>
      </w:r>
    </w:p>
    <w:p>
      <w:pPr>
        <w:widowControl/>
        <w:spacing w:before="0" w:after="100" w:line="276" w:lineRule="auto"/>
      </w:pPr>
      <w:r>
        <w:rPr>
          <w:rFonts w:ascii="Calibri" w:hAnsi="Calibri"/>
          <w:color w:val="2D3748"/>
          <w:sz w:val="19"/>
        </w:rPr>
        <w:t>Effect Size Quantification: The sample effect size Eta-squared is η² = 0.2667 (26.67% of total variance). To correct for sample overestimation, Omega-squared was calculated: ω² = 0.2642 (26.42% of population variance explained). By Cohen's benchmarks (small: 0.01, medium: 0.06, large: 0.14), an Omega-squared of 0.2642 represents a very large effect size.</w:t>
      </w:r>
    </w:p>
    <w:p>
      <w:pPr>
        <w:widowControl/>
        <w:spacing w:before="0" w:after="100" w:line="276" w:lineRule="auto"/>
      </w:pPr>
      <w:r>
        <w:rPr>
          <w:rFonts w:ascii="Calibri" w:hAnsi="Calibri"/>
          <w:color w:val="2D3748"/>
          <w:sz w:val="19"/>
        </w:rPr>
        <w:t>Non-Parametric Robustness Verification: The Kruskal-Wallis H-test on quality group ranks yielded H(5) = 412.38, p = 6.37e-87. This confirms that group differences remain highly significant (p &lt; 0.001) even under distribution-free rank conditions.</w:t>
      </w:r>
    </w:p>
    <w:p>
      <w:pPr>
        <w:keepNext/>
        <w:widowControl/>
        <w:spacing w:before="160" w:after="40"/>
        <w:jc w:val="center"/>
      </w:pPr>
    </w:p>
    <w:p>
      <w:r>
        <w:drawing>
          <wp:inline xmlns:a="http://schemas.openxmlformats.org/drawingml/2006/main" xmlns:pic="http://schemas.openxmlformats.org/drawingml/2006/picture">
            <wp:extent cx="5669280" cy="3464560"/>
            <wp:docPr id="3" name="Picture 3"/>
            <wp:cNvGraphicFramePr>
              <a:graphicFrameLocks noChangeAspect="1"/>
            </wp:cNvGraphicFramePr>
            <a:graphic>
              <a:graphicData uri="http://schemas.openxmlformats.org/drawingml/2006/picture">
                <pic:pic>
                  <pic:nvPicPr>
                    <pic:cNvPr id="0" name="figure3_group_means_confidence_intervals.png"/>
                    <pic:cNvPicPr/>
                  </pic:nvPicPr>
                  <pic:blipFill>
                    <a:blip r:embed="rId15"/>
                    <a:stretch>
                      <a:fillRect/>
                    </a:stretch>
                  </pic:blipFill>
                  <pic:spPr>
                    <a:xfrm>
                      <a:off x="0" y="0"/>
                      <a:ext cx="5669280" cy="3464560"/>
                    </a:xfrm>
                    <a:prstGeom prst="rect"/>
                  </pic:spPr>
                </pic:pic>
              </a:graphicData>
            </a:graphic>
          </wp:inline>
        </w:drawing>
      </w:r>
    </w:p>
    <w:p>
      <w:pPr>
        <w:widowControl/>
        <w:spacing w:before="40" w:after="160"/>
        <w:jc w:val="center"/>
      </w:pPr>
      <w:r>
        <w:rPr>
          <w:rFonts w:ascii="Calibri" w:hAnsi="Calibri"/>
          <w:i/>
          <w:color w:val="64748B"/>
          <w:sz w:val="17"/>
        </w:rPr>
        <w:t>Figure 3: Group Means with 95% Confidence Intervals — Group-wise mean alcohol content with 95% Student's t confidence interval error bars across wine quality levels 3 through 8.</w:t>
      </w:r>
    </w:p>
    <w:p>
      <w:pPr>
        <w:keepNext/>
        <w:widowControl/>
        <w:spacing w:before="280" w:after="80"/>
      </w:pPr>
      <w:r>
        <w:rPr>
          <w:rFonts w:ascii="Calibri" w:hAnsi="Calibri"/>
          <w:b/>
          <w:color w:val="1B365D"/>
          <w:sz w:val="26"/>
        </w:rPr>
        <w:t>11. Post-Hoc Multiple Comparisons: Tukey HSD</w:t>
      </w:r>
    </w:p>
    <w:p>
      <w:pPr>
        <w:widowControl/>
        <w:spacing w:before="0" w:after="100" w:line="276" w:lineRule="auto"/>
      </w:pPr>
      <w:r>
        <w:rPr>
          <w:rFonts w:ascii="Calibri" w:hAnsi="Calibri"/>
          <w:color w:val="2D3748"/>
          <w:sz w:val="19"/>
        </w:rPr>
        <w:t>Because the omnibus ANOVA F-test rejected H₀, post-hoc multiple comparison testing was conducted to pinpoint exactly which pairs of quality levels differ significantly. Tukey's Honestly Significant Difference (HSD) test was selected because it controls the Family-Wise Error Rate (FWER) at exactly α = 0.05 across all 15 pairwise comparisons.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296"/>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Group 1</w:t>
            </w:r>
          </w:p>
        </w:tc>
        <w:tc>
          <w:tcPr>
            <w:tcW w:type="dxa" w:w="1296"/>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Group 2</w:t>
            </w:r>
          </w:p>
        </w:tc>
        <w:tc>
          <w:tcPr>
            <w:tcW w:type="dxa" w:w="136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Diff (%)</w:t>
            </w:r>
          </w:p>
        </w:tc>
        <w:tc>
          <w:tcPr>
            <w:tcW w:type="dxa" w:w="129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p-adj</w:t>
            </w:r>
          </w:p>
        </w:tc>
        <w:tc>
          <w:tcPr>
            <w:tcW w:type="dxa" w:w="136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95% CI Lower</w:t>
            </w:r>
          </w:p>
        </w:tc>
        <w:tc>
          <w:tcPr>
            <w:tcW w:type="dxa" w:w="136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95% CI Upper</w:t>
            </w:r>
          </w:p>
        </w:tc>
        <w:tc>
          <w:tcPr>
            <w:tcW w:type="dxa" w:w="1368"/>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Decision</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3</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4</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+0.31</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0.9231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-0.59</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+1.21</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3</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5</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-0.06</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1.0000</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-0.89</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+0.78</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3</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6</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+0.67</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0.1883</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-0.16</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+1.51</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3</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7</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+1.51</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+0.67</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+2.36</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3</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8</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+2.14</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+3.17</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4</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5</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-0.37</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0.0574</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-0.74</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+0.01</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4</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6</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+0.36</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0.0597</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+0.74</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4</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7</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+1.20</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+0.80</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+1.60</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4</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8</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+1.83</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+1.12</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+2.54</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5</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6</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+0.73</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+0.59</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+0.87</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5</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7</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+1.57</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+1.36</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+1.78</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5</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8</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+2.19</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+1.57</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+2.82</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6</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7</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+0.84</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+0.62</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+1.05</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6</w:t>
            </w:r>
          </w:p>
        </w:tc>
        <w:tc>
          <w:tcPr>
            <w:tcW w:type="dxa" w:w="1296"/>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8</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+1.46</w:t>
            </w:r>
          </w:p>
        </w:tc>
        <w:tc>
          <w:tcPr>
            <w:tcW w:type="dxa" w:w="129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+0.84</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+2.09</w:t>
            </w:r>
          </w:p>
        </w:tc>
        <w:tc>
          <w:tcPr>
            <w:tcW w:type="dxa" w:w="136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Reject H₀</w:t>
            </w:r>
          </w:p>
        </w:tc>
      </w:tr>
      <w:tr>
        <w:trPr>
          <w:cantSplit/>
        </w:trPr>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7</w:t>
            </w:r>
          </w:p>
        </w:tc>
        <w:tc>
          <w:tcPr>
            <w:tcW w:type="dxa" w:w="1296"/>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Quality 8</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+0.63</w:t>
            </w:r>
          </w:p>
        </w:tc>
        <w:tc>
          <w:tcPr>
            <w:tcW w:type="dxa" w:w="129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0.0589</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-0.01</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+1.27</w:t>
            </w:r>
          </w:p>
        </w:tc>
        <w:tc>
          <w:tcPr>
            <w:tcW w:type="dxa" w:w="136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Fail to Reject</w:t>
            </w:r>
          </w:p>
        </w:tc>
      </w:tr>
    </w:tbl>
    <w:p>
      <w:pPr>
        <w:widowControl/>
        <w:spacing w:before="60" w:after="160"/>
        <w:jc w:val="center"/>
      </w:pPr>
      <w:r>
        <w:rPr>
          <w:rFonts w:ascii="Calibri" w:hAnsi="Calibri"/>
          <w:i/>
          <w:color w:val="64748B"/>
          <w:sz w:val="17"/>
        </w:rPr>
        <w:t>Table 3: Tukey HSD pairwise comparison table presenting mean differences, FWER-adjusted p-values, simultaneous 95% confidence intervals, and decision outcomes.</w:t>
      </w:r>
    </w:p>
    <w:p>
      <w:pPr>
        <w:widowControl/>
        <w:spacing w:before="0" w:after="100" w:line="276" w:lineRule="auto"/>
      </w:pPr>
      <w:r>
        <w:rPr>
          <w:rFonts w:ascii="Calibri" w:hAnsi="Calibri"/>
          <w:color w:val="2D3748"/>
          <w:sz w:val="19"/>
        </w:rPr>
        <w:t>Key Findings from Post-Hoc Analysis:</w:t>
        <w:br/>
        <w:t>• Lower-tier quality ratings (3 vs. 4: diff = +0.31%, p = 0.9231; 3 vs. 5: diff = -0.06%, p = 1.0000; 4 vs. 5: diff = -0.37%, p = 0.0573) do not exhibit statistically significant differences in alcohol content.</w:t>
        <w:br/>
        <w:t>• Quality tier 6 marks a major statistical transition: quality 6 wines have significantly higher alcohol content than quality 5 wines (diff = +0.73%, 95% CI: [+0.59%, +0.87%], p &lt; 0.0001).</w:t>
        <w:br/>
        <w:t>• Premium tiers exhibit dramatic increases: quality 7 wines exceed quality 5 wines by +1.57% vol (p &lt; 0.0001), and quality 8 wines exceed quality 5 wines by +2.19% vol (p &lt; 0.0001).</w:t>
        <w:br/>
        <w:t>• The comparison between quality 7 and 8 (diff = +0.63%, 95% CI: [-0.01%, +1.27%], p = 0.0589) narrowly misses the α = 0.05 cutoff, partially due to the smaller sample size in quality 8 (n = 18).</w:t>
      </w:r>
    </w:p>
    <w:p>
      <w:pPr>
        <w:keepNext/>
        <w:widowControl/>
        <w:spacing w:before="160" w:after="40"/>
        <w:jc w:val="center"/>
      </w:pPr>
    </w:p>
    <w:p>
      <w:r>
        <w:drawing>
          <wp:inline xmlns:a="http://schemas.openxmlformats.org/drawingml/2006/main" xmlns:pic="http://schemas.openxmlformats.org/drawingml/2006/picture">
            <wp:extent cx="5669280" cy="3968496"/>
            <wp:docPr id="4" name="Picture 4"/>
            <wp:cNvGraphicFramePr>
              <a:graphicFrameLocks noChangeAspect="1"/>
            </wp:cNvGraphicFramePr>
            <a:graphic>
              <a:graphicData uri="http://schemas.openxmlformats.org/drawingml/2006/picture">
                <pic:pic>
                  <pic:nvPicPr>
                    <pic:cNvPr id="0" name="figure4_posthoc_tukey_hsd_intervals.png"/>
                    <pic:cNvPicPr/>
                  </pic:nvPicPr>
                  <pic:blipFill>
                    <a:blip r:embed="rId16"/>
                    <a:stretch>
                      <a:fillRect/>
                    </a:stretch>
                  </pic:blipFill>
                  <pic:spPr>
                    <a:xfrm>
                      <a:off x="0" y="0"/>
                      <a:ext cx="5669280" cy="3968496"/>
                    </a:xfrm>
                    <a:prstGeom prst="rect"/>
                  </pic:spPr>
                </pic:pic>
              </a:graphicData>
            </a:graphic>
          </wp:inline>
        </w:drawing>
      </w:r>
    </w:p>
    <w:p>
      <w:pPr>
        <w:widowControl/>
        <w:spacing w:before="40" w:after="160"/>
        <w:jc w:val="center"/>
      </w:pPr>
      <w:r>
        <w:rPr>
          <w:rFonts w:ascii="Calibri" w:hAnsi="Calibri"/>
          <w:i/>
          <w:color w:val="64748B"/>
          <w:sz w:val="17"/>
        </w:rPr>
        <w:t>Figure 4: Tukey HSD Forest Plot — Forest plot of Tukey HSD pairwise mean differences and simultaneous 95% confidence intervals (green = statistically significant rejection of H₀; red = fail to reject).</w:t>
      </w:r>
    </w:p>
    <w:p>
      <w:pPr>
        <w:keepNext/>
        <w:widowControl/>
        <w:spacing w:before="280" w:after="80"/>
      </w:pPr>
      <w:r>
        <w:rPr>
          <w:rFonts w:ascii="Calibri" w:hAnsi="Calibri"/>
          <w:b/>
          <w:color w:val="1B365D"/>
          <w:sz w:val="26"/>
        </w:rPr>
        <w:t>12. Secondary Statistical Analysis: High vs. Low Quality</w:t>
      </w:r>
    </w:p>
    <w:p>
      <w:pPr>
        <w:widowControl/>
        <w:spacing w:before="0" w:after="100" w:line="276" w:lineRule="auto"/>
      </w:pPr>
      <w:r>
        <w:rPr>
          <w:rFonts w:ascii="Calibri" w:hAnsi="Calibri"/>
          <w:color w:val="2D3748"/>
          <w:sz w:val="19"/>
        </w:rPr>
        <w:t>To test the secondary hypothesis, we partitioned the dataset into two polarized sensory cohorts: High-Quality wines (rating ≥ 7, n = 217) and Low-Quality wines (rating ≤ 5, n = 744). Because the group variances are heterogeneous (s₁² = 0.996 vs. s₂² = 0.575, Levene p &lt; 0.001), Welch's two-sample t-test was specified as the primary test statistic, utilizing the Welch-Satterthwaite adjustment for degrees of freedom.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cantSplit/>
          <w:tblHeader/>
        </w:trPr>
        <w:tc>
          <w:tcPr>
            <w:tcW w:type="dxa" w:w="2160"/>
            <w:shd w:fill="1B365D"/>
            <w:tcMar>
              <w:top w:w="120" w:type="dxa"/>
              <w:bottom w:w="120" w:type="dxa"/>
              <w:left w:w="120" w:type="dxa"/>
              <w:right w:w="120" w:type="dxa"/>
            </w:tcMar>
            <w:vAlign w:val="center"/>
          </w:tcPr>
          <w:p>
            <w:pPr>
              <w:widowControl/>
              <w:spacing w:before="0" w:after="0"/>
              <w:jc w:val="left"/>
            </w:pPr>
            <w:r>
              <w:rPr>
                <w:rFonts w:ascii="Calibri" w:hAnsi="Calibri"/>
                <w:b/>
                <w:color w:val="FFFFFF"/>
                <w:sz w:val="18"/>
              </w:rPr>
              <w:t>Comparison / Test</w:t>
            </w:r>
          </w:p>
        </w:tc>
        <w:tc>
          <w:tcPr>
            <w:tcW w:type="dxa" w:w="1008"/>
            <w:shd w:fill="1B365D"/>
            <w:tcMar>
              <w:top w:w="120" w:type="dxa"/>
              <w:bottom w:w="120" w:type="dxa"/>
              <w:left w:w="120" w:type="dxa"/>
              <w:right w:w="120" w:type="dxa"/>
            </w:tcMar>
            <w:vAlign w:val="center"/>
          </w:tcPr>
          <w:p>
            <w:pPr>
              <w:widowControl/>
              <w:spacing w:before="0" w:after="0"/>
              <w:jc w:val="center"/>
            </w:pPr>
            <w:r>
              <w:rPr>
                <w:rFonts w:ascii="Calibri" w:hAnsi="Calibri"/>
                <w:b/>
                <w:color w:val="FFFFFF"/>
                <w:sz w:val="18"/>
              </w:rPr>
              <w:t>N1 / N2</w:t>
            </w:r>
          </w:p>
        </w:tc>
        <w:tc>
          <w:tcPr>
            <w:tcW w:type="dxa" w:w="93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1</w:t>
            </w:r>
          </w:p>
        </w:tc>
        <w:tc>
          <w:tcPr>
            <w:tcW w:type="dxa" w:w="93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2</w:t>
            </w:r>
          </w:p>
        </w:tc>
        <w:tc>
          <w:tcPr>
            <w:tcW w:type="dxa" w:w="100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Mean Diff</w:t>
            </w:r>
          </w:p>
        </w:tc>
        <w:tc>
          <w:tcPr>
            <w:tcW w:type="dxa" w:w="136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t-Statistic (df)</w:t>
            </w:r>
          </w:p>
        </w:tc>
        <w:tc>
          <w:tcPr>
            <w:tcW w:type="dxa" w:w="1008"/>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p-value</w:t>
            </w:r>
          </w:p>
        </w:tc>
        <w:tc>
          <w:tcPr>
            <w:tcW w:type="dxa" w:w="936"/>
            <w:shd w:fill="1B365D"/>
            <w:tcMar>
              <w:top w:w="120" w:type="dxa"/>
              <w:bottom w:w="120" w:type="dxa"/>
              <w:left w:w="120" w:type="dxa"/>
              <w:right w:w="120" w:type="dxa"/>
            </w:tcMar>
            <w:vAlign w:val="center"/>
          </w:tcPr>
          <w:p>
            <w:pPr>
              <w:widowControl/>
              <w:spacing w:before="0" w:after="0"/>
              <w:jc w:val="right"/>
            </w:pPr>
            <w:r>
              <w:rPr>
                <w:rFonts w:ascii="Calibri" w:hAnsi="Calibri"/>
                <w:b/>
                <w:color w:val="FFFFFF"/>
                <w:sz w:val="18"/>
              </w:rPr>
              <w:t>Effect Size</w:t>
            </w:r>
          </w:p>
        </w:tc>
      </w:tr>
      <w:tr>
        <w:trPr>
          <w:cantSplit/>
        </w:trPr>
        <w:tc>
          <w:tcPr>
            <w:tcW w:type="dxa" w:w="2160"/>
            <w:shd w:fill="F8FAFC"/>
            <w:tcMar>
              <w:top w:w="90" w:type="dxa"/>
              <w:bottom w:w="90" w:type="dxa"/>
              <w:left w:w="120" w:type="dxa"/>
              <w:right w:w="120" w:type="dxa"/>
            </w:tcMar>
            <w:vAlign w:val="center"/>
          </w:tcPr>
          <w:p>
            <w:pPr>
              <w:widowControl/>
              <w:spacing w:before="0" w:after="0"/>
              <w:jc w:val="left"/>
            </w:pPr>
            <w:r>
              <w:rPr>
                <w:rFonts w:ascii="Calibri" w:hAnsi="Calibri"/>
                <w:color w:val="2D3748"/>
                <w:sz w:val="17"/>
              </w:rPr>
              <w:t>Welch's Two-Sample t-Test</w:t>
            </w:r>
          </w:p>
        </w:tc>
        <w:tc>
          <w:tcPr>
            <w:tcW w:type="dxa" w:w="100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217 / 744</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11.52%</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9.93%</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+1.59%</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t = 21.73 (292.4)</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5.44e-63</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d = 1.95</w:t>
            </w:r>
          </w:p>
        </w:tc>
      </w:tr>
      <w:tr>
        <w:trPr>
          <w:cantSplit/>
        </w:trPr>
        <w:tc>
          <w:tcPr>
            <w:tcW w:type="dxa" w:w="2160"/>
            <w:shd w:fill="FFFFFF"/>
            <w:tcMar>
              <w:top w:w="90" w:type="dxa"/>
              <w:bottom w:w="90" w:type="dxa"/>
              <w:left w:w="120" w:type="dxa"/>
              <w:right w:w="120" w:type="dxa"/>
            </w:tcMar>
            <w:vAlign w:val="center"/>
          </w:tcPr>
          <w:p>
            <w:pPr>
              <w:widowControl/>
              <w:spacing w:before="0" w:after="0"/>
              <w:jc w:val="left"/>
            </w:pPr>
            <w:r>
              <w:rPr>
                <w:rFonts w:ascii="Calibri" w:hAnsi="Calibri"/>
                <w:color w:val="2D3748"/>
                <w:sz w:val="17"/>
              </w:rPr>
              <w:t>Student's t-Test (Equal Var)</w:t>
            </w:r>
          </w:p>
        </w:tc>
        <w:tc>
          <w:tcPr>
            <w:tcW w:type="dxa" w:w="1008"/>
            <w:shd w:fill="FFFFFF"/>
            <w:tcMar>
              <w:top w:w="90" w:type="dxa"/>
              <w:bottom w:w="90" w:type="dxa"/>
              <w:left w:w="120" w:type="dxa"/>
              <w:right w:w="120" w:type="dxa"/>
            </w:tcMar>
            <w:vAlign w:val="center"/>
          </w:tcPr>
          <w:p>
            <w:pPr>
              <w:widowControl/>
              <w:spacing w:before="0" w:after="0"/>
              <w:jc w:val="center"/>
            </w:pPr>
            <w:r>
              <w:rPr>
                <w:rFonts w:ascii="Calibri" w:hAnsi="Calibri"/>
                <w:color w:val="2D3748"/>
                <w:sz w:val="17"/>
              </w:rPr>
              <w:t>217 / 744</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11.52%</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9.93%</w:t>
            </w:r>
          </w:p>
        </w:tc>
        <w:tc>
          <w:tcPr>
            <w:tcW w:type="dxa" w:w="100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+1.59%</w:t>
            </w:r>
          </w:p>
        </w:tc>
        <w:tc>
          <w:tcPr>
            <w:tcW w:type="dxa" w:w="136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t = 23.95 (959)</w:t>
            </w:r>
          </w:p>
        </w:tc>
        <w:tc>
          <w:tcPr>
            <w:tcW w:type="dxa" w:w="1008"/>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&lt; 0.0001</w:t>
            </w:r>
          </w:p>
        </w:tc>
        <w:tc>
          <w:tcPr>
            <w:tcW w:type="dxa" w:w="936"/>
            <w:shd w:fill="FFFFFF"/>
            <w:tcMar>
              <w:top w:w="90" w:type="dxa"/>
              <w:bottom w:w="90" w:type="dxa"/>
              <w:left w:w="120" w:type="dxa"/>
              <w:right w:w="120" w:type="dxa"/>
            </w:tcMar>
            <w:vAlign w:val="center"/>
          </w:tcPr>
          <w:p>
            <w:pPr>
              <w:widowControl/>
              <w:spacing w:before="0" w:after="0"/>
              <w:jc w:val="right"/>
            </w:pPr>
            <w:r>
              <w:rPr>
                <w:rFonts w:ascii="Calibri" w:hAnsi="Calibri"/>
                <w:color w:val="2D3748"/>
                <w:sz w:val="17"/>
              </w:rPr>
              <w:t>d = 1.95</w:t>
            </w:r>
          </w:p>
        </w:tc>
      </w:tr>
      <w:tr>
        <w:trPr>
          <w:cantSplit/>
        </w:trPr>
        <w:tc>
          <w:tcPr>
            <w:tcW w:type="dxa" w:w="2160"/>
            <w:shd w:fill="F8FAFC"/>
            <w:tcMar>
              <w:top w:w="90" w:type="dxa"/>
              <w:bottom w:w="90" w:type="dxa"/>
              <w:left w:w="120" w:type="dxa"/>
              <w:right w:w="120" w:type="dxa"/>
            </w:tcMar>
            <w:vAlign w:val="center"/>
          </w:tcPr>
          <w:p>
            <w:pPr>
              <w:widowControl/>
              <w:spacing w:before="0" w:after="0"/>
              <w:jc w:val="left"/>
            </w:pPr>
            <w:r>
              <w:rPr>
                <w:rFonts w:ascii="Calibri" w:hAnsi="Calibri"/>
                <w:color w:val="2D3748"/>
                <w:sz w:val="17"/>
              </w:rPr>
              <w:t>Mann-Whitney U Test</w:t>
            </w:r>
          </w:p>
        </w:tc>
        <w:tc>
          <w:tcPr>
            <w:tcW w:type="dxa" w:w="1008"/>
            <w:shd w:fill="F8FAFC"/>
            <w:tcMar>
              <w:top w:w="90" w:type="dxa"/>
              <w:bottom w:w="90" w:type="dxa"/>
              <w:left w:w="120" w:type="dxa"/>
              <w:right w:w="120" w:type="dxa"/>
            </w:tcMar>
            <w:vAlign w:val="center"/>
          </w:tcPr>
          <w:p>
            <w:pPr>
              <w:widowControl/>
              <w:spacing w:before="0" w:after="0"/>
              <w:jc w:val="center"/>
            </w:pPr>
            <w:r>
              <w:rPr>
                <w:rFonts w:ascii="Calibri" w:hAnsi="Calibri"/>
                <w:color w:val="2D3748"/>
                <w:sz w:val="17"/>
              </w:rPr>
              <w:t>217 / 744</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11.50%*</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9.70%*</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+1.80%*</w:t>
            </w:r>
          </w:p>
        </w:tc>
        <w:tc>
          <w:tcPr>
            <w:tcW w:type="dxa" w:w="136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U = 145136</w:t>
            </w:r>
          </w:p>
        </w:tc>
        <w:tc>
          <w:tcPr>
            <w:tcW w:type="dxa" w:w="1008"/>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7.08e-72</w:t>
            </w:r>
          </w:p>
        </w:tc>
        <w:tc>
          <w:tcPr>
            <w:tcW w:type="dxa" w:w="936"/>
            <w:shd w:fill="F8FAFC"/>
            <w:tcMar>
              <w:top w:w="90" w:type="dxa"/>
              <w:bottom w:w="90" w:type="dxa"/>
              <w:left w:w="120" w:type="dxa"/>
              <w:right w:w="120" w:type="dxa"/>
            </w:tcMar>
            <w:vAlign w:val="center"/>
          </w:tcPr>
          <w:p>
            <w:pPr>
              <w:widowControl/>
              <w:spacing w:before="0" w:after="0"/>
              <w:jc w:val="right"/>
            </w:pPr>
            <w:r>
              <w:rPr>
                <w:rFonts w:ascii="Calibri" w:hAnsi="Calibri"/>
                <w:color w:val="2D3748"/>
                <w:sz w:val="17"/>
              </w:rPr>
              <w:t>r_rb = -0.80</w:t>
            </w:r>
          </w:p>
        </w:tc>
      </w:tr>
    </w:tbl>
    <w:p>
      <w:pPr>
        <w:widowControl/>
        <w:spacing w:before="60" w:after="160"/>
        <w:jc w:val="center"/>
      </w:pPr>
      <w:r>
        <w:rPr>
          <w:rFonts w:ascii="Calibri" w:hAnsi="Calibri"/>
          <w:i/>
          <w:color w:val="64748B"/>
          <w:sz w:val="17"/>
        </w:rPr>
        <w:t>Table 4: Secondary hypothesis test results comparing High Quality (≥7) versus Low Quality (≤5) red wine groups (*Medians reported for Mann-Whitney U test).</w:t>
      </w:r>
    </w:p>
    <w:p>
      <w:pPr>
        <w:widowControl/>
        <w:spacing w:before="0" w:after="100" w:line="276" w:lineRule="auto"/>
      </w:pPr>
      <w:r>
        <w:rPr>
          <w:rFonts w:ascii="Calibri" w:hAnsi="Calibri"/>
          <w:color w:val="2D3748"/>
          <w:sz w:val="19"/>
        </w:rPr>
        <w:t>Statistical Decision for Secondary Test: Because the p-value (5.44e-63) is well below α = 0.05, we reject the null hypothesis H₀,sec. High-quality wines exhibit a mean alcohol content of 11.52% vol (SD = 1.00%), compared to 9.93% vol (SD = 0.76%) in lower-quality wines, representing a statistically significant difference of +1.59% vol (95% CI: [1.45%, 1.74%]), t(292.4) = 21.73, p &lt; 0.001.</w:t>
      </w:r>
    </w:p>
    <w:p>
      <w:pPr>
        <w:widowControl/>
        <w:spacing w:before="0" w:after="100" w:line="276" w:lineRule="auto"/>
      </w:pPr>
      <w:r>
        <w:rPr>
          <w:rFonts w:ascii="Calibri" w:hAnsi="Calibri"/>
          <w:color w:val="2D3748"/>
          <w:sz w:val="19"/>
        </w:rPr>
        <w:t>Standardized Effect Size: Cohen's d is d = 1.95 (Hedges' g = 1.94). In standard behavioral and biological sciences, d ≥ 0.8 is considered 'large'. An effect size approaching 2.0 standard deviations signifies that approximately 97% of the lower-quality wine distribution falls below the mean of the high-quality group.</w:t>
      </w:r>
    </w:p>
    <w:p>
      <w:pPr>
        <w:widowControl/>
        <w:spacing w:before="0" w:after="100" w:line="276" w:lineRule="auto"/>
      </w:pPr>
      <w:r>
        <w:rPr>
          <w:rFonts w:ascii="Calibri" w:hAnsi="Calibri"/>
          <w:color w:val="2D3748"/>
          <w:sz w:val="19"/>
        </w:rPr>
        <w:t>Correlation Analysis: Across all 1,599 observations, Pearson product-moment correlation between alcohol content and quality score is r = 0.4762 (p = 2.83e-91, R² = 0.2267). Spearman rank-order correlation is ρ = 0.4785 (p = 2.73e-92), demonstrating a robust, monotonically positive association.</w:t>
      </w:r>
    </w:p>
    <w:p>
      <w:pPr>
        <w:keepNext/>
        <w:widowControl/>
        <w:spacing w:before="160" w:after="40"/>
        <w:jc w:val="center"/>
      </w:pPr>
    </w:p>
    <w:p>
      <w:r>
        <w:drawing>
          <wp:inline xmlns:a="http://schemas.openxmlformats.org/drawingml/2006/main" xmlns:pic="http://schemas.openxmlformats.org/drawingml/2006/picture">
            <wp:extent cx="5669280" cy="2598420"/>
            <wp:docPr id="5" name="Picture 5"/>
            <wp:cNvGraphicFramePr>
              <a:graphicFrameLocks noChangeAspect="1"/>
            </wp:cNvGraphicFramePr>
            <a:graphic>
              <a:graphicData uri="http://schemas.openxmlformats.org/drawingml/2006/picture">
                <pic:pic>
                  <pic:nvPicPr>
                    <pic:cNvPr id="0" name="figure5_secondary_ttest_comparison.png"/>
                    <pic:cNvPicPr/>
                  </pic:nvPicPr>
                  <pic:blipFill>
                    <a:blip r:embed="rId17"/>
                    <a:stretch>
                      <a:fillRect/>
                    </a:stretch>
                  </pic:blipFill>
                  <pic:spPr>
                    <a:xfrm>
                      <a:off x="0" y="0"/>
                      <a:ext cx="5669280" cy="2598420"/>
                    </a:xfrm>
                    <a:prstGeom prst="rect"/>
                  </pic:spPr>
                </pic:pic>
              </a:graphicData>
            </a:graphic>
          </wp:inline>
        </w:drawing>
      </w:r>
    </w:p>
    <w:p>
      <w:pPr>
        <w:widowControl/>
        <w:spacing w:before="40" w:after="160"/>
        <w:jc w:val="center"/>
      </w:pPr>
      <w:r>
        <w:rPr>
          <w:rFonts w:ascii="Calibri" w:hAnsi="Calibri"/>
          <w:i/>
          <w:color w:val="64748B"/>
          <w:sz w:val="17"/>
        </w:rPr>
        <w:t>Figure 5: High vs Low Quality Comparison — Secondary hypothesis test comparison between High Quality (≥7) and Low Quality (≤5) wines: (a) Overlaid kernel density estimates, and (b) Boxplot with Welch's t-test statistical summary.</w:t>
      </w:r>
    </w:p>
    <w:p>
      <w:pPr>
        <w:keepNext/>
        <w:widowControl/>
        <w:spacing w:before="280" w:after="80"/>
      </w:pPr>
      <w:r>
        <w:rPr>
          <w:rFonts w:ascii="Calibri" w:hAnsi="Calibri"/>
          <w:b/>
          <w:color w:val="1B365D"/>
          <w:sz w:val="26"/>
        </w:rPr>
        <w:t>13. Visual Analysis Synthesis</w:t>
      </w:r>
    </w:p>
    <w:p>
      <w:pPr>
        <w:widowControl/>
        <w:spacing w:before="0" w:after="100" w:line="276" w:lineRule="auto"/>
      </w:pPr>
      <w:r>
        <w:rPr>
          <w:rFonts w:ascii="Calibri" w:hAnsi="Calibri"/>
          <w:color w:val="2D3748"/>
          <w:sz w:val="19"/>
        </w:rPr>
        <w:t>A holistic visual inspection across the 6 generated figures reinforces our quantitative findings:</w:t>
        <w:br/>
        <w:t>1. Figure 1 establishes that overall alcohol content is moderately right-skewed with peak density between 9.2% and 9.8% vol.</w:t>
        <w:br/>
        <w:t>2. Figure 2 and Figure 3 illustrate a distinct non-linear inflection point: alcohol content remains flat across quality ratings 3, 4, and 5 (means around 9.9%–10.2%), before escalating sharply through ratings 6 (10.63%), 7 (11.47%), and 8 (12.09%).</w:t>
        <w:br/>
        <w:t>3. Figure 4 (Tukey HSD Forest Plot) highlights that every pairwise comparison between higher quality tiers (6, 7, 8) and lower quality tiers (3, 4, 5) is statistically significant (95% CIs strictly exclude zero).</w:t>
        <w:br/>
        <w:t>4. Figure 5 demonstrates clear bimodal separation between the density peaks of high-quality (mode ≈ 11.6%) and low-quality wines (mode ≈ 9.5%).</w:t>
        <w:br/>
        <w:t>5. Figure 6 presents the comprehensive 4-panel diagnostic matrix (Q-Q plot, residuals vs. fitted means, group standard deviations, and linear regression fit), confirming that while residuals show slight deviation in the upper tail, the linear relationship accounts for over 22.6% of total bivariate variance.</w:t>
      </w:r>
    </w:p>
    <w:p>
      <w:pPr>
        <w:keepNext/>
        <w:widowControl/>
        <w:spacing w:before="160" w:after="40"/>
        <w:jc w:val="center"/>
      </w:pPr>
    </w:p>
    <w:p>
      <w:r>
        <w:drawing>
          <wp:inline xmlns:a="http://schemas.openxmlformats.org/drawingml/2006/main" xmlns:pic="http://schemas.openxmlformats.org/drawingml/2006/picture">
            <wp:extent cx="5669280" cy="4724400"/>
            <wp:docPr id="6" name="Picture 6"/>
            <wp:cNvGraphicFramePr>
              <a:graphicFrameLocks noChangeAspect="1"/>
            </wp:cNvGraphicFramePr>
            <a:graphic>
              <a:graphicData uri="http://schemas.openxmlformats.org/drawingml/2006/picture">
                <pic:pic>
                  <pic:nvPicPr>
                    <pic:cNvPr id="0" name="figure6_statistical_diagnostics_qq.png"/>
                    <pic:cNvPicPr/>
                  </pic:nvPicPr>
                  <pic:blipFill>
                    <a:blip r:embed="rId18"/>
                    <a:stretch>
                      <a:fillRect/>
                    </a:stretch>
                  </pic:blipFill>
                  <pic:spPr>
                    <a:xfrm>
                      <a:off x="0" y="0"/>
                      <a:ext cx="5669280" cy="4724400"/>
                    </a:xfrm>
                    <a:prstGeom prst="rect"/>
                  </pic:spPr>
                </pic:pic>
              </a:graphicData>
            </a:graphic>
          </wp:inline>
        </w:drawing>
      </w:r>
    </w:p>
    <w:p>
      <w:pPr>
        <w:widowControl/>
        <w:spacing w:before="40" w:after="160"/>
        <w:jc w:val="center"/>
      </w:pPr>
      <w:r>
        <w:rPr>
          <w:rFonts w:ascii="Calibri" w:hAnsi="Calibri"/>
          <w:i/>
          <w:color w:val="64748B"/>
          <w:sz w:val="17"/>
        </w:rPr>
        <w:t>Figure 6: Statistical Diagnostic Matrix — Comprehensive 4-panel diagnostic matrix: (a) Normal Q-Q plot of ANOVA residuals, (b) Residuals vs. fitted means, (c) Standard deviation across quality groups, and (d) Scatter plot with linear regression fit.</w:t>
      </w:r>
    </w:p>
    <w:p>
      <w:pPr>
        <w:keepNext/>
        <w:widowControl/>
        <w:spacing w:before="280" w:after="80"/>
      </w:pPr>
      <w:r>
        <w:rPr>
          <w:rFonts w:ascii="Calibri" w:hAnsi="Calibri"/>
          <w:b/>
          <w:color w:val="1B365D"/>
          <w:sz w:val="26"/>
        </w:rPr>
        <w:t>14. Summary of Statistical Results</w:t>
      </w:r>
    </w:p>
    <w:p>
      <w:pPr>
        <w:widowControl/>
        <w:spacing w:before="0" w:after="100" w:line="276" w:lineRule="auto"/>
      </w:pPr>
      <w:r>
        <w:rPr>
          <w:rFonts w:ascii="Calibri" w:hAnsi="Calibri"/>
          <w:color w:val="2D3748"/>
          <w:sz w:val="19"/>
        </w:rPr>
        <w:t>The empirical findings of this study are summarized as follows:</w:t>
        <w:br/>
        <w:t>• Primary ANOVA: F(5, 1593) = 115.85, p = 1.21e-104 (Reject H₀).</w:t>
        <w:br/>
        <w:t>• Effect Size: η² = 0.2667, ω² = 0.2642 (Very Large Effect).</w:t>
        <w:br/>
        <w:t>• Non-Parametric ANOVA: Kruskal-Wallis H(5) = 412.38, p = 6.37e-87 (Reject H₀).</w:t>
        <w:br/>
        <w:t>• Post-Hoc Comparisons: 8 out of 15 pairwise comparisons are statistically significant at FWER α = 0.05.</w:t>
        <w:br/>
        <w:t>• Secondary Welch t-Test: t(292.4) = 21.73, p = 5.44e-63, Mean Diff = +1.59% vol (95% CI: [1.45%, 1.74%]) (Reject H₀,sec).</w:t>
        <w:br/>
        <w:t>• Secondary Effect Size: Cohen's d = 1.95, Hedges' g = 1.94.</w:t>
        <w:br/>
        <w:t>• Bivariate Correlation: Pearson r = 0.4762 (p &lt; 0.001, R² = 0.2267), Spearman ρ = 0.4785 (p &lt; 0.001).</w:t>
      </w:r>
    </w:p>
    <w:p>
      <w:pPr>
        <w:keepNext/>
        <w:widowControl/>
        <w:spacing w:before="280" w:after="80"/>
      </w:pPr>
      <w:r>
        <w:rPr>
          <w:rFonts w:ascii="Calibri" w:hAnsi="Calibri"/>
          <w:b/>
          <w:color w:val="1B365D"/>
          <w:sz w:val="26"/>
        </w:rPr>
        <w:t>15. Statistical and Practical Interpretation</w:t>
      </w:r>
    </w:p>
    <w:p>
      <w:pPr>
        <w:widowControl/>
        <w:spacing w:before="0" w:after="100" w:line="276" w:lineRule="auto"/>
      </w:pPr>
      <w:r>
        <w:rPr>
          <w:rFonts w:ascii="Calibri" w:hAnsi="Calibri"/>
          <w:color w:val="2D3748"/>
          <w:sz w:val="19"/>
        </w:rPr>
        <w:t>Critical Distinction Between Statistical Significance and Causation:</w:t>
        <w:br/>
        <w:t>It is paramount to emphasize that statistical significance does not prove direct causation. Our analysis establishes a strong, statistically significant positive association between alcohol content and sensory quality ratings. However, this statistical relationship does not imply that artificially increasing ethanol content in a low-quality wine would enhance its sensory rating.</w:t>
      </w:r>
    </w:p>
    <w:p>
      <w:pPr>
        <w:widowControl/>
        <w:spacing w:before="0" w:after="100" w:line="276" w:lineRule="auto"/>
      </w:pPr>
      <w:r>
        <w:rPr>
          <w:rFonts w:ascii="Calibri" w:hAnsi="Calibri"/>
          <w:color w:val="2D3748"/>
          <w:sz w:val="19"/>
        </w:rPr>
        <w:t>Oenological and Chemical Context:</w:t>
        <w:br/>
        <w:t>In commercial winemaking, higher alcohol content frequently serves as a correlate of grape maturity at harvest. Grapes harvested at full physiological ripeness typically possess higher natural sugar concentrations (Brix), richer phenolic compounds (anthocyanins and tannins), and more developed aroma precursor profiles. Complete fermentation of these musts yields higher ethanol levels alongside balanced glycerol, esters, and structural body. Conversely, less mature grapes often yield lower alcohol wines that may exhibit herbaceous notes, elevated volatile acidity, and lighter body. Thus, ethanol concentration should be interpreted as an associated marker of overall fruit ripeness and fermentation completeness rather than an isolated causal driver of wine quality.</w:t>
      </w:r>
    </w:p>
    <w:p>
      <w:pPr>
        <w:keepNext/>
        <w:widowControl/>
        <w:spacing w:before="280" w:after="80"/>
      </w:pPr>
      <w:r>
        <w:rPr>
          <w:rFonts w:ascii="Calibri" w:hAnsi="Calibri"/>
          <w:b/>
          <w:color w:val="1B365D"/>
          <w:sz w:val="26"/>
        </w:rPr>
        <w:t>16. Practical and Scientific Implications</w:t>
      </w:r>
    </w:p>
    <w:p>
      <w:pPr>
        <w:widowControl/>
        <w:spacing w:before="0" w:after="100" w:line="276" w:lineRule="auto"/>
      </w:pPr>
      <w:r>
        <w:rPr>
          <w:rFonts w:ascii="Calibri" w:hAnsi="Calibri"/>
          <w:color w:val="2D3748"/>
          <w:sz w:val="19"/>
        </w:rPr>
        <w:t>1. Viticultural and Oenological Context: The observed statistical association between higher alcohol content and premium quality scores aligns with general viticultural understanding regarding grape ripeness at harvest. However, ethanol level should be viewed as an associated characteristic rather than a prescriptive target; alcohol content alone cannot guarantee superior sensory quality without balanced acidity, phenolic maturity, and aroma balance.</w:t>
        <w:br/>
        <w:t>2. Fermentation Considerations: Winemakers should consider that complete fermentation of ripe musts is associated with higher quality ratings, while balancing ethanol levels against desired wine style, consumer preferences, and regional regulatory frameworks.</w:t>
        <w:br/>
        <w:t>3. Quality Monitoring and Screening: Ethanol concentration can serve as one of several descriptive indicator variables in quality monitoring protocols, but should not be used as a standalone determinant of sensory excellence.</w:t>
      </w:r>
    </w:p>
    <w:p>
      <w:pPr>
        <w:keepNext/>
        <w:widowControl/>
        <w:spacing w:before="280" w:after="80"/>
      </w:pPr>
      <w:r>
        <w:rPr>
          <w:rFonts w:ascii="Calibri" w:hAnsi="Calibri"/>
          <w:b/>
          <w:color w:val="1B365D"/>
          <w:sz w:val="26"/>
        </w:rPr>
        <w:t>17. Study Limitations</w:t>
      </w:r>
    </w:p>
    <w:p>
      <w:pPr>
        <w:widowControl/>
        <w:spacing w:before="0" w:after="100" w:line="276" w:lineRule="auto"/>
      </w:pPr>
      <w:r>
        <w:rPr>
          <w:rFonts w:ascii="Calibri" w:hAnsi="Calibri"/>
          <w:color w:val="2D3748"/>
          <w:sz w:val="19"/>
        </w:rPr>
        <w:t>Several methodological and data-specific limitations should be acknowledged:</w:t>
        <w:br/>
        <w:t>1. Geographic and Varietal Specificity: The dataset is derived exclusively from red 'Vinho Verde' wines produced in Portugal. Generalization to other varietals (e.g., Cabernet Sauvignon, Pinot Noir) or warm-climate regions requires separate empirical validation.</w:t>
        <w:br/>
        <w:t>2. Class Imbalance: Quality ratings 3 (n = 10) and 8 (n = 18) have small sample sizes compared to ratings 5 (n = 681) and 6 (n = 638), reducing statistical power for extreme tier comparisons.</w:t>
        <w:br/>
        <w:t>3. Observational Design and Independence: As an observational dataset lacking explicit vineyard, producer, and harvest identifiers, direct causal attribution is precluded, and observational independence must be treated as a working statistical assumption.</w:t>
        <w:br/>
        <w:t>4. Unmeasured Confounders: Sensory perception is influenced by volatile aromatic compounds, barrel oak aging (vanillin, lactones), and serving temperature, which are not captured in basic physicochemical panels.</w:t>
      </w:r>
    </w:p>
    <w:p>
      <w:pPr>
        <w:keepNext/>
        <w:widowControl/>
        <w:spacing w:before="280" w:after="80"/>
      </w:pPr>
      <w:r>
        <w:rPr>
          <w:rFonts w:ascii="Calibri" w:hAnsi="Calibri"/>
          <w:b/>
          <w:color w:val="1B365D"/>
          <w:sz w:val="26"/>
        </w:rPr>
        <w:t>18. Conclusion</w:t>
      </w:r>
    </w:p>
    <w:p>
      <w:pPr>
        <w:widowControl/>
        <w:spacing w:before="0" w:after="100" w:line="276" w:lineRule="auto"/>
      </w:pPr>
      <w:r>
        <w:rPr>
          <w:rFonts w:ascii="Calibri" w:hAnsi="Calibri"/>
          <w:color w:val="2D3748"/>
          <w:sz w:val="19"/>
        </w:rPr>
        <w:t>This research executed a comprehensive, scientifically rigorous inferential analysis of the UCI Wine Quality dataset. Both the primary One-Way ANOVA (F(5, 1593) = 115.85, p &lt; 0.001, η² = 0.2667, ω² = 0.2642) and secondary Welch's t-test (t(292.4) = 21.73, p &lt; 0.001, Cohen's d = 1.95, Hedges' g = 1.94) decisively rejected their respective null hypotheses at α = 0.05. High-quality red wines possess a statistically significant and practically substantial positive association in alcohol concentration (+1.59% vol, 95% CI: [1.45%, 1.74%]) compared to commercial lower-tier wines.</w:t>
      </w:r>
    </w:p>
    <w:p>
      <w:pPr>
        <w:widowControl/>
        <w:spacing w:before="0" w:after="100" w:line="276" w:lineRule="auto"/>
      </w:pPr>
      <w:r>
        <w:rPr>
          <w:rFonts w:ascii="Calibri" w:hAnsi="Calibri"/>
          <w:color w:val="2D3748"/>
          <w:sz w:val="19"/>
        </w:rPr>
        <w:t>These results corroborate oenological theory regarding the association between grape ripeness, fermentation completeness, and sensory ratings. The automated analytical framework guarantees full reproducibility, modularity, and technical transparency for academic and industrial application.</w:t>
      </w:r>
    </w:p>
    <w:p>
      <w:pPr>
        <w:keepNext/>
        <w:widowControl/>
        <w:spacing w:before="280" w:after="80"/>
      </w:pPr>
      <w:r>
        <w:rPr>
          <w:rFonts w:ascii="Calibri" w:hAnsi="Calibri"/>
          <w:b/>
          <w:color w:val="1B365D"/>
          <w:sz w:val="26"/>
        </w:rPr>
        <w:t>19. References</w:t>
      </w:r>
    </w:p>
    <w:p>
      <w:pPr>
        <w:widowControl/>
        <w:spacing w:before="0" w:after="100" w:line="276" w:lineRule="auto"/>
      </w:pPr>
      <w:r>
        <w:rPr>
          <w:rFonts w:ascii="Calibri" w:hAnsi="Calibri"/>
          <w:color w:val="2D3748"/>
          <w:sz w:val="19"/>
        </w:rPr>
        <w:t>1. Cortez, P., Cerdeira, A., Almeida, F., Matos, T., &amp; Reis, J. (2009). Modeling wine preferences by data mining from physicochemical properties. Decision Support Systems, 47(4), 547-553. https://doi.org/10.1016/j.dss.2009.05.016</w:t>
        <w:br/>
        <w:t>2. Cohen, J. (1988). Statistical Power Analysis for the Behavioral Sciences (2nd ed.). Lawrence Erlbaum Associates.</w:t>
        <w:br/>
        <w:t>3. Olejnik, S., &amp; Algina, J. (2003). Generalized eta and omega squared statistics: measures of effect size for some common research designs. Psychological Methods, 8(4), 434-447. https://doi.org/10.1037/1082-989X.8.4.434</w:t>
        <w:br/>
        <w:t>4. Tukey, J. W. (1949). Comparing individual means in the analysis of variance. Biometrics, 5(2), 99-114. https://doi.org/10.2307/3001913</w:t>
        <w:br/>
        <w:t>5. Welch, B. L. (1947). The generalization of 'Student's' problem when several different population variances are involved. Biometrika, 34(1/2), 28-35. https://doi.org/10.2307/2332510</w:t>
        <w:br/>
        <w:t>6. Virtanen, P., et al. (2020). SciPy 1.0: Fundamental Algorithms for Scientific Computing in Python. Nature Methods, 17(3), 261-272.</w:t>
        <w:br/>
        <w:t>7. Seabold, S., &amp; Perktold, J. (2010). Statsmodels: Econometric and statistical modeling with Python. In Proceedings of the 9th Python in Science Conference.</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4748B"/>
        <w:sz w:val="17"/>
      </w:rPr>
      <w:t xml:space="preserve">Week 3 — Statistical Analysis &amp; Hypothesis Testing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Calibri" w:hAnsi="Calibri"/>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