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44"/>
          <w:szCs w:val="44"/>
        </w:rPr>
        <w:t xml:space="preserve">THE TWO DIALECTS</w:t>
      </w:r>
    </w:p>
    <w:p>
      <w:pPr>
        <w:spacing w:after="240"/>
      </w:pPr>
      <w:r>
        <w:rPr>
          <w:color w:val="666666"/>
          <w:sz w:val="26"/>
          <w:szCs w:val="26"/>
        </w:rPr>
        <w:t xml:space="preserve">Every function from the slides, in Base R and Tidyverse — a translation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Why two dialects exist:</w:t>
            </w:r>
          </w:p>
          <w:p>
            <w:pPr>
              <w:spacing w:after="0"/>
            </w:pPr>
            <w:r>
              <w:t xml:space="preserve">Everything in our slides so far is </w:t>
            </w:r>
            <w:r>
              <w:rPr>
                <w:b/>
                <w:bCs/>
              </w:rPr>
              <w:t xml:space="preserve">base R</w:t>
            </w:r>
            <w:r>
              <w:t xml:space="preserve"> — the tools built into the language, no installation needed. The </w:t>
            </w:r>
            <w:r>
              <w:rPr>
                <w:b/>
                <w:bCs/>
              </w:rPr>
              <w:t xml:space="preserve">tidyverse</w:t>
            </w:r>
            <w:r>
              <w:t xml:space="preserve"> is a famous set of add-on packages (a matched appliance set for the kitchen) that does the same jobs with a more consistent grammar. Most modern textbooks, tutorials, and labs use it. You don’t have to pick a side: </w:t>
            </w:r>
            <w:r>
              <w:rPr>
                <w:i/>
                <w:iCs/>
              </w:rPr>
              <w:t xml:space="preserve">learn to read both, write whichever your instructor or collaborators use.</w:t>
            </w:r>
            <w:r>
              <w:t xml:space="preserve"> This guide pairs every function from our slides with its tidyverse translation.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Setup: Buying the Appliance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install.packages("tidyverse")   # buy the appliances ONCE (needs internet)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library(tidyverse)              # take them off the shelf, once per script</w:t>
            </w:r>
          </w:p>
        </w:tc>
      </w:tr>
    </w:tbl>
    <w:p>
      <w:pPr>
        <w:spacing w:after="60"/>
      </w:pPr>
    </w:p>
    <w:p>
      <w:pPr>
        <w:spacing w:after="140"/>
      </w:pPr>
      <w:r>
        <w:t xml:space="preserve">Put </w:t>
      </w:r>
      <w:r>
        <w:rPr>
          <w:rFonts w:ascii="Courier New" w:cs="Courier New" w:eastAsia="Courier New" w:hAnsi="Courier New"/>
        </w:rPr>
        <w:t xml:space="preserve">library(tidyverse)</w:t>
      </w:r>
      <w:r>
        <w:t xml:space="preserve"> at the top of any script that uses these functions — a recipe should list its appliances up front. If R says </w:t>
      </w:r>
      <w:r>
        <w:rPr>
          <w:rFonts w:ascii="Courier New" w:cs="Courier New" w:eastAsia="Courier New" w:hAnsi="Courier New"/>
        </w:rPr>
        <w:t xml:space="preserve">could not find function "read_csv"</w:t>
      </w:r>
      <w:r>
        <w:t xml:space="preserve">, the appliance is still in the cupboard: you forgot the </w:t>
      </w:r>
      <w:r>
        <w:rPr>
          <w:rFonts w:ascii="Courier New" w:cs="Courier New" w:eastAsia="Courier New" w:hAnsi="Courier New"/>
        </w:rPr>
        <w:t xml:space="preserve">library()</w:t>
      </w:r>
      <w:r>
        <w:t xml:space="preserve">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pipe |&gt; — the conveyor belt (learn this first):</w:t>
            </w:r>
          </w:p>
          <w:p>
            <w:pPr>
              <w:spacing w:after="0"/>
            </w:pPr>
            <w:r>
              <w:t xml:space="preserve">Tidyverse code is built around the pipe, which passes a dish down the assembly line. Read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|&gt;</w:t>
            </w:r>
            <w:r>
              <w:t xml:space="preserve"> out loud as </w:t>
            </w:r>
            <w:r>
              <w:rPr>
                <w:b/>
                <w:bCs/>
                <w:i/>
                <w:iCs/>
              </w:rPr>
              <w:t xml:space="preserve">“then”</w:t>
            </w:r>
            <w:r>
              <w:t xml:space="preserve">: </w:t>
            </w:r>
            <w:r>
              <w:rPr>
                <w:rFonts w:ascii="Courier New" w:cs="Courier New" w:eastAsia="Courier New" w:hAnsi="Courier New"/>
              </w:rPr>
              <w:t xml:space="preserve">evidence |&gt; count(cookie)</w:t>
            </w:r>
            <w:r>
              <w:t xml:space="preserve"> means “take the evidence, THEN count the cookies.” You will also see </w:t>
            </w:r>
            <w:r>
              <w:rPr>
                <w:rFonts w:ascii="Courier New" w:cs="Courier New" w:eastAsia="Courier New" w:hAnsi="Courier New"/>
              </w:rPr>
              <w:t xml:space="preserve">%&gt;%</w:t>
            </w:r>
            <w:r>
              <w:t xml:space="preserve"> in older tutorials — same idea, older model of the conveyor belt; the two are interchangeable for everything we do.</w:t>
            </w:r>
          </w:p>
        </w:tc>
      </w:tr>
    </w:tbl>
    <w:p>
      <w:pPr>
        <w:pStyle w:val="Heading1"/>
      </w:pPr>
      <w:r>
        <w:t xml:space="preserve">Part 1: Making &amp; Describing Data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Build a data table</w:t>
      </w:r>
      <w:r>
        <w:rPr>
          <w:i/>
          <w:iCs/>
          <w:color w:val="888888"/>
          <w:sz w:val="18"/>
          <w:szCs w:val="18"/>
        </w:rPr>
        <w:t xml:space="preserve">   ·   Welcome to the Kitchen, slide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taste_test &lt;- data.frame(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cookie_type, avg_rating)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taste_test &lt;- tibble(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cookie_type, avg_rating)</w:t>
            </w:r>
          </w:p>
        </w:tc>
      </w:tr>
    </w:tbl>
    <w:p>
      <w:pPr>
        <w:spacing w:after="60" w:before="80"/>
      </w:pPr>
      <w:r>
        <w:t xml:space="preserve">A </w:t>
      </w:r>
      <w:r>
        <w:rPr>
          <w:rFonts w:ascii="Courier New" w:cs="Courier New" w:eastAsia="Courier New" w:hAnsi="Courier New"/>
        </w:rPr>
        <w:t xml:space="preserve">tibble</w:t>
      </w:r>
      <w:r>
        <w:t xml:space="preserve"> is the tidyverse mixing bowl: same idea as a data frame, but it prints a tidy preview (10 rows, column types shown) and never silently mangles your ingredients. Everything that works on a data frame works on a tibble.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The basic techniques: mean, sd, length</w:t>
      </w:r>
      <w:r>
        <w:rPr>
          <w:i/>
          <w:iCs/>
          <w:color w:val="888888"/>
          <w:sz w:val="18"/>
          <w:szCs w:val="18"/>
        </w:rPr>
        <w:t xml:space="preserve">   ·   Kitchen slides 5–7 · Case File #1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mean(cookie_ratings)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sd(cookie_ratings)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length(cookie_ratings)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Same functions! The 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doesn't replace them -- it changes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WHERE they live (inside summarise,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below). length() becomes n().</w:t>
            </w:r>
          </w:p>
        </w:tc>
      </w:tr>
    </w:tbl>
    <w:p>
      <w:pPr>
        <w:spacing w:after="60" w:before="80"/>
      </w:pPr>
      <w:r>
        <w:rPr>
          <w:b/>
          <w:bCs/>
        </w:rPr>
        <w:t xml:space="preserve">The knives don’t change — the workflow around them does. </w:t>
      </w:r>
      <w:r>
        <w:t xml:space="preserve">mean(), sd(), sqrt(), round() are identical in both dialects.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Bar chart</w:t>
      </w:r>
      <w:r>
        <w:rPr>
          <w:i/>
          <w:iCs/>
          <w:color w:val="888888"/>
          <w:sz w:val="18"/>
          <w:szCs w:val="18"/>
        </w:rPr>
        <w:t xml:space="preserve">   ·   Welcome to the Kitchen, slide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barplot(avg_rating,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names.arg = cookie_type,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 = "tan",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main = "Taste-Test Results",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ylab = "Rating (out of 10)")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ggplot(taste_test,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aes(x = cookie_type,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y = avg_rating))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geom_col(fill = "tan")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labs(title = "Taste-Test Results",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y = "Rating (out of 10)")</w:t>
            </w:r>
          </w:p>
        </w:tc>
      </w:tr>
    </w:tbl>
    <w:p>
      <w:pPr>
        <w:spacing w:after="60" w:before="80"/>
      </w:pPr>
      <w:r>
        <w:rPr>
          <w:b/>
          <w:bCs/>
        </w:rPr>
        <w:t xml:space="preserve">ggplot grammar in one sentence: </w:t>
      </w:r>
      <w:r>
        <w:t xml:space="preserve">name the data, map columns to the axes with </w:t>
      </w:r>
      <w:r>
        <w:rPr>
          <w:rFonts w:ascii="Courier New" w:cs="Courier New" w:eastAsia="Courier New" w:hAnsi="Courier New"/>
        </w:rPr>
        <w:t xml:space="preserve">aes()</w:t>
      </w:r>
      <w:r>
        <w:t xml:space="preserve">, then ADD (</w:t>
      </w:r>
      <w:r>
        <w:rPr>
          <w:rFonts w:ascii="Courier New" w:cs="Courier New" w:eastAsia="Courier New" w:hAnsi="Courier New"/>
        </w:rPr>
        <w:t xml:space="preserve">+</w:t>
      </w:r>
      <w:r>
        <w:t xml:space="preserve">) layers — a geometry (</w:t>
      </w:r>
      <w:r>
        <w:rPr>
          <w:rFonts w:ascii="Courier New" w:cs="Courier New" w:eastAsia="Courier New" w:hAnsi="Courier New"/>
        </w:rPr>
        <w:t xml:space="preserve">geom_col</w:t>
      </w:r>
      <w:r>
        <w:t xml:space="preserve"> = bars), labels, and so on. Plating instructions, one garnish at a time.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Boxplot of groups</w:t>
      </w:r>
      <w:r>
        <w:rPr>
          <w:i/>
          <w:iCs/>
          <w:color w:val="888888"/>
          <w:sz w:val="18"/>
          <w:szCs w:val="18"/>
        </w:rPr>
        <w:t xml:space="preserve">   ·   Case File #1, Step 1 · Case File #2,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Case 1 (two loose vectors):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boxplot(snickerdoodle, oatmeal)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Case 2 (long data frame):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boxplot(rating ~ cookie,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data = evidence)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ggplot wants LONG data, like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the Case 2 evidence file: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ggplot(evidence,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aes(x = cookie, y = rating))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geom_boxplot(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fill = "lightsteelblue")</w:t>
            </w:r>
          </w:p>
        </w:tc>
      </w:tr>
    </w:tbl>
    <w:p>
      <w:pPr>
        <w:spacing w:after="60" w:before="80"/>
      </w:pPr>
      <w:r>
        <w:rPr>
          <w:b/>
          <w:bCs/>
        </w:rPr>
        <w:t xml:space="preserve">Why the evidence file was shaped that way: </w:t>
      </w:r>
      <w:r>
        <w:t xml:space="preserve">the tidyverse strongly prefers long format — one row per witness, one column per fact (</w:t>
      </w:r>
      <w:r>
        <w:rPr>
          <w:rFonts w:ascii="Courier New" w:cs="Courier New" w:eastAsia="Courier New" w:hAnsi="Courier New"/>
        </w:rPr>
        <w:t xml:space="preserve">taster_id, cookie, rating</w:t>
      </w:r>
      <w:r>
        <w:t xml:space="preserve">). Our CSV is already tidy; Case 1’s two loose vectors are the format ggplot can’t use directly.</w:t>
      </w:r>
    </w:p>
    <w:p>
      <w:pPr>
        <w:pStyle w:val="Heading1"/>
      </w:pPr>
      <w:r>
        <w:t xml:space="preserve">Part 2: Loading &amp; Inspecting Evidence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Sign in the evidence (load a CSV)</w:t>
      </w:r>
      <w:r>
        <w:rPr>
          <w:i/>
          <w:iCs/>
          <w:color w:val="888888"/>
          <w:sz w:val="18"/>
          <w:szCs w:val="18"/>
        </w:rPr>
        <w:t xml:space="preserve">   ·   Case File #2, Step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&lt;-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read.csv("cookie-lineup.csv")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&lt;-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read_csv("cookie-lineup.csv")</w:t>
            </w:r>
          </w:p>
        </w:tc>
      </w:tr>
    </w:tbl>
    <w:p>
      <w:pPr>
        <w:spacing w:after="60" w:before="80"/>
      </w:pPr>
      <w:r>
        <w:rPr>
          <w:b/>
          <w:bCs/>
        </w:rPr>
        <w:t xml:space="preserve">Dot vs underscore — the classic tell of which dialect you’re reading. </w:t>
      </w:r>
      <w:r>
        <w:rPr>
          <w:rFonts w:ascii="Courier New" w:cs="Courier New" w:eastAsia="Courier New" w:hAnsi="Courier New"/>
        </w:rPr>
        <w:t xml:space="preserve">read_csv()</w:t>
      </w:r>
      <w:r>
        <w:t xml:space="preserve"> is faster, reports the column types it found (its own little chain-of-custody receipt), and returns a tibble. The bare filename works for the same reason as before: you entered through the </w:t>
      </w:r>
      <w:r>
        <w:rPr>
          <w:rFonts w:ascii="Courier New" w:cs="Courier New" w:eastAsia="Courier New" w:hAnsi="Courier New"/>
        </w:rPr>
        <w:t xml:space="preserve">.Rproj</w:t>
      </w:r>
      <w:r>
        <w:t xml:space="preserve"> door.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First look at the witnesses</w:t>
      </w:r>
      <w:r>
        <w:rPr>
          <w:i/>
          <w:iCs/>
          <w:color w:val="888888"/>
          <w:sz w:val="18"/>
          <w:szCs w:val="18"/>
        </w:rPr>
        <w:t xml:space="preserve">   ·   Case File #2,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head(evidence)   # first 6 rows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        # tibbles print 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# 10-row preview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slice_head(evidence, n = 6)</w:t>
            </w:r>
          </w:p>
        </w:tc>
      </w:tr>
    </w:tbl>
    <w:p>
      <w:pPr>
        <w:spacing w:after="60" w:before="80"/>
      </w:pPr>
      <w:r>
        <w:t xml:space="preserve">Tibbles are polite: type the name and you get a preview instead of 300 rows scrolling past. (</w:t>
      </w:r>
      <w:r>
        <w:rPr>
          <w:rFonts w:ascii="Courier New" w:cs="Courier New" w:eastAsia="Courier New" w:hAnsi="Courier New"/>
        </w:rPr>
        <w:t xml:space="preserve">head()</w:t>
      </w:r>
      <w:r>
        <w:t xml:space="preserve"> still works on tibbles too.)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What kinds of variables arrived?</w:t>
      </w:r>
      <w:r>
        <w:rPr>
          <w:i/>
          <w:iCs/>
          <w:color w:val="888888"/>
          <w:sz w:val="18"/>
          <w:szCs w:val="18"/>
        </w:rPr>
        <w:t xml:space="preserve">   ·   Case File #2,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str(evidence)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glimpse(evidence)</w:t>
            </w:r>
          </w:p>
        </w:tc>
      </w:tr>
    </w:tbl>
    <w:p>
      <w:pPr>
        <w:spacing w:after="60" w:before="80"/>
      </w:pPr>
      <w:r>
        <w:t xml:space="preserve">Same job, tidier printout: every column, its type, and the first few values — the X-ray of the evidence box.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Count the lineup</w:t>
      </w:r>
      <w:r>
        <w:rPr>
          <w:i/>
          <w:iCs/>
          <w:color w:val="888888"/>
          <w:sz w:val="18"/>
          <w:szCs w:val="18"/>
        </w:rPr>
        <w:t xml:space="preserve">   ·   Case File #2,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table(evidence$cookie)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|&gt; count(cookie)</w:t>
            </w:r>
          </w:p>
        </w:tc>
      </w:tr>
    </w:tbl>
    <w:p>
      <w:pPr>
        <w:spacing w:after="60" w:before="80"/>
      </w:pPr>
      <w:r>
        <w:t xml:space="preserve">Read the pipe aloud: “take the evidence, THEN count by cookie.” Sixty per suspect — a balanced lineup either way.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Pull one item out of the box</w:t>
      </w:r>
      <w:r>
        <w:rPr>
          <w:i/>
          <w:iCs/>
          <w:color w:val="888888"/>
          <w:sz w:val="18"/>
          <w:szCs w:val="18"/>
        </w:rPr>
        <w:t xml:space="preserve">   ·   Case File #2,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evidence$rating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|&gt; pull(rating)</w:t>
            </w:r>
          </w:p>
        </w:tc>
      </w:tr>
    </w:tbl>
    <w:p>
      <w:pPr>
        <w:spacing w:after="60" w:before="80"/>
      </w:pPr>
      <w:r>
        <w:t xml:space="preserve">The </w:t>
      </w:r>
      <w:r>
        <w:rPr>
          <w:rFonts w:ascii="Courier New" w:cs="Courier New" w:eastAsia="Courier New" w:hAnsi="Courier New"/>
        </w:rPr>
        <w:t xml:space="preserve">$</w:t>
      </w:r>
      <w:r>
        <w:t xml:space="preserve"> still works everywhere (and most people keep using it). </w:t>
      </w:r>
      <w:r>
        <w:rPr>
          <w:rFonts w:ascii="Courier New" w:cs="Courier New" w:eastAsia="Courier New" w:hAnsi="Courier New"/>
        </w:rPr>
        <w:t xml:space="preserve">pull()</w:t>
      </w:r>
      <w:r>
        <w:t xml:space="preserve"> is its conveyor-belt equivalent for when you’re mid-pipe.</w:t>
      </w: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Walk the scene: group means &amp; SDs</w:t>
      </w:r>
      <w:r>
        <w:rPr>
          <w:i/>
          <w:iCs/>
          <w:color w:val="888888"/>
          <w:sz w:val="18"/>
          <w:szCs w:val="18"/>
        </w:rPr>
        <w:t xml:space="preserve">   ·   Case File #2, Step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aggregate(rating ~ cookie,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data = evidence, FUN = mean)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aggregate(rating ~ cookie,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data = evidence, FUN = sd)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|&gt;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group_by(cookie) |&gt;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summarise(M  = mean(rating),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SD = sd(rating),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  = n())</w:t>
            </w:r>
          </w:p>
        </w:tc>
      </w:tr>
    </w:tbl>
    <w:p>
      <w:pPr>
        <w:spacing w:after="60" w:before="80"/>
      </w:pPr>
      <w:r>
        <w:rPr>
          <w:b/>
          <w:bCs/>
        </w:rPr>
        <w:t xml:space="preserve">The tidyverse’s best party trick. </w:t>
      </w:r>
      <w:r>
        <w:t xml:space="preserve">One pipe produces the entire walk-the-scene table — means, SDs, and counts in a single readable sentence: “take the evidence, THEN group it by cookie, THEN summarise each group.” Base R needed two </w:t>
      </w:r>
      <w:r>
        <w:rPr>
          <w:rFonts w:ascii="Courier New" w:cs="Courier New" w:eastAsia="Courier New" w:hAnsi="Courier New"/>
        </w:rPr>
        <w:t xml:space="preserve">aggregate()</w:t>
      </w:r>
      <w:r>
        <w:t xml:space="preserve"> calls and still didn’t give you </w:t>
      </w:r>
      <w:r>
        <w:rPr>
          <w:rFonts w:ascii="Courier New" w:cs="Courier New" w:eastAsia="Courier New" w:hAnsi="Courier New"/>
        </w:rPr>
        <w:t xml:space="preserve">n</w:t>
      </w:r>
      <w:r>
        <w:t xml:space="preserve">.</w:t>
      </w:r>
    </w:p>
    <w:p>
      <w:pPr>
        <w:pStyle w:val="Heading1"/>
      </w:pPr>
      <w:r>
        <w:t xml:space="preserve">Part 3: The Tests Don’t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The courtroom doesn’t care which kitchen cooked.</w:t>
            </w:r>
          </w:p>
          <w:p>
            <w:pPr>
              <w:spacing w:after="0"/>
            </w:pPr>
            <w:r>
              <w:t xml:space="preserve">There is no “tidyverse t-test.” The inferential machinery from the slides —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t.test()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aov()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summary()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</w:rPr>
              <w:t xml:space="preserve">TukeyHSD()</w:t>
            </w:r>
            <w:r>
              <w:t xml:space="preserve"> — is identical in both dialects, and so is every line of courtroom logic: null, alpha, p-value, verdict language, effect sizes. The tidyverse changes how you prep, inspect, and plate the evidence; the interrogation itself is the same.</w:t>
            </w:r>
          </w:p>
        </w:tc>
      </w:tr>
    </w:tbl>
    <w:p>
      <w:pPr>
        <w:spacing w:after="60"/>
      </w:pPr>
    </w:p>
    <w:p>
      <w:pPr>
        <w:keepNext/>
        <w:spacing w:after="80" w:before="200"/>
      </w:pPr>
      <w:r>
        <w:rPr>
          <w:b/>
          <w:bCs/>
          <w:color w:val="1E2761"/>
          <w:sz w:val="23"/>
          <w:szCs w:val="23"/>
        </w:rPr>
        <w:t xml:space="preserve">One genuinely useful addition: tidy the report</w:t>
      </w:r>
      <w:r>
        <w:rPr>
          <w:i/>
          <w:iCs/>
          <w:color w:val="888888"/>
          <w:sz w:val="18"/>
          <w:szCs w:val="18"/>
        </w:rPr>
        <w:t xml:space="preserve">   ·   optional — for the curious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BASE R (THE SLIDES)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summary(lineup)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TukeyHSD(lineup)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 prints to the console;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hard to reuse programmatically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1E2761"/>
                <w:sz w:val="18"/>
                <w:szCs w:val="18"/>
              </w:rPr>
              <w:t xml:space="preserve">TIDYVERSE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library(broom)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tidy(lineup)        # ANOVA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tidy(TukeyHSD(lineup))  # as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tibble you can filter &amp; plot</w:t>
            </w:r>
          </w:p>
        </w:tc>
      </w:tr>
    </w:tbl>
    <w:p>
      <w:pPr>
        <w:spacing w:after="60" w:before="80"/>
      </w:pPr>
      <w:r>
        <w:t xml:space="preserve">The </w:t>
      </w:r>
      <w:r>
        <w:rPr>
          <w:rFonts w:ascii="Courier New" w:cs="Courier New" w:eastAsia="Courier New" w:hAnsi="Courier New"/>
        </w:rPr>
        <w:t xml:space="preserve">broom</w:t>
      </w:r>
      <w:r>
        <w:t xml:space="preserve"> package turns any test’s printed report into a data frame — so you can, say, filter the Tukey table to just the significant pairs: </w:t>
      </w:r>
      <w:r>
        <w:rPr>
          <w:rFonts w:ascii="Courier New" w:cs="Courier New" w:eastAsia="Courier New" w:hAnsi="Courier New"/>
          <w:sz w:val="18"/>
          <w:szCs w:val="18"/>
        </w:rPr>
        <w:t xml:space="preserve">tidy(TukeyHSD(lineup)) |&gt; filter(adj.p.value &lt; .05)</w:t>
      </w:r>
      <w:r>
        <w:t xml:space="preserve">. Strictly optional at this stage.</w:t>
      </w:r>
    </w:p>
    <w:p>
      <w:pPr>
        <w:pStyle w:val="Heading1"/>
      </w:pPr>
      <w:r>
        <w:t xml:space="preserve">Part 4: Case File #2, the Tidyverse Cut</w:t>
      </w:r>
    </w:p>
    <w:p>
      <w:pPr>
        <w:spacing w:after="140"/>
      </w:pPr>
      <w:r>
        <w:t xml:space="preserve">The complete Lineup investigation, translated. Every verdict, number, and conclusion is identical to the base R version — only the prep work changed: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==========================================================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CASE FILE #2: The Lineup (tidyverse cut)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==========================================================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library(tidyverse)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Sign the evidence into the locker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&lt;- read_csv("cookie-lineup.csv")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Chain of custody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glimpse(evidence)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|&gt; count(cookie)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Walk the scene: describe before you accuse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evidence |&gt;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group_by(cookie) |&gt;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summarise(M = mean(rating), SD = sd(rating), n = n())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Photograph the scene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ggplot(evidence, aes(x = cookie, y = rating))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geom_boxplot(fill = "lightsteelblue")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labs(title = "Case File #2: The Lineup",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y = "Taster Rating (out of 10)")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The lineup &amp; interrogations: UNCHANGED ---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lineup &lt;- aov(rating ~ cookie, data = evidence)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summary(lineup)        # F(4, 295) = 15.82, p &lt; .001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TukeyHSD(lineup)       # two tiers, same as before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--- Size of the crime: UNCHANGED 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88.8 / (88.8 + 413.9)  # eta^2 = .18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Spot the dialect — a 10-second field test for any R code you find online: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Pipes (|&gt; or %&gt;%), underscores in names (read_csv), ggplot, tibble, group_by </w:t>
            </w:r>
            <w:r>
              <w:t xml:space="preserve">→ tidyverse.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Dots in names (read.csv), $, aggregate, boxplot/barplot </w:t>
            </w:r>
            <w:r>
              <w:t xml:space="preserve">→ base R. Both are correct; mixing them in one script is also fine and extremely common. The tests — 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t.test, aov, TukeyHSD</w:t>
            </w:r>
            <w:r>
              <w:t xml:space="preserve"> — belong to both.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2761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2026-06-12T11:25:49.807Z</dcterms:created>
  <dcterms:modified xsi:type="dcterms:W3CDTF">2026-06-12T11:25:49.807Z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