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816"/>
          <w:sz w:val="40"/>
        </w:rPr>
        <w:t>Unit III — Graphs &amp; Isomorphism</w:t>
      </w:r>
    </w:p>
    <w:p>
      <w:pPr>
        <w:jc w:val="center"/>
      </w:pPr>
      <w:r>
        <w:rPr>
          <w:i/>
          <w:color w:val="4A90D9"/>
          <w:sz w:val="22"/>
        </w:rPr>
        <w:t>Bipartite Knowledge Graphs and Permutation-Similarity Certificates</w:t>
      </w:r>
    </w:p>
    <w:p>
      <w:pPr>
        <w:jc w:val="center"/>
      </w:pPr>
      <w:r>
        <w:rPr>
          <w:color w:val="5A5A5A"/>
          <w:sz w:val="20"/>
        </w:rPr>
        <w:t>GROUP 4  •  Discrete Mathematics  •  August 28, 2026</w:t>
      </w:r>
    </w:p>
    <w:p>
      <w:pPr>
        <w:jc w:val="center"/>
      </w:pPr>
      <w:r>
        <w:rPr>
          <w:i/>
          <w:color w:val="965050"/>
          <w:sz w:val="18"/>
        </w:rPr>
        <w:t>Educational mathematics assignment — not medical advice.</w:t>
      </w:r>
    </w:p>
    <w:p>
      <w:pPr>
        <w:pStyle w:val="Heading1"/>
      </w:pPr>
      <w:r>
        <w:t>1. Case Title (Unit III Focus)</w:t>
      </w:r>
    </w:p>
    <w:p>
      <w:r>
        <w:rPr>
          <w:b w:val="0"/>
          <w:i w:val="0"/>
        </w:rPr>
        <w:t>Modeling symptom–disease knowledge as a bipartite graph and proving that two different drawings are the same knowledge base.</w:t>
      </w:r>
    </w:p>
    <w:p>
      <w:pPr>
        <w:pStyle w:val="Heading1"/>
      </w:pPr>
      <w:r>
        <w:t>2. Problem Statement (Unit III)</w:t>
      </w:r>
    </w:p>
    <w:p>
      <w:r>
        <w:rPr>
          <w:b w:val="0"/>
          <w:i w:val="0"/>
        </w:rPr>
        <w:t>Can we model the knowledge base faithfully as a bipartite graph G=(S∪D,E)? How do we convince a reviewer that two drawings G and G′ with different layouts are isomorphic — i.e., the same knowledge?</w:t>
      </w:r>
    </w:p>
    <w:p>
      <w:pPr>
        <w:pStyle w:val="Heading1"/>
      </w:pPr>
      <w:r>
        <w:t>3. Real-world Context</w:t>
      </w:r>
    </w:p>
    <w:p>
      <w:r>
        <w:rPr>
          <w:b w:val="0"/>
          <w:i w:val="0"/>
        </w:rPr>
        <w:t>Medical editors maintain symptom–disease edges in different tools. Merging edits requires proving isomorphism, not trusting layout. Bipartite structure also enables 2-hop diagnosis: patient → symptom → disease.</w:t>
      </w:r>
    </w:p>
    <w:p>
      <w:pPr>
        <w:pStyle w:val="Heading1"/>
      </w:pPr>
      <w:r>
        <w:t>4. Mathematical Concept Used</w:t>
      </w:r>
    </w:p>
    <w:p>
      <w:r>
        <w:rPr>
          <w:b w:val="0"/>
          <w:i w:val="0"/>
        </w:rPr>
        <w:t>Bipartite graphs, degree sequences, biadjacency matrices, permutation matrices, and the certificate A₂ = P·A₁·Pᵀ.</w:t>
      </w:r>
    </w:p>
    <w:p>
      <w:pPr>
        <w:pStyle w:val="Heading1"/>
      </w:pPr>
      <w:r>
        <w:t>5. Mathematical Formulation</w:t>
      </w:r>
    </w:p>
    <w:p>
      <w:r>
        <w:rPr>
          <w:b w:val="0"/>
          <w:i w:val="0"/>
        </w:rPr>
        <w:t>V = S ∪ D, S={S₁ Fever, S₂ Cough, S₃ Rash, S₄ Fatigue}, D={D₁ Influenza, D₂ Measles, D₃ Anemia}, |V|=7, E={S₁D₁,S₁D₂,S₂D₁,S₃D₂,S₄D₁,S₄D₃}, |E|=6. Second representation reorders as (S₄,S₃,S₂,S₁ | D₃,D₂,D₁).</w:t>
      </w:r>
    </w:p>
    <w:p>
      <w:pPr>
        <w:pStyle w:val="Heading1"/>
      </w:pPr>
      <w:r>
        <w:t>6. Analysis / Solution</w:t>
      </w:r>
    </w:p>
    <w:p>
      <w:r>
        <w:rPr>
          <w:b w:val="0"/>
          <w:i w:val="0"/>
        </w:rPr>
        <w:t>Degrees: S₁=2,S₂=1,S₃=1,S₄=2,D₁=3,D₂=2,D₃=1; sequence sorted (3,2,2,2,1,1,1), sum 12=2·|E| (handshake lemma). Both drawings share |V|=7,|E|=6,bipartiteness and the sequence — necessary conditions. Bijection f(Sᵢ)=Sᵢ′,f(Dⱼ)=Dⱼ′ preserves all six edges; with equal edge counts non-edges are preserved. With reversal perms r_S=[3,2,1,0],r_D=[2,1,0], biadjacencies satisfy A₂=P·A₁·Pᵀ.</w:t>
      </w:r>
    </w:p>
    <w:p>
      <w:pPr>
        <w:pStyle w:val="Heading1"/>
      </w:pPr>
      <w:r>
        <w:t>7. Diagram / Graph / Truth Table / Algorithm</w:t>
      </w:r>
    </w:p>
    <w:p>
      <w:r>
        <w:rPr>
          <w:b w:val="0"/>
          <w:i w:val="0"/>
        </w:rPr>
        <w:t>Edge 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#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Edge</w:t>
            </w:r>
          </w:p>
        </w:tc>
        <w:tc>
          <w:tcPr>
            <w:tcW w:type="dxa" w:w="340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Clinical meaning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 — D₁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Fever indicates Influenza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2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 — D₂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Fever indicates Measles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3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S₂ — D₁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Cough indicates Influenza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4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S₃ — D₂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Rash indicates Measles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5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 — D₁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Fatigue indicates Influenza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 — D₃</w:t>
            </w:r>
          </w:p>
        </w:tc>
        <w:tc>
          <w:tcPr>
            <w:tcW w:type="dxa" w:w="340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Fatigue indicates Anemia</w:t>
            </w:r>
          </w:p>
        </w:tc>
      </w:tr>
    </w:tbl>
    <w:p>
      <w:r>
        <w:rPr>
          <w:b w:val="0"/>
          <w:i w:val="0"/>
        </w:rPr>
        <w:t>Invariant comparison: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Invariant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Rep.1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Rep.2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Match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Vertices |V|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7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Edges |E|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Degree sequence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(3,2,2,2,1,1,1)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(3,2,2,2,1,1,1)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Bipartite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yes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yes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✓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598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1_bipart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1 — Bipartite layout: symptoms left, diseases right.</w:t>
      </w:r>
    </w:p>
    <w:p>
      <w:r>
        <w:drawing>
          <wp:inline xmlns:a="http://schemas.openxmlformats.org/drawingml/2006/main" xmlns:pic="http://schemas.openxmlformats.org/drawingml/2006/picture">
            <wp:extent cx="5303520" cy="3598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2_circ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Figure 2 — Same network, circular scrambled layout. Only coordinates changed.</w:t>
      </w:r>
    </w:p>
    <w:p>
      <w:r>
        <w:rPr>
          <w:b w:val="0"/>
          <w:i w:val="0"/>
        </w:rPr>
        <w:t>Biadjacency matrices: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D₁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D₂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D₃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S₂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S₃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</w:tbl>
    <w:p>
      <w:r>
        <w:rPr>
          <w:b w:val="0"/>
          <w:i w:val="0"/>
        </w:rPr>
        <w:t>Reordered (S₄…S₁ | D₃…D₁):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D₃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D₂</w:t>
            </w:r>
          </w:p>
        </w:tc>
        <w:tc>
          <w:tcPr>
            <w:tcW w:type="dxa" w:w="255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</w:rPr>
              <w:t>D₁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S₄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S₃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S₂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S₁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0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</w:rPr>
              <w:t>1</w:t>
            </w:r>
          </w:p>
        </w:tc>
      </w:tr>
    </w:tbl>
    <w:p>
      <w:r>
        <w:rPr>
          <w:b w:val="0"/>
          <w:i w:val="0"/>
        </w:rPr>
        <w:t>Algorithm — Merge check: compute A₁,A₂, degree sequences; if invariants differ → not isomorphic; else search for P with A₂=P·A₁·Pᵀ (exhaustive for n=7, else use canonical labeling).</w:t>
      </w:r>
    </w:p>
    <w:p>
      <w:pPr>
        <w:pStyle w:val="Heading1"/>
      </w:pPr>
      <w:r>
        <w:t>8. Interpretation of Results</w:t>
      </w:r>
    </w:p>
    <w:p>
      <w:r>
        <w:rPr>
          <w:b w:val="0"/>
          <w:i w:val="0"/>
        </w:rPr>
        <w:t>Identical invariants plus the exhibited P-matrix prove the drawings are one knowledge base. Layout is irrelevant; connectivity is the invariant. Practically, two editors can work in different tools and merge losslessly.</w:t>
      </w:r>
    </w:p>
    <w:p>
      <w:pPr>
        <w:pStyle w:val="Heading1"/>
      </w:pPr>
      <w:r>
        <w:t>9. Practical Application</w:t>
      </w:r>
    </w:p>
    <w:p>
      <w:r>
        <w:rPr>
          <w:b w:val="0"/>
          <w:i w:val="0"/>
        </w:rPr>
        <w:t>Deployed as the Isomorphism Explorer: one network, two layouts, toggle morphs bipartite↔circular with spring, clicking a vertex highlights incident edges and its degree (e.g., D₁ degree 3). Curators visualise and de-duplicate without fearing layout artefacts.</w:t>
      </w:r>
    </w:p>
    <w:p>
      <w:pPr>
        <w:pStyle w:val="Heading1"/>
      </w:pPr>
      <w:r>
        <w:t>10. Innovation / Proposed Improvement</w:t>
      </w:r>
    </w:p>
    <w:p>
      <w:pPr>
        <w:pStyle w:val="ListBullet"/>
      </w:pPr>
      <w:r>
        <w:t>Store the graph in a graph DB with adjacency lists; isomorphism becomes a merge tool for concurrent edits.</w:t>
      </w:r>
    </w:p>
    <w:p>
      <w:pPr>
        <w:pStyle w:val="ListBullet"/>
      </w:pPr>
      <w:r>
        <w:t>Extend to a 3-partite patient–symptom–disease network for end-to-end diagnosis paths.</w:t>
      </w:r>
    </w:p>
    <w:p>
      <w:pPr>
        <w:pStyle w:val="Heading1"/>
      </w:pPr>
      <w:r>
        <w:t>11. Conclusion</w:t>
      </w:r>
    </w:p>
    <w:p>
      <w:r>
        <w:rPr>
          <w:b w:val="0"/>
          <w:i w:val="0"/>
        </w:rPr>
        <w:t>Bipartite modelling plus a permutation certificate turns a visual intuition (“same graph”) into a checkable artefact.</w:t>
      </w:r>
    </w:p>
    <w:p>
      <w:pPr>
        <w:pStyle w:val="Heading1"/>
      </w:pPr>
      <w:r>
        <w:t>12. References</w:t>
      </w:r>
    </w:p>
    <w:p>
      <w:pPr>
        <w:pStyle w:val="ListBullet"/>
      </w:pPr>
      <w:r>
        <w:t>Rosen, Chap. 10 — Graphs.</w:t>
      </w:r>
    </w:p>
    <w:p>
      <w:pPr>
        <w:pStyle w:val="ListBullet"/>
      </w:pPr>
      <w:r>
        <w:t>Vite + Vitest + Playwright docs.</w:t>
      </w:r>
    </w:p>
    <w:p>
      <w:pPr>
        <w:shd w:fill="FFF2CC"/>
        <w:jc w:val="center"/>
      </w:pPr>
      <w:r>
        <w:rPr>
          <w:i/>
          <w:sz w:val="16"/>
        </w:rPr>
        <w:t>All counts and proofs in this report are computationally verified (see live site https://ai-medical-diagnosis-site.vercel.app).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