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1816"/>
          <w:sz w:val="44"/>
        </w:rPr>
        <w:t>Complete Volume — All Three Unit Reports</w:t>
      </w:r>
    </w:p>
    <w:p>
      <w:pPr>
        <w:jc w:val="center"/>
      </w:pPr>
      <w:r>
        <w:rPr>
          <w:i/>
          <w:color w:val="4A90D9"/>
          <w:sz w:val="22"/>
        </w:rPr>
        <w:t>Twelve Sections per Unit · Full Compilation (36 Sections)</w:t>
      </w:r>
    </w:p>
    <w:p>
      <w:pPr>
        <w:jc w:val="center"/>
      </w:pPr>
      <w:r>
        <w:rPr>
          <w:color w:val="5A5A5A"/>
          <w:sz w:val="20"/>
        </w:rPr>
        <w:t>GROUP 4  •  Complete Volume — All Three Units  •  August 28, 2026</w:t>
      </w:r>
    </w:p>
    <w:p>
      <w:pPr>
        <w:jc w:val="center"/>
      </w:pPr>
      <w:r>
        <w:rPr>
          <w:i/>
          <w:color w:val="965050"/>
          <w:sz w:val="18"/>
        </w:rPr>
        <w:t>Educational mathematics assignment — not medical advice.</w:t>
      </w:r>
    </w:p>
    <w:p>
      <w:pPr>
        <w:pStyle w:val="Heading1"/>
      </w:pPr>
      <w:r>
        <w:t>Master Table of Contents</w:t>
      </w:r>
    </w:p>
    <w:p>
      <w:r>
        <w:rPr>
          <w:b w:val="0"/>
          <w:i/>
          <w:sz w:val="18"/>
        </w:rPr>
        <w:t>This volume compiles the three standalone Unit reports back-to-back, each following the faculty’s 12-section R&amp;D format. The integrated full R&amp;D report (GROUP4_RnD_Report) remains the concise 12-section synthesis; this volume is the expanded 36-section compilation for detailed submission.</w:t>
      </w:r>
    </w:p>
    <w:p>
      <w:pPr>
        <w:pStyle w:val="ListBullet"/>
      </w:pPr>
      <w:r>
        <w:t>Part I — Unit I: Logic and Proofs (Sections 1–12, focused on propositional logic)</w:t>
      </w:r>
    </w:p>
    <w:p>
      <w:pPr>
        <w:pStyle w:val="ListBullet"/>
      </w:pPr>
      <w:r>
        <w:t>Part II — Unit II: Combinatorics (Sections 1–12, focused on counting)</w:t>
      </w:r>
    </w:p>
    <w:p>
      <w:pPr>
        <w:pStyle w:val="ListBullet"/>
      </w:pPr>
      <w:r>
        <w:t>Part III — Unit III: Graphs &amp; Isomorphism (Sections 1–12, focused on bipartite graphs)</w:t>
      </w:r>
    </w:p>
    <w:p>
      <w:r>
        <w:br/>
      </w:r>
    </w:p>
    <w:p>
      <w:pPr>
        <w:jc w:val="center"/>
      </w:pPr>
      <w:r>
        <w:rPr>
          <w:b/>
          <w:color w:val="1282A2"/>
          <w:sz w:val="32"/>
        </w:rPr>
        <w:t>PART I</w:t>
      </w:r>
    </w:p>
    <w:p>
      <w:pPr>
        <w:jc w:val="center"/>
      </w:pPr>
      <w:r>
        <w:rPr>
          <w:b/>
          <w:sz w:val="36"/>
        </w:rPr>
        <w:t>Unit I — Logic and Proofs</w:t>
      </w:r>
    </w:p>
    <w:p>
      <w:r>
        <w:rPr>
          <w:b w:val="0"/>
          <w:i/>
          <w:sz w:val="18"/>
        </w:rPr>
        <w:t>Twelve-section standalone report for Unit I, covering the Hypothetical Syllogism triage rule.</w:t>
      </w:r>
    </w:p>
    <w:p>
      <w:pPr>
        <w:pStyle w:val="Heading1"/>
      </w:pPr>
      <w:r>
        <w:t>1. Title of the Case Study (Unit I)</w:t>
      </w:r>
    </w:p>
    <w:p>
      <w:r>
        <w:rPr>
          <w:b w:val="0"/>
          <w:i w:val="0"/>
        </w:rPr>
        <w:t>Unit I — Logic and Proofs: Proving (A ∧ B) → T from (A ∧ B) → X and X → T for Symptom-Based Triage.</w:t>
      </w:r>
    </w:p>
    <w:p>
      <w:pPr>
        <w:pStyle w:val="Heading1"/>
      </w:pPr>
      <w:r>
        <w:t>2. Problem Statement (Unit I)</w:t>
      </w:r>
    </w:p>
    <w:p>
      <w:r>
        <w:rPr>
          <w:b w:val="0"/>
          <w:i w:val="0"/>
        </w:rPr>
        <w:t>Given P₁: (A ∧ B) → X and P₂: X → T, does (A ∧ B) entail T? Must be proved via Hypothetical Syllogism and verified by truth table.</w:t>
      </w:r>
    </w:p>
    <w:p>
      <w:pPr>
        <w:pStyle w:val="ListBullet"/>
      </w:pPr>
      <w:r>
        <w:t>If A∧B true, can we derive X then T via Modus Ponens?</w:t>
      </w:r>
    </w:p>
    <w:p>
      <w:pPr>
        <w:pStyle w:val="ListBullet"/>
      </w:pPr>
      <w:r>
        <w:t>If A∧B false, does the implication hold vacuously?</w:t>
      </w:r>
    </w:p>
    <w:p>
      <w:pPr>
        <w:pStyle w:val="Heading1"/>
      </w:pPr>
      <w:r>
        <w:t>3. Real-world Context</w:t>
      </w:r>
    </w:p>
    <w:p>
      <w:r>
        <w:rPr>
          <w:b w:val="0"/>
          <w:i w:val="0"/>
        </w:rPr>
        <w:t>Triage chatbots need auditable rules: “two red flags together trigger a workup” must follow from the knowledge base, not be an ad-hoc shortcut.</w:t>
      </w:r>
    </w:p>
    <w:p>
      <w:pPr>
        <w:pStyle w:val="Heading1"/>
      </w:pPr>
      <w:r>
        <w:t>4. Mathematical Concept Used</w:t>
      </w:r>
    </w:p>
    <w:p>
      <w:r>
        <w:rPr>
          <w:b w:val="0"/>
          <w:i w:val="0"/>
        </w:rPr>
        <w:t>Propositions A,B,X,T; connectives ∧, →; Modus Ponens, Conditional Proof, Hypothetical Syllogism; 16-row truth-table semantics.</w:t>
      </w:r>
    </w:p>
    <w:p>
      <w:pPr>
        <w:pStyle w:val="Heading1"/>
      </w:pPr>
      <w:r>
        <w:t>5. Mathematical Formulation</w:t>
      </w:r>
    </w:p>
    <w:p>
      <w:r>
        <w:rPr>
          <w:b w:val="0"/>
          <w:i w:val="0"/>
        </w:rPr>
        <w:t>Variables: A=“symptom A present”, B=“symptom B present”, X=“disease X suspected”, T=“further testing recommended”. Premises: P₁:=(A∧B)→X, P₂:=X→T. Theorem: ⊢ (A∧B)→T.</w:t>
      </w:r>
    </w:p>
    <w:p>
      <w:pPr>
        <w:pStyle w:val="Heading1"/>
      </w:pPr>
      <w:r>
        <w:t>6. Analysis / Solution — Proof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Step</w:t>
            </w:r>
          </w:p>
        </w:tc>
        <w:tc>
          <w:tcPr>
            <w:tcW w:type="dxa" w:w="3408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Statement</w:t>
            </w:r>
          </w:p>
        </w:tc>
        <w:tc>
          <w:tcPr>
            <w:tcW w:type="dxa" w:w="3408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Justification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1</w:t>
            </w:r>
          </w:p>
        </w:tc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(A ∧ B) → X</w:t>
            </w:r>
          </w:p>
        </w:tc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Premise P₁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2</w:t>
            </w:r>
          </w:p>
        </w:tc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X → T</w:t>
            </w:r>
          </w:p>
        </w:tc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Premise P₂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3</w:t>
            </w:r>
          </w:p>
        </w:tc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A ∧ B</w:t>
            </w:r>
          </w:p>
        </w:tc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Assumption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4</w:t>
            </w:r>
          </w:p>
        </w:tc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X</w:t>
            </w:r>
          </w:p>
        </w:tc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MP 1,3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5</w:t>
            </w:r>
          </w:p>
        </w:tc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MP 2,4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6</w:t>
            </w:r>
          </w:p>
        </w:tc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(A ∧ B) → T</w:t>
            </w:r>
          </w:p>
        </w:tc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CP 3–5 ∎</w:t>
            </w:r>
          </w:p>
        </w:tc>
      </w:tr>
    </w:tbl>
    <w:p>
      <w:pPr>
        <w:pStyle w:val="Heading1"/>
      </w:pPr>
      <w:r>
        <w:t>7. Diagram / Truth Table</w:t>
      </w:r>
    </w:p>
    <w:p>
      <w:r>
        <w:rPr>
          <w:b w:val="0"/>
          <w:i w:val="0"/>
        </w:rPr>
        <w:t>16-row table. Shaded rows: both premises true (1 fired + 9 vacuous).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A</w:t>
            </w:r>
          </w:p>
        </w:tc>
        <w:tc>
          <w:tcPr>
            <w:tcW w:type="dxa" w:w="1278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B</w:t>
            </w:r>
          </w:p>
        </w:tc>
        <w:tc>
          <w:tcPr>
            <w:tcW w:type="dxa" w:w="1278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X</w:t>
            </w:r>
          </w:p>
        </w:tc>
        <w:tc>
          <w:tcPr>
            <w:tcW w:type="dxa" w:w="1278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T</w:t>
            </w:r>
          </w:p>
        </w:tc>
        <w:tc>
          <w:tcPr>
            <w:tcW w:type="dxa" w:w="1278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A∧B</w:t>
            </w:r>
          </w:p>
        </w:tc>
        <w:tc>
          <w:tcPr>
            <w:tcW w:type="dxa" w:w="1278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(A∧B)→X</w:t>
            </w:r>
          </w:p>
        </w:tc>
        <w:tc>
          <w:tcPr>
            <w:tcW w:type="dxa" w:w="1278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X→T</w:t>
            </w:r>
          </w:p>
        </w:tc>
        <w:tc>
          <w:tcPr>
            <w:tcW w:type="dxa" w:w="1278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(A∧B)→T</w:t>
            </w:r>
          </w:p>
        </w:tc>
      </w:tr>
      <w:tr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</w:tr>
      <w:tr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</w:tr>
      <w:tr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</w:tr>
      <w:tr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</w:tr>
      <w:tr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</w:tr>
      <w:tr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</w:tr>
      <w:tr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</w:tr>
      <w:tr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</w:tr>
      <w:tr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</w:tr>
      <w:tr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</w:tr>
      <w:tr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</w:tr>
      <w:tr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</w:tr>
      <w:tr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</w:tr>
      <w:tr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</w:tr>
      <w:tr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</w:tr>
      <w:tr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  <w:tc>
          <w:tcPr>
            <w:tcW w:type="dxa" w:w="1278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T</w:t>
            </w:r>
          </w:p>
        </w:tc>
      </w:tr>
    </w:tbl>
    <w:p>
      <w:pPr>
        <w:jc w:val="center"/>
      </w:pPr>
      <w:r>
        <w:rPr>
          <w:i/>
          <w:color w:val="5A5A5A"/>
          <w:sz w:val="18"/>
        </w:rPr>
        <w:t>Table I-1 — Unit I truth table.</w:t>
      </w:r>
    </w:p>
    <w:p>
      <w:pPr>
        <w:pStyle w:val="Heading1"/>
      </w:pPr>
      <w:r>
        <w:t>8. Interpretation of Results</w:t>
      </w:r>
    </w:p>
    <w:p>
      <w:r>
        <w:rPr>
          <w:b w:val="0"/>
          <w:i w:val="0"/>
        </w:rPr>
        <w:t>Validity means no false alarm when premises are adopted; 9 vacuous rows are desired no-alarm behaviour, the single fired row is the positive pathway animated in the Symptom Checker.</w:t>
      </w:r>
    </w:p>
    <w:p>
      <w:pPr>
        <w:pStyle w:val="Heading1"/>
      </w:pPr>
      <w:r>
        <w:t>9. Practical Application</w:t>
      </w:r>
    </w:p>
    <w:p>
      <w:r>
        <w:rPr>
          <w:b w:val="0"/>
          <w:i w:val="0"/>
        </w:rPr>
        <w:t>Deployed as the Symptom Checker card: toggles for A/B drive the chain live with inference strip (A∧B)→X→T.</w:t>
      </w:r>
    </w:p>
    <w:p>
      <w:pPr>
        <w:pStyle w:val="Heading1"/>
      </w:pPr>
      <w:r>
        <w:t>10. Innovation / Proposed Improvement</w:t>
      </w:r>
    </w:p>
    <w:p>
      <w:pPr>
        <w:pStyle w:val="ListBullet"/>
      </w:pPr>
      <w:r>
        <w:t>Add temporal logic and probabilistic thresholds.</w:t>
      </w:r>
    </w:p>
    <w:p>
      <w:pPr>
        <w:pStyle w:val="ListBullet"/>
      </w:pPr>
      <w:r>
        <w:t>Surface the trace for clinician override.</w:t>
      </w:r>
    </w:p>
    <w:p>
      <w:pPr>
        <w:pStyle w:val="Heading1"/>
      </w:pPr>
      <w:r>
        <w:t>11. Conclusion</w:t>
      </w:r>
    </w:p>
    <w:p>
      <w:r>
        <w:rPr>
          <w:b w:val="0"/>
          <w:i w:val="0"/>
        </w:rPr>
        <w:t>The triage rule is sound, complete for its fragment, and explainable.</w:t>
      </w:r>
    </w:p>
    <w:p>
      <w:pPr>
        <w:pStyle w:val="Heading1"/>
      </w:pPr>
      <w:r>
        <w:t>12. References</w:t>
      </w:r>
    </w:p>
    <w:p>
      <w:pPr>
        <w:pStyle w:val="ListBullet"/>
      </w:pPr>
      <w:r>
        <w:t>Rosen, Discrete Mathematics, 8th ed.</w:t>
      </w:r>
    </w:p>
    <w:p>
      <w:pPr>
        <w:pStyle w:val="ListBullet"/>
      </w:pPr>
      <w:r>
        <w:t>EU AI Act &amp; FDA SaMD guidance.</w:t>
      </w:r>
    </w:p>
    <w:p>
      <w:r>
        <w:br/>
      </w:r>
    </w:p>
    <w:p>
      <w:pPr>
        <w:jc w:val="center"/>
      </w:pPr>
      <w:r>
        <w:rPr>
          <w:b/>
          <w:color w:val="1282A2"/>
          <w:sz w:val="32"/>
        </w:rPr>
        <w:t>PART II</w:t>
      </w:r>
    </w:p>
    <w:p>
      <w:pPr>
        <w:jc w:val="center"/>
      </w:pPr>
      <w:r>
        <w:rPr>
          <w:b/>
          <w:sz w:val="36"/>
        </w:rPr>
        <w:t>Unit II — Combinatorics</w:t>
      </w:r>
    </w:p>
    <w:p>
      <w:r>
        <w:rPr>
          <w:b w:val="0"/>
          <w:i/>
          <w:sz w:val="18"/>
        </w:rPr>
        <w:t>Twelve-section standalone report for Unit II, covering counting of symptom sets.</w:t>
      </w:r>
    </w:p>
    <w:p>
      <w:pPr>
        <w:pStyle w:val="Heading1"/>
      </w:pPr>
      <w:r>
        <w:t>1. Title of the Case Study (Unit II)</w:t>
      </w:r>
    </w:p>
    <w:p>
      <w:r>
        <w:rPr>
          <w:b w:val="0"/>
          <w:i w:val="0"/>
        </w:rPr>
        <w:t>Unit II — Combinatorics: Sizing the Search Space for a 12-Symptom Triage Engine (Exactly, At Least, Ordered).</w:t>
      </w:r>
    </w:p>
    <w:p>
      <w:pPr>
        <w:pStyle w:val="Heading1"/>
      </w:pPr>
      <w:r>
        <w:t>2. Problem Statement (Unit II)</w:t>
      </w:r>
    </w:p>
    <w:p>
      <w:r>
        <w:rPr>
          <w:b w:val="0"/>
          <w:i w:val="0"/>
        </w:rPr>
        <w:t>For n=12, k=5: how many distinct sets under exactly five, at least five, and ordered five? Under- vs over-counting drives storage and UI.</w:t>
      </w:r>
    </w:p>
    <w:p>
      <w:pPr>
        <w:pStyle w:val="Heading1"/>
      </w:pPr>
      <w:r>
        <w:t>3. Real-world Context</w:t>
      </w:r>
    </w:p>
    <w:p>
      <w:r>
        <w:rPr>
          <w:b w:val="0"/>
          <w:i w:val="0"/>
        </w:rPr>
        <w:t>A 12-item checklist narrowed to five for rapid screening — planners must know test-case counts and whether ranking UI is worth 120× cost.</w:t>
      </w:r>
    </w:p>
    <w:p>
      <w:pPr>
        <w:pStyle w:val="Heading1"/>
      </w:pPr>
      <w:r>
        <w:t>4. Mathematical Concept Used</w:t>
      </w:r>
    </w:p>
    <w:p>
      <w:r>
        <w:rPr>
          <w:b w:val="0"/>
          <w:i w:val="0"/>
        </w:rPr>
        <w:t>C(n,k), P(n,k), 2ⁿ=ΣC(n,k), complement principle, P(n,k)=C(n,k)·k!.</w:t>
      </w:r>
    </w:p>
    <w:p>
      <w:pPr>
        <w:pStyle w:val="Heading1"/>
      </w:pPr>
      <w:r>
        <w:t>5. Mathematical Formulation</w:t>
      </w:r>
    </w:p>
    <w:p>
      <w:r>
        <w:rPr>
          <w:b w:val="0"/>
          <w:i w:val="0"/>
        </w:rPr>
        <w:t>Exactly-k: C(12,5). At-least-k: Σ_{i=5}^{12} C(12,i)=2¹²−Σ_{i=0}^{4} C(12,i). Ordered-k: P(12,5).</w:t>
      </w:r>
    </w:p>
    <w:p>
      <w:pPr>
        <w:pStyle w:val="Heading1"/>
      </w:pPr>
      <w:r>
        <w:t>6. Analysis / Solution</w:t>
      </w:r>
    </w:p>
    <w:p>
      <w:r>
        <w:rPr>
          <w:b w:val="0"/>
          <w:i w:val="0"/>
        </w:rPr>
        <w:t>C(12,5)=792. At least five: 4096−794=3302 (792+924+792+495+220+66+12+1). Ordered: P(12,5)=95,040=792·120.</w:t>
      </w:r>
    </w:p>
    <w:p>
      <w:pPr>
        <w:pStyle w:val="Heading1"/>
      </w:pPr>
      <w:r>
        <w:t>7. Diagram /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Policy</w:t>
            </w:r>
          </w:p>
        </w:tc>
        <w:tc>
          <w:tcPr>
            <w:tcW w:type="dxa" w:w="255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Formula</w:t>
            </w:r>
          </w:p>
        </w:tc>
        <w:tc>
          <w:tcPr>
            <w:tcW w:type="dxa" w:w="255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Count</w:t>
            </w:r>
          </w:p>
        </w:tc>
        <w:tc>
          <w:tcPr>
            <w:tcW w:type="dxa" w:w="255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Interpretation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Exactly 5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C(12,5)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792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One 5-set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At least 5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Σ C(12,k)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3,302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Any superset of 5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Ordered 5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P(12,5)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95,040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5 ranked</w:t>
            </w:r>
          </w:p>
        </w:tc>
      </w:tr>
    </w:tbl>
    <w:p>
      <w:pPr>
        <w:pStyle w:val="Heading1"/>
      </w:pPr>
      <w:r>
        <w:t>8. Interpretation of Results</w:t>
      </w:r>
    </w:p>
    <w:p>
      <w:r>
        <w:rPr>
          <w:b w:val="0"/>
          <w:i w:val="0"/>
        </w:rPr>
        <w:t>3,302 bounds curation; 792 is UI choice count for fixed-5; 95,040 warns ranking needs virtualized rendering.</w:t>
      </w:r>
    </w:p>
    <w:p>
      <w:pPr>
        <w:pStyle w:val="Heading1"/>
      </w:pPr>
      <w:r>
        <w:t>9. Practical Application</w:t>
      </w:r>
    </w:p>
    <w:p>
      <w:r>
        <w:rPr>
          <w:b w:val="0"/>
          <w:i w:val="0"/>
        </w:rPr>
        <w:t>Combination Calculator panel with n/k sliders defaulting to 12/5, live exact integer arithmetic.</w:t>
      </w:r>
    </w:p>
    <w:p>
      <w:pPr>
        <w:pStyle w:val="Heading1"/>
      </w:pPr>
      <w:r>
        <w:t>10. Innovation / Proposed Improvement</w:t>
      </w:r>
    </w:p>
    <w:p>
      <w:pPr>
        <w:pStyle w:val="ListBullet"/>
      </w:pPr>
      <w:r>
        <w:t>Scale to n≈50 with inclusion–exclusion.</w:t>
      </w:r>
    </w:p>
    <w:p>
      <w:pPr>
        <w:pStyle w:val="ListBullet"/>
      </w:pPr>
      <w:r>
        <w:t>Weighted counting with frequency priors.</w:t>
      </w:r>
    </w:p>
    <w:p>
      <w:pPr>
        <w:pStyle w:val="Heading1"/>
      </w:pPr>
      <w:r>
        <w:t>11. Conclusion</w:t>
      </w:r>
    </w:p>
    <w:p>
      <w:r>
        <w:rPr>
          <w:b w:val="0"/>
          <w:i w:val="0"/>
        </w:rPr>
        <w:t>Exact counting keeps the system auditable and the UI honest.</w:t>
      </w:r>
    </w:p>
    <w:p>
      <w:pPr>
        <w:pStyle w:val="Heading1"/>
      </w:pPr>
      <w:r>
        <w:t>12. References</w:t>
      </w:r>
    </w:p>
    <w:p>
      <w:pPr>
        <w:pStyle w:val="ListBullet"/>
      </w:pPr>
      <w:r>
        <w:t>Rosen, Chap. 6 — Counting.</w:t>
      </w:r>
    </w:p>
    <w:p>
      <w:r>
        <w:br/>
      </w:r>
    </w:p>
    <w:p>
      <w:pPr>
        <w:jc w:val="center"/>
      </w:pPr>
      <w:r>
        <w:rPr>
          <w:b/>
          <w:color w:val="1282A2"/>
          <w:sz w:val="32"/>
        </w:rPr>
        <w:t>PART III</w:t>
      </w:r>
    </w:p>
    <w:p>
      <w:pPr>
        <w:jc w:val="center"/>
      </w:pPr>
      <w:r>
        <w:rPr>
          <w:b/>
          <w:sz w:val="36"/>
        </w:rPr>
        <w:t>Unit III — Graphs &amp; Isomorphism</w:t>
      </w:r>
    </w:p>
    <w:p>
      <w:r>
        <w:rPr>
          <w:b w:val="0"/>
          <w:i/>
          <w:sz w:val="18"/>
        </w:rPr>
        <w:t>Twelve-section standalone report for Unit III, covering bipartite graphs and isomorphism certificates.</w:t>
      </w:r>
    </w:p>
    <w:p>
      <w:pPr>
        <w:pStyle w:val="Heading1"/>
      </w:pPr>
      <w:r>
        <w:t>1. Title of the Case Study (Unit III)</w:t>
      </w:r>
    </w:p>
    <w:p>
      <w:r>
        <w:rPr>
          <w:b w:val="0"/>
          <w:i w:val="0"/>
        </w:rPr>
        <w:t>Unit III — Graphs &amp; Isomorphism: Bipartite Knowledge Graphs and Permutation-Similarity Certificates.</w:t>
      </w:r>
    </w:p>
    <w:p>
      <w:pPr>
        <w:pStyle w:val="Heading1"/>
      </w:pPr>
      <w:r>
        <w:t>2. Problem Statement (Unit III)</w:t>
      </w:r>
    </w:p>
    <w:p>
      <w:r>
        <w:rPr>
          <w:b w:val="0"/>
          <w:i w:val="0"/>
        </w:rPr>
        <w:t>Model knowledge as bipartite G=(S∪D,E) and prove two drawings G,G′ with different layouts are isomorphic.</w:t>
      </w:r>
    </w:p>
    <w:p>
      <w:pPr>
        <w:pStyle w:val="Heading1"/>
      </w:pPr>
      <w:r>
        <w:t>3. Real-world Context</w:t>
      </w:r>
    </w:p>
    <w:p>
      <w:r>
        <w:rPr>
          <w:b w:val="0"/>
          <w:i w:val="0"/>
        </w:rPr>
        <w:t>Editors maintain symptom–disease edges in different tools; merging requires isomorphism proof, not layout trust. Enables 2-hop diagnosis: patient → symptom → disease.</w:t>
      </w:r>
    </w:p>
    <w:p>
      <w:pPr>
        <w:pStyle w:val="Heading1"/>
      </w:pPr>
      <w:r>
        <w:t>4. Mathematical Concept Used</w:t>
      </w:r>
    </w:p>
    <w:p>
      <w:r>
        <w:rPr>
          <w:b w:val="0"/>
          <w:i w:val="0"/>
        </w:rPr>
        <w:t>Bipartite graphs, degree sequences, biadjacency matrices, permutation similarity A₂=P·A₁·Pᵀ.</w:t>
      </w:r>
    </w:p>
    <w:p>
      <w:pPr>
        <w:pStyle w:val="Heading1"/>
      </w:pPr>
      <w:r>
        <w:t>5. Mathematical Formulation</w:t>
      </w:r>
    </w:p>
    <w:p>
      <w:r>
        <w:rPr>
          <w:b w:val="0"/>
          <w:i w:val="0"/>
        </w:rPr>
        <w:t>V=S∪D, S={S₁ Fever,S₂ Cough,S₃ Rash,S₄ Fatigue}, D={D₁ Influenza,D₂ Measles,D₃ Anemia}, E={S₁D₁,S₁D₂,S₂D₁,S₃D₂,S₄D₁,S₄D₃}, |V|=7,|E|=6. G′ reorders as (S₄,S₃,S₂,S₁|D₃,D₂,D₁).</w:t>
      </w:r>
    </w:p>
    <w:p>
      <w:pPr>
        <w:pStyle w:val="Heading1"/>
      </w:pPr>
      <w:r>
        <w:t>6. Analysis / Solution</w:t>
      </w:r>
    </w:p>
    <w:p>
      <w:r>
        <w:rPr>
          <w:b w:val="0"/>
          <w:i w:val="0"/>
        </w:rPr>
        <w:t>Degrees: S₁=2,S₂=1,S₃=1,S₄=2,D₁=3,D₂=2,D₃=1; sequence (3,2,2,2,1,1,1), sum 12=2·|E|. Bijection f(Sᵢ)=Sᵢ′,f(Dⱼ)=Dⱼ′ preserves all six edges; reversal perms r_S=[3,2,1,0],r_D=[2,1,0] give A₂=P·A₁·Pᵀ.</w:t>
      </w:r>
    </w:p>
    <w:p>
      <w:pPr>
        <w:pStyle w:val="Heading1"/>
      </w:pPr>
      <w:r>
        <w:t>7. Diagram / Graph</w:t>
      </w:r>
    </w:p>
    <w:p>
      <w:r>
        <w:rPr>
          <w:b w:val="0"/>
          <w:i w:val="0"/>
        </w:rPr>
        <w:t>Edge list: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#</w:t>
            </w:r>
          </w:p>
        </w:tc>
        <w:tc>
          <w:tcPr>
            <w:tcW w:type="dxa" w:w="3408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Edge</w:t>
            </w:r>
          </w:p>
        </w:tc>
        <w:tc>
          <w:tcPr>
            <w:tcW w:type="dxa" w:w="3408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Clinical meaning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1</w:t>
            </w:r>
          </w:p>
        </w:tc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S₁ — D₁</w:t>
            </w:r>
          </w:p>
        </w:tc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Fever indicates Influenza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2</w:t>
            </w:r>
          </w:p>
        </w:tc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S₁ — D₂</w:t>
            </w:r>
          </w:p>
        </w:tc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Fever indicates Measles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3</w:t>
            </w:r>
          </w:p>
        </w:tc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S₂ — D₁</w:t>
            </w:r>
          </w:p>
        </w:tc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Cough indicates Influenza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4</w:t>
            </w:r>
          </w:p>
        </w:tc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S₃ — D₂</w:t>
            </w:r>
          </w:p>
        </w:tc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Rash indicates Measles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5</w:t>
            </w:r>
          </w:p>
        </w:tc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S₄ — D₁</w:t>
            </w:r>
          </w:p>
        </w:tc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Fatigue indicates Influenza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6</w:t>
            </w:r>
          </w:p>
        </w:tc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S₄ — D₃</w:t>
            </w:r>
          </w:p>
        </w:tc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Fatigue indicates Anemia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Invariant</w:t>
            </w:r>
          </w:p>
        </w:tc>
        <w:tc>
          <w:tcPr>
            <w:tcW w:type="dxa" w:w="255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Rep.1</w:t>
            </w:r>
          </w:p>
        </w:tc>
        <w:tc>
          <w:tcPr>
            <w:tcW w:type="dxa" w:w="255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Rep.2</w:t>
            </w:r>
          </w:p>
        </w:tc>
        <w:tc>
          <w:tcPr>
            <w:tcW w:type="dxa" w:w="255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Match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Vertices |V|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7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7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✓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Edges |E|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6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6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✓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Degree sequence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(3,2,2,2,1,1,1)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(3,2,2,2,1,1,1)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✓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Bipartite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yes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yes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✓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5988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1_biparti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98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Figure III-1 — Bipartite layout.</w:t>
      </w:r>
    </w:p>
    <w:p>
      <w:r>
        <w:drawing>
          <wp:inline xmlns:a="http://schemas.openxmlformats.org/drawingml/2006/main" xmlns:pic="http://schemas.openxmlformats.org/drawingml/2006/picture">
            <wp:extent cx="5303520" cy="35988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2_circul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98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Figure III-2 — Circular scrambled layout.</w:t>
      </w:r>
    </w:p>
    <w:p>
      <w:r>
        <w:rPr>
          <w:b w:val="0"/>
          <w:i w:val="0"/>
        </w:rPr>
        <w:t>Biadjacency matrices: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</w:r>
          </w:p>
        </w:tc>
        <w:tc>
          <w:tcPr>
            <w:tcW w:type="dxa" w:w="255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D₁</w:t>
            </w:r>
          </w:p>
        </w:tc>
        <w:tc>
          <w:tcPr>
            <w:tcW w:type="dxa" w:w="255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D₂</w:t>
            </w:r>
          </w:p>
        </w:tc>
        <w:tc>
          <w:tcPr>
            <w:tcW w:type="dxa" w:w="255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D₃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S₁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1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1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0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S₂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1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0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0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S₃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0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1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0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S₄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1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0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</w:r>
          </w:p>
        </w:tc>
        <w:tc>
          <w:tcPr>
            <w:tcW w:type="dxa" w:w="255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D₃</w:t>
            </w:r>
          </w:p>
        </w:tc>
        <w:tc>
          <w:tcPr>
            <w:tcW w:type="dxa" w:w="255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D₂</w:t>
            </w:r>
          </w:p>
        </w:tc>
        <w:tc>
          <w:tcPr>
            <w:tcW w:type="dxa" w:w="255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D₁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S₄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1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0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1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S₃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0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1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0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S₂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0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0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1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S₁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0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1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1</w:t>
            </w:r>
          </w:p>
        </w:tc>
      </w:tr>
    </w:tbl>
    <w:p>
      <w:pPr>
        <w:pStyle w:val="Heading1"/>
      </w:pPr>
      <w:r>
        <w:t>8. Interpretation of Results</w:t>
      </w:r>
    </w:p>
    <w:p>
      <w:r>
        <w:rPr>
          <w:b w:val="0"/>
          <w:i w:val="0"/>
        </w:rPr>
        <w:t>Identical invariants plus exhibited P-matrix prove one knowledge base; layout irrelevant.</w:t>
      </w:r>
    </w:p>
    <w:p>
      <w:pPr>
        <w:pStyle w:val="Heading1"/>
      </w:pPr>
      <w:r>
        <w:t>9. Practical Application</w:t>
      </w:r>
    </w:p>
    <w:p>
      <w:r>
        <w:rPr>
          <w:b w:val="0"/>
          <w:i w:val="0"/>
        </w:rPr>
        <w:t>Isomorphism Explorer: toggle bipartite↔circular with spring, click vertex to highlight incident edges and degree.</w:t>
      </w:r>
    </w:p>
    <w:p>
      <w:pPr>
        <w:pStyle w:val="Heading1"/>
      </w:pPr>
      <w:r>
        <w:t>10. Innovation / Proposed Improvement</w:t>
      </w:r>
    </w:p>
    <w:p>
      <w:pPr>
        <w:pStyle w:val="ListBullet"/>
      </w:pPr>
      <w:r>
        <w:t>Graph DB with adjacency lists for concurrent-edit merging.</w:t>
      </w:r>
    </w:p>
    <w:p>
      <w:pPr>
        <w:pStyle w:val="ListBullet"/>
      </w:pPr>
      <w:r>
        <w:t>3-partite patient–symptom–disease network.</w:t>
      </w:r>
    </w:p>
    <w:p>
      <w:pPr>
        <w:pStyle w:val="Heading1"/>
      </w:pPr>
      <w:r>
        <w:t>11. Conclusion</w:t>
      </w:r>
    </w:p>
    <w:p>
      <w:r>
        <w:rPr>
          <w:b w:val="0"/>
          <w:i w:val="0"/>
        </w:rPr>
        <w:t>Bipartite modelling plus permutation certificate turns visual intuition into a checkable artefact.</w:t>
      </w:r>
    </w:p>
    <w:p>
      <w:pPr>
        <w:pStyle w:val="Heading1"/>
      </w:pPr>
      <w:r>
        <w:t>12. References</w:t>
      </w:r>
    </w:p>
    <w:p>
      <w:pPr>
        <w:pStyle w:val="ListBullet"/>
      </w:pPr>
      <w:r>
        <w:t>Rosen, Chap. 10 — Graphs.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